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0DD58E2B" w:rsidR="00EE49FB" w:rsidRPr="002D355E" w:rsidRDefault="00DC35F5" w:rsidP="00320647">
      <w:pPr>
        <w:sectPr w:rsidR="00EE49FB" w:rsidRPr="002D355E" w:rsidSect="00385EA9">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1"/>
          <w:cols w:space="708"/>
          <w:titlePg/>
          <w:docGrid w:linePitch="360"/>
        </w:sectPr>
      </w:pPr>
      <w:bookmarkStart w:id="0" w:name="_Hlk181965888"/>
      <w:bookmarkEnd w:id="0"/>
      <w:r w:rsidRPr="002D355E">
        <w:rPr>
          <w:noProof/>
        </w:rPr>
        <w:drawing>
          <wp:anchor distT="0" distB="0" distL="114300" distR="114300" simplePos="0" relativeHeight="251658241" behindDoc="1" locked="0" layoutInCell="1" allowOverlap="1" wp14:anchorId="23C42A40" wp14:editId="150C82BA">
            <wp:simplePos x="0" y="0"/>
            <wp:positionH relativeFrom="page">
              <wp:align>left</wp:align>
            </wp:positionH>
            <wp:positionV relativeFrom="page">
              <wp:posOffset>15240</wp:posOffset>
            </wp:positionV>
            <wp:extent cx="7568565" cy="10701655"/>
            <wp:effectExtent l="0" t="0" r="0" b="4445"/>
            <wp:wrapNone/>
            <wp:docPr id="1604838949" name="Picture 16048389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38949" name="Picture 1604838949">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569016" cy="10702119"/>
                    </a:xfrm>
                    <a:prstGeom prst="rect">
                      <a:avLst/>
                    </a:prstGeom>
                  </pic:spPr>
                </pic:pic>
              </a:graphicData>
            </a:graphic>
            <wp14:sizeRelH relativeFrom="margin">
              <wp14:pctWidth>0</wp14:pctWidth>
            </wp14:sizeRelH>
            <wp14:sizeRelV relativeFrom="margin">
              <wp14:pctHeight>0</wp14:pctHeight>
            </wp14:sizeRelV>
          </wp:anchor>
        </w:drawing>
      </w:r>
      <w:r w:rsidR="00541426" w:rsidRPr="002D355E">
        <w:rPr>
          <w:noProof/>
        </w:rPr>
        <mc:AlternateContent>
          <mc:Choice Requires="wps">
            <w:drawing>
              <wp:anchor distT="45720" distB="45720" distL="114300" distR="114300" simplePos="0" relativeHeight="251658242" behindDoc="0" locked="0" layoutInCell="1" allowOverlap="1" wp14:anchorId="122B4FE3" wp14:editId="1BFFE33A">
                <wp:simplePos x="0" y="0"/>
                <wp:positionH relativeFrom="margin">
                  <wp:posOffset>-245745</wp:posOffset>
                </wp:positionH>
                <wp:positionV relativeFrom="paragraph">
                  <wp:posOffset>1941195</wp:posOffset>
                </wp:positionV>
                <wp:extent cx="4749165" cy="1404620"/>
                <wp:effectExtent l="0" t="0" r="0" b="508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165" cy="1404620"/>
                        </a:xfrm>
                        <a:prstGeom prst="rect">
                          <a:avLst/>
                        </a:prstGeom>
                        <a:noFill/>
                        <a:ln w="9525">
                          <a:noFill/>
                          <a:miter lim="800000"/>
                          <a:headEnd/>
                          <a:tailEnd/>
                        </a:ln>
                      </wps:spPr>
                      <wps:txbx>
                        <w:txbxContent>
                          <w:p w14:paraId="5EA85C09" w14:textId="0697CF28" w:rsidR="00541426" w:rsidRPr="00B93C08" w:rsidRDefault="00541426">
                            <w:pPr>
                              <w:rPr>
                                <w:b/>
                                <w:color w:val="FFFFFF" w:themeColor="background1"/>
                                <w:sz w:val="96"/>
                                <w:szCs w:val="96"/>
                              </w:rPr>
                            </w:pPr>
                            <w:r w:rsidRPr="00B93C08">
                              <w:rPr>
                                <w:b/>
                                <w:color w:val="FFFFFF" w:themeColor="background1"/>
                                <w:sz w:val="96"/>
                                <w:szCs w:val="96"/>
                              </w:rPr>
                              <w:t xml:space="preserve">Labour Market </w:t>
                            </w:r>
                            <w:r w:rsidR="00A41443" w:rsidRPr="00B93C08">
                              <w:rPr>
                                <w:b/>
                                <w:color w:val="FFFFFF" w:themeColor="background1"/>
                                <w:sz w:val="96"/>
                                <w:szCs w:val="96"/>
                              </w:rPr>
                              <w:t>Update</w:t>
                            </w:r>
                          </w:p>
                          <w:p w14:paraId="002E79BB" w14:textId="77777777" w:rsidR="00DC35F5" w:rsidRPr="00B93C08" w:rsidRDefault="00DC35F5">
                            <w:pPr>
                              <w:rPr>
                                <w:b/>
                                <w:color w:val="FFFFFF" w:themeColor="background1"/>
                                <w:sz w:val="96"/>
                                <w:szCs w:val="96"/>
                              </w:rPr>
                            </w:pPr>
                          </w:p>
                          <w:p w14:paraId="1E26EA95" w14:textId="3C2DBADB" w:rsidR="00DC35F5" w:rsidRPr="00B93C08" w:rsidRDefault="00477525">
                            <w:pPr>
                              <w:rPr>
                                <w:bCs/>
                                <w:color w:val="FFFFFF" w:themeColor="background1"/>
                                <w:sz w:val="52"/>
                                <w:szCs w:val="52"/>
                              </w:rPr>
                            </w:pPr>
                            <w:r>
                              <w:rPr>
                                <w:bCs/>
                                <w:color w:val="FFFFFF" w:themeColor="background1"/>
                                <w:sz w:val="52"/>
                                <w:szCs w:val="52"/>
                              </w:rPr>
                              <w:t>September</w:t>
                            </w:r>
                            <w:r w:rsidR="00DC35F5" w:rsidRPr="00B93C08">
                              <w:rPr>
                                <w:bCs/>
                                <w:color w:val="FFFFFF" w:themeColor="background1"/>
                                <w:sz w:val="52"/>
                                <w:szCs w:val="52"/>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2B4FE3" id="_x0000_t202" coordsize="21600,21600" o:spt="202" path="m,l,21600r21600,l21600,xe">
                <v:stroke joinstyle="miter"/>
                <v:path gradientshapeok="t" o:connecttype="rect"/>
              </v:shapetype>
              <v:shape id="Text Box 217" o:spid="_x0000_s1026" type="#_x0000_t202" alt="&quot;&quot;" style="position:absolute;margin-left:-19.35pt;margin-top:152.85pt;width:373.9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" filled="f" stroked="f">
                <v:textbox style="mso-fit-shape-to-text:t">
                  <w:txbxContent>
                    <w:p w14:paraId="5EA85C09" w14:textId="0697CF28" w:rsidR="00541426" w:rsidRPr="00B93C08" w:rsidRDefault="00541426">
                      <w:pPr>
                        <w:rPr>
                          <w:b/>
                          <w:color w:val="FFFFFF" w:themeColor="background1"/>
                          <w:sz w:val="96"/>
                          <w:szCs w:val="96"/>
                        </w:rPr>
                      </w:pPr>
                      <w:r w:rsidRPr="00B93C08">
                        <w:rPr>
                          <w:b/>
                          <w:color w:val="FFFFFF" w:themeColor="background1"/>
                          <w:sz w:val="96"/>
                          <w:szCs w:val="96"/>
                        </w:rPr>
                        <w:t xml:space="preserve">Labour Market </w:t>
                      </w:r>
                      <w:r w:rsidR="00A41443" w:rsidRPr="00B93C08">
                        <w:rPr>
                          <w:b/>
                          <w:color w:val="FFFFFF" w:themeColor="background1"/>
                          <w:sz w:val="96"/>
                          <w:szCs w:val="96"/>
                        </w:rPr>
                        <w:t>Update</w:t>
                      </w:r>
                    </w:p>
                    <w:p w14:paraId="002E79BB" w14:textId="77777777" w:rsidR="00DC35F5" w:rsidRPr="00B93C08" w:rsidRDefault="00DC35F5">
                      <w:pPr>
                        <w:rPr>
                          <w:b/>
                          <w:color w:val="FFFFFF" w:themeColor="background1"/>
                          <w:sz w:val="96"/>
                          <w:szCs w:val="96"/>
                        </w:rPr>
                      </w:pPr>
                    </w:p>
                    <w:p w14:paraId="1E26EA95" w14:textId="3C2DBADB" w:rsidR="00DC35F5" w:rsidRPr="00B93C08" w:rsidRDefault="00477525">
                      <w:pPr>
                        <w:rPr>
                          <w:bCs/>
                          <w:color w:val="FFFFFF" w:themeColor="background1"/>
                          <w:sz w:val="52"/>
                          <w:szCs w:val="52"/>
                        </w:rPr>
                      </w:pPr>
                      <w:r>
                        <w:rPr>
                          <w:bCs/>
                          <w:color w:val="FFFFFF" w:themeColor="background1"/>
                          <w:sz w:val="52"/>
                          <w:szCs w:val="52"/>
                        </w:rPr>
                        <w:t>September</w:t>
                      </w:r>
                      <w:r w:rsidR="00DC35F5" w:rsidRPr="00B93C08">
                        <w:rPr>
                          <w:bCs/>
                          <w:color w:val="FFFFFF" w:themeColor="background1"/>
                          <w:sz w:val="52"/>
                          <w:szCs w:val="52"/>
                        </w:rPr>
                        <w:t xml:space="preserve"> 2024</w:t>
                      </w:r>
                    </w:p>
                  </w:txbxContent>
                </v:textbox>
                <w10:wrap type="square" anchorx="margin"/>
              </v:shape>
            </w:pict>
          </mc:Fallback>
        </mc:AlternateContent>
      </w:r>
      <w:r w:rsidR="00997F6C" w:rsidRPr="002D355E">
        <w:rPr>
          <w:noProof/>
        </w:rPr>
        <w:drawing>
          <wp:inline distT="0" distB="0" distL="0" distR="0" wp14:anchorId="202EBB92" wp14:editId="2CB65A49">
            <wp:extent cx="3294580" cy="715784"/>
            <wp:effectExtent l="0" t="0" r="1270" b="8255"/>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6">
                      <a:clrChange>
                        <a:clrFrom>
                          <a:srgbClr val="39066B"/>
                        </a:clrFrom>
                        <a:clrTo>
                          <a:srgbClr val="39066B">
                            <a:alpha val="0"/>
                          </a:srgbClr>
                        </a:clrTo>
                      </a:clrChange>
                    </a:blip>
                    <a:stretch>
                      <a:fillRect/>
                    </a:stretch>
                  </pic:blipFill>
                  <pic:spPr>
                    <a:xfrm>
                      <a:off x="0" y="0"/>
                      <a:ext cx="3524334" cy="765701"/>
                    </a:xfrm>
                    <a:prstGeom prst="rect">
                      <a:avLst/>
                    </a:prstGeom>
                  </pic:spPr>
                </pic:pic>
              </a:graphicData>
            </a:graphic>
          </wp:inline>
        </w:drawing>
      </w:r>
    </w:p>
    <w:p w14:paraId="2C9651D4" w14:textId="38657BE5" w:rsidR="00B11937" w:rsidRPr="002D355E" w:rsidRDefault="00B11937" w:rsidP="002A6BE4">
      <w:pPr>
        <w:pStyle w:val="TOCHeading"/>
        <w:spacing w:after="240"/>
        <w:rPr>
          <w:lang w:val="en-AU"/>
        </w:rPr>
      </w:pPr>
      <w:r w:rsidRPr="002D355E">
        <w:rPr>
          <w:lang w:val="en-AU"/>
        </w:rPr>
        <w:lastRenderedPageBreak/>
        <w:t>Contents</w:t>
      </w:r>
    </w:p>
    <w:p w14:paraId="40668EE5" w14:textId="3AE3961E" w:rsidR="00EE086C" w:rsidRDefault="00B1193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rsidRPr="003B40AA">
        <w:fldChar w:fldCharType="begin"/>
      </w:r>
      <w:r w:rsidRPr="003B40AA">
        <w:instrText xml:space="preserve"> TOC \o "1-3" \h \z \u </w:instrText>
      </w:r>
      <w:r w:rsidRPr="003B40AA">
        <w:fldChar w:fldCharType="separate"/>
      </w:r>
      <w:hyperlink w:anchor="_Toc182561807" w:history="1">
        <w:r w:rsidR="00EE086C" w:rsidRPr="00BE5EC6">
          <w:rPr>
            <w:rStyle w:val="Hyperlink"/>
            <w:noProof/>
          </w:rPr>
          <w:t>Executive summary</w:t>
        </w:r>
        <w:r w:rsidR="00EE086C">
          <w:rPr>
            <w:noProof/>
            <w:webHidden/>
          </w:rPr>
          <w:tab/>
        </w:r>
        <w:r w:rsidR="00EE086C">
          <w:rPr>
            <w:noProof/>
            <w:webHidden/>
          </w:rPr>
          <w:fldChar w:fldCharType="begin"/>
        </w:r>
        <w:r w:rsidR="00EE086C">
          <w:rPr>
            <w:noProof/>
            <w:webHidden/>
          </w:rPr>
          <w:instrText xml:space="preserve"> PAGEREF _Toc182561807 \h </w:instrText>
        </w:r>
        <w:r w:rsidR="00EE086C">
          <w:rPr>
            <w:noProof/>
            <w:webHidden/>
          </w:rPr>
        </w:r>
        <w:r w:rsidR="00EE086C">
          <w:rPr>
            <w:noProof/>
            <w:webHidden/>
          </w:rPr>
          <w:fldChar w:fldCharType="separate"/>
        </w:r>
        <w:r w:rsidR="00514540">
          <w:rPr>
            <w:noProof/>
            <w:webHidden/>
          </w:rPr>
          <w:t>1</w:t>
        </w:r>
        <w:r w:rsidR="00EE086C">
          <w:rPr>
            <w:noProof/>
            <w:webHidden/>
          </w:rPr>
          <w:fldChar w:fldCharType="end"/>
        </w:r>
      </w:hyperlink>
    </w:p>
    <w:p w14:paraId="3984CEF8" w14:textId="40A280E0" w:rsidR="00EE086C" w:rsidRDefault="00EE086C">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82561808" w:history="1">
        <w:r w:rsidRPr="00BE5EC6">
          <w:rPr>
            <w:rStyle w:val="Hyperlink"/>
            <w:noProof/>
          </w:rPr>
          <w:t>The September quarter labour market</w:t>
        </w:r>
        <w:r>
          <w:rPr>
            <w:noProof/>
            <w:webHidden/>
          </w:rPr>
          <w:tab/>
        </w:r>
        <w:r>
          <w:rPr>
            <w:noProof/>
            <w:webHidden/>
          </w:rPr>
          <w:fldChar w:fldCharType="begin"/>
        </w:r>
        <w:r>
          <w:rPr>
            <w:noProof/>
            <w:webHidden/>
          </w:rPr>
          <w:instrText xml:space="preserve"> PAGEREF _Toc182561808 \h </w:instrText>
        </w:r>
        <w:r>
          <w:rPr>
            <w:noProof/>
            <w:webHidden/>
          </w:rPr>
        </w:r>
        <w:r>
          <w:rPr>
            <w:noProof/>
            <w:webHidden/>
          </w:rPr>
          <w:fldChar w:fldCharType="separate"/>
        </w:r>
        <w:r w:rsidR="00514540">
          <w:rPr>
            <w:noProof/>
            <w:webHidden/>
          </w:rPr>
          <w:t>3</w:t>
        </w:r>
        <w:r>
          <w:rPr>
            <w:noProof/>
            <w:webHidden/>
          </w:rPr>
          <w:fldChar w:fldCharType="end"/>
        </w:r>
      </w:hyperlink>
    </w:p>
    <w:p w14:paraId="3704C986" w14:textId="15A2BD66" w:rsidR="00EE086C" w:rsidRDefault="00EE086C">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2561809" w:history="1">
        <w:r w:rsidRPr="00BE5EC6">
          <w:rPr>
            <w:rStyle w:val="Hyperlink"/>
            <w:noProof/>
          </w:rPr>
          <w:t>Employment outcomes have varied by industry, occupation and skill level</w:t>
        </w:r>
        <w:r>
          <w:rPr>
            <w:noProof/>
            <w:webHidden/>
          </w:rPr>
          <w:tab/>
        </w:r>
        <w:r>
          <w:rPr>
            <w:noProof/>
            <w:webHidden/>
          </w:rPr>
          <w:fldChar w:fldCharType="begin"/>
        </w:r>
        <w:r>
          <w:rPr>
            <w:noProof/>
            <w:webHidden/>
          </w:rPr>
          <w:instrText xml:space="preserve"> PAGEREF _Toc182561809 \h </w:instrText>
        </w:r>
        <w:r>
          <w:rPr>
            <w:noProof/>
            <w:webHidden/>
          </w:rPr>
        </w:r>
        <w:r>
          <w:rPr>
            <w:noProof/>
            <w:webHidden/>
          </w:rPr>
          <w:fldChar w:fldCharType="separate"/>
        </w:r>
        <w:r w:rsidR="00514540">
          <w:rPr>
            <w:noProof/>
            <w:webHidden/>
          </w:rPr>
          <w:t>6</w:t>
        </w:r>
        <w:r>
          <w:rPr>
            <w:noProof/>
            <w:webHidden/>
          </w:rPr>
          <w:fldChar w:fldCharType="end"/>
        </w:r>
      </w:hyperlink>
    </w:p>
    <w:p w14:paraId="4DB3F3D1" w14:textId="425C148F" w:rsidR="00EE086C" w:rsidRDefault="00EE086C">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82561810" w:history="1">
        <w:r w:rsidRPr="00BE5EC6">
          <w:rPr>
            <w:rStyle w:val="Hyperlink"/>
            <w:noProof/>
          </w:rPr>
          <w:t>Labour demand indicators are easing</w:t>
        </w:r>
        <w:r>
          <w:rPr>
            <w:noProof/>
            <w:webHidden/>
          </w:rPr>
          <w:tab/>
        </w:r>
        <w:r>
          <w:rPr>
            <w:noProof/>
            <w:webHidden/>
          </w:rPr>
          <w:fldChar w:fldCharType="begin"/>
        </w:r>
        <w:r>
          <w:rPr>
            <w:noProof/>
            <w:webHidden/>
          </w:rPr>
          <w:instrText xml:space="preserve"> PAGEREF _Toc182561810 \h </w:instrText>
        </w:r>
        <w:r>
          <w:rPr>
            <w:noProof/>
            <w:webHidden/>
          </w:rPr>
        </w:r>
        <w:r>
          <w:rPr>
            <w:noProof/>
            <w:webHidden/>
          </w:rPr>
          <w:fldChar w:fldCharType="separate"/>
        </w:r>
        <w:r w:rsidR="00514540">
          <w:rPr>
            <w:noProof/>
            <w:webHidden/>
          </w:rPr>
          <w:t>8</w:t>
        </w:r>
        <w:r>
          <w:rPr>
            <w:noProof/>
            <w:webHidden/>
          </w:rPr>
          <w:fldChar w:fldCharType="end"/>
        </w:r>
      </w:hyperlink>
    </w:p>
    <w:p w14:paraId="0B9D8679" w14:textId="0EC84F97" w:rsidR="00EE086C" w:rsidRDefault="00EE086C">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2561811" w:history="1">
        <w:r w:rsidRPr="00BE5EC6">
          <w:rPr>
            <w:rStyle w:val="Hyperlink"/>
            <w:noProof/>
          </w:rPr>
          <w:t>Jobs are more competitive</w:t>
        </w:r>
        <w:r>
          <w:rPr>
            <w:noProof/>
            <w:webHidden/>
          </w:rPr>
          <w:tab/>
        </w:r>
        <w:r>
          <w:rPr>
            <w:noProof/>
            <w:webHidden/>
          </w:rPr>
          <w:fldChar w:fldCharType="begin"/>
        </w:r>
        <w:r>
          <w:rPr>
            <w:noProof/>
            <w:webHidden/>
          </w:rPr>
          <w:instrText xml:space="preserve"> PAGEREF _Toc182561811 \h </w:instrText>
        </w:r>
        <w:r>
          <w:rPr>
            <w:noProof/>
            <w:webHidden/>
          </w:rPr>
        </w:r>
        <w:r>
          <w:rPr>
            <w:noProof/>
            <w:webHidden/>
          </w:rPr>
          <w:fldChar w:fldCharType="separate"/>
        </w:r>
        <w:r w:rsidR="00514540">
          <w:rPr>
            <w:noProof/>
            <w:webHidden/>
          </w:rPr>
          <w:t>9</w:t>
        </w:r>
        <w:r>
          <w:rPr>
            <w:noProof/>
            <w:webHidden/>
          </w:rPr>
          <w:fldChar w:fldCharType="end"/>
        </w:r>
      </w:hyperlink>
    </w:p>
    <w:p w14:paraId="353C98DD" w14:textId="278C70B0" w:rsidR="00EE086C" w:rsidRDefault="00EE086C">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2561812" w:history="1">
        <w:r w:rsidRPr="00BE5EC6">
          <w:rPr>
            <w:rStyle w:val="Hyperlink"/>
            <w:noProof/>
          </w:rPr>
          <w:t>Recruitment difficulties are easing</w:t>
        </w:r>
        <w:r>
          <w:rPr>
            <w:noProof/>
            <w:webHidden/>
          </w:rPr>
          <w:tab/>
        </w:r>
        <w:r>
          <w:rPr>
            <w:noProof/>
            <w:webHidden/>
          </w:rPr>
          <w:fldChar w:fldCharType="begin"/>
        </w:r>
        <w:r>
          <w:rPr>
            <w:noProof/>
            <w:webHidden/>
          </w:rPr>
          <w:instrText xml:space="preserve"> PAGEREF _Toc182561812 \h </w:instrText>
        </w:r>
        <w:r>
          <w:rPr>
            <w:noProof/>
            <w:webHidden/>
          </w:rPr>
        </w:r>
        <w:r>
          <w:rPr>
            <w:noProof/>
            <w:webHidden/>
          </w:rPr>
          <w:fldChar w:fldCharType="separate"/>
        </w:r>
        <w:r w:rsidR="00514540">
          <w:rPr>
            <w:noProof/>
            <w:webHidden/>
          </w:rPr>
          <w:t>12</w:t>
        </w:r>
        <w:r>
          <w:rPr>
            <w:noProof/>
            <w:webHidden/>
          </w:rPr>
          <w:fldChar w:fldCharType="end"/>
        </w:r>
      </w:hyperlink>
    </w:p>
    <w:p w14:paraId="70C12602" w14:textId="1153C856" w:rsidR="00EE086C" w:rsidRDefault="00EE086C">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82561813" w:history="1">
        <w:r w:rsidRPr="00BE5EC6">
          <w:rPr>
            <w:rStyle w:val="Hyperlink"/>
            <w:noProof/>
          </w:rPr>
          <w:t>In focus: Labour demand and difficulties facing Veterinarians</w:t>
        </w:r>
        <w:r>
          <w:rPr>
            <w:noProof/>
            <w:webHidden/>
          </w:rPr>
          <w:tab/>
        </w:r>
        <w:r>
          <w:rPr>
            <w:noProof/>
            <w:webHidden/>
          </w:rPr>
          <w:fldChar w:fldCharType="begin"/>
        </w:r>
        <w:r>
          <w:rPr>
            <w:noProof/>
            <w:webHidden/>
          </w:rPr>
          <w:instrText xml:space="preserve"> PAGEREF _Toc182561813 \h </w:instrText>
        </w:r>
        <w:r>
          <w:rPr>
            <w:noProof/>
            <w:webHidden/>
          </w:rPr>
        </w:r>
        <w:r>
          <w:rPr>
            <w:noProof/>
            <w:webHidden/>
          </w:rPr>
          <w:fldChar w:fldCharType="separate"/>
        </w:r>
        <w:r w:rsidR="00514540">
          <w:rPr>
            <w:noProof/>
            <w:webHidden/>
          </w:rPr>
          <w:t>15</w:t>
        </w:r>
        <w:r>
          <w:rPr>
            <w:noProof/>
            <w:webHidden/>
          </w:rPr>
          <w:fldChar w:fldCharType="end"/>
        </w:r>
      </w:hyperlink>
    </w:p>
    <w:p w14:paraId="3CDBFEC2" w14:textId="70BFC121" w:rsidR="00EE086C" w:rsidRDefault="00EE086C">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82561814" w:history="1">
        <w:r w:rsidRPr="00BE5EC6">
          <w:rPr>
            <w:rStyle w:val="Hyperlink"/>
            <w:noProof/>
          </w:rPr>
          <w:t>Jobs and Skills Australia resources</w:t>
        </w:r>
        <w:r>
          <w:rPr>
            <w:noProof/>
            <w:webHidden/>
          </w:rPr>
          <w:tab/>
        </w:r>
        <w:r>
          <w:rPr>
            <w:noProof/>
            <w:webHidden/>
          </w:rPr>
          <w:fldChar w:fldCharType="begin"/>
        </w:r>
        <w:r>
          <w:rPr>
            <w:noProof/>
            <w:webHidden/>
          </w:rPr>
          <w:instrText xml:space="preserve"> PAGEREF _Toc182561814 \h </w:instrText>
        </w:r>
        <w:r>
          <w:rPr>
            <w:noProof/>
            <w:webHidden/>
          </w:rPr>
        </w:r>
        <w:r>
          <w:rPr>
            <w:noProof/>
            <w:webHidden/>
          </w:rPr>
          <w:fldChar w:fldCharType="separate"/>
        </w:r>
        <w:r w:rsidR="00514540">
          <w:rPr>
            <w:noProof/>
            <w:webHidden/>
          </w:rPr>
          <w:t>16</w:t>
        </w:r>
        <w:r>
          <w:rPr>
            <w:noProof/>
            <w:webHidden/>
          </w:rPr>
          <w:fldChar w:fldCharType="end"/>
        </w:r>
      </w:hyperlink>
    </w:p>
    <w:p w14:paraId="5D323E67" w14:textId="5EC91ED5" w:rsidR="007D1020" w:rsidRPr="002D355E" w:rsidRDefault="00B11937" w:rsidP="00320647">
      <w:pPr>
        <w:spacing w:after="160" w:line="259" w:lineRule="auto"/>
      </w:pPr>
      <w:r w:rsidRPr="003B40AA">
        <w:fldChar w:fldCharType="end"/>
      </w:r>
    </w:p>
    <w:p w14:paraId="30D00198" w14:textId="77777777" w:rsidR="007D1020" w:rsidRPr="002D355E" w:rsidRDefault="007D1020" w:rsidP="00320647">
      <w:pPr>
        <w:spacing w:after="160" w:line="259" w:lineRule="auto"/>
      </w:pPr>
    </w:p>
    <w:p w14:paraId="575B21EE" w14:textId="77777777" w:rsidR="007D1020" w:rsidRPr="002D355E" w:rsidRDefault="007D1020" w:rsidP="00320647">
      <w:pPr>
        <w:spacing w:after="160" w:line="259" w:lineRule="auto"/>
      </w:pPr>
    </w:p>
    <w:p w14:paraId="125F88DC" w14:textId="77777777" w:rsidR="006A35A8" w:rsidRPr="002D355E" w:rsidRDefault="006A35A8" w:rsidP="00320647">
      <w:pPr>
        <w:spacing w:after="160" w:line="259" w:lineRule="auto"/>
      </w:pPr>
    </w:p>
    <w:p w14:paraId="3241F667" w14:textId="77777777" w:rsidR="006A35A8" w:rsidRPr="002D355E" w:rsidRDefault="006A35A8" w:rsidP="00320647">
      <w:pPr>
        <w:spacing w:after="160" w:line="259" w:lineRule="auto"/>
      </w:pPr>
    </w:p>
    <w:p w14:paraId="59A12063" w14:textId="77777777" w:rsidR="006A35A8" w:rsidRPr="002D355E" w:rsidRDefault="006A35A8" w:rsidP="00320647">
      <w:pPr>
        <w:spacing w:after="160" w:line="259" w:lineRule="auto"/>
      </w:pPr>
    </w:p>
    <w:p w14:paraId="0776621E" w14:textId="77777777" w:rsidR="008266DA" w:rsidRDefault="008266DA" w:rsidP="00320647">
      <w:pPr>
        <w:spacing w:after="160" w:line="259" w:lineRule="auto"/>
      </w:pPr>
    </w:p>
    <w:p w14:paraId="562DCD20" w14:textId="77777777" w:rsidR="00C57211" w:rsidRDefault="00C57211" w:rsidP="00320647">
      <w:pPr>
        <w:spacing w:after="160" w:line="259" w:lineRule="auto"/>
      </w:pPr>
    </w:p>
    <w:p w14:paraId="00429FA4" w14:textId="77777777" w:rsidR="00C57211" w:rsidRDefault="00C57211" w:rsidP="00320647">
      <w:pPr>
        <w:spacing w:after="160" w:line="259" w:lineRule="auto"/>
      </w:pPr>
    </w:p>
    <w:p w14:paraId="071472E6" w14:textId="77777777" w:rsidR="00C57211" w:rsidRDefault="00C57211" w:rsidP="00320647">
      <w:pPr>
        <w:spacing w:after="160" w:line="259" w:lineRule="auto"/>
      </w:pPr>
    </w:p>
    <w:p w14:paraId="301735A1" w14:textId="77777777" w:rsidR="00C57211" w:rsidRDefault="00C57211" w:rsidP="00320647">
      <w:pPr>
        <w:spacing w:after="160" w:line="259" w:lineRule="auto"/>
      </w:pPr>
    </w:p>
    <w:p w14:paraId="63909C1A" w14:textId="77777777" w:rsidR="00C57211" w:rsidRDefault="00C57211" w:rsidP="00320647">
      <w:pPr>
        <w:spacing w:after="160" w:line="259" w:lineRule="auto"/>
      </w:pPr>
    </w:p>
    <w:p w14:paraId="40A51C89" w14:textId="77777777" w:rsidR="00C57211" w:rsidRDefault="00C57211" w:rsidP="00320647">
      <w:pPr>
        <w:spacing w:after="160" w:line="259" w:lineRule="auto"/>
      </w:pPr>
    </w:p>
    <w:p w14:paraId="76ABA353" w14:textId="77777777" w:rsidR="00C57211" w:rsidRDefault="00C57211" w:rsidP="00320647">
      <w:pPr>
        <w:spacing w:after="160" w:line="259" w:lineRule="auto"/>
      </w:pPr>
    </w:p>
    <w:p w14:paraId="37354C4B" w14:textId="77777777" w:rsidR="00C57211" w:rsidRDefault="00C57211" w:rsidP="00320647">
      <w:pPr>
        <w:spacing w:after="160" w:line="259" w:lineRule="auto"/>
      </w:pPr>
    </w:p>
    <w:p w14:paraId="6CE43C84" w14:textId="77777777" w:rsidR="00C57211" w:rsidRDefault="00C57211" w:rsidP="00320647">
      <w:pPr>
        <w:spacing w:after="160" w:line="259" w:lineRule="auto"/>
      </w:pPr>
    </w:p>
    <w:p w14:paraId="12AFA7CF" w14:textId="77777777" w:rsidR="00C57211" w:rsidRDefault="00C57211" w:rsidP="00320647">
      <w:pPr>
        <w:spacing w:after="160" w:line="259" w:lineRule="auto"/>
      </w:pPr>
    </w:p>
    <w:p w14:paraId="69B05F7A" w14:textId="77777777" w:rsidR="00C57211" w:rsidRDefault="00C57211" w:rsidP="00320647">
      <w:pPr>
        <w:spacing w:after="160" w:line="259" w:lineRule="auto"/>
      </w:pPr>
    </w:p>
    <w:p w14:paraId="288D163D" w14:textId="77777777" w:rsidR="00C57211" w:rsidRDefault="00C57211" w:rsidP="00320647">
      <w:pPr>
        <w:spacing w:after="160" w:line="259" w:lineRule="auto"/>
      </w:pPr>
    </w:p>
    <w:p w14:paraId="6DD0E476" w14:textId="77777777" w:rsidR="00C57211" w:rsidRPr="002D355E" w:rsidRDefault="00C57211" w:rsidP="00320647">
      <w:pPr>
        <w:spacing w:after="160" w:line="259" w:lineRule="auto"/>
      </w:pPr>
    </w:p>
    <w:p w14:paraId="58E3B231" w14:textId="77777777" w:rsidR="008266DA" w:rsidRPr="002D355E" w:rsidRDefault="008266DA" w:rsidP="00320647">
      <w:pPr>
        <w:spacing w:after="160" w:line="259" w:lineRule="auto"/>
      </w:pPr>
    </w:p>
    <w:p w14:paraId="6D24FC55" w14:textId="41508BB3" w:rsidR="006A35A8" w:rsidRPr="002D355E" w:rsidRDefault="006A35A8" w:rsidP="58A895D0">
      <w:pPr>
        <w:spacing w:after="160" w:line="259" w:lineRule="auto"/>
        <w:rPr>
          <w:i/>
          <w:iCs/>
          <w:sz w:val="18"/>
          <w:szCs w:val="18"/>
        </w:rPr>
        <w:sectPr w:rsidR="006A35A8" w:rsidRPr="002D355E" w:rsidSect="00385EA9">
          <w:headerReference w:type="default" r:id="rId17"/>
          <w:headerReference w:type="first" r:id="rId18"/>
          <w:footerReference w:type="first" r:id="rId19"/>
          <w:pgSz w:w="11906" w:h="16838"/>
          <w:pgMar w:top="1276" w:right="1440" w:bottom="1134" w:left="1440" w:header="0" w:footer="539" w:gutter="0"/>
          <w:pgNumType w:start="0"/>
          <w:cols w:space="708"/>
          <w:titlePg/>
          <w:docGrid w:linePitch="360"/>
        </w:sectPr>
      </w:pPr>
      <w:r w:rsidRPr="58A895D0">
        <w:rPr>
          <w:i/>
          <w:iCs/>
          <w:sz w:val="18"/>
          <w:szCs w:val="18"/>
        </w:rPr>
        <w:t xml:space="preserve">The data in this document </w:t>
      </w:r>
      <w:bookmarkStart w:id="1" w:name="_Int_jBTOPx0A"/>
      <w:r w:rsidRPr="58A895D0">
        <w:rPr>
          <w:i/>
          <w:iCs/>
          <w:sz w:val="18"/>
          <w:szCs w:val="18"/>
        </w:rPr>
        <w:t>largely reflect</w:t>
      </w:r>
      <w:bookmarkEnd w:id="1"/>
      <w:r w:rsidRPr="58A895D0">
        <w:rPr>
          <w:i/>
          <w:iCs/>
          <w:sz w:val="18"/>
          <w:szCs w:val="18"/>
        </w:rPr>
        <w:t xml:space="preserve"> the latest </w:t>
      </w:r>
      <w:r w:rsidR="001C30E6" w:rsidRPr="58A895D0">
        <w:rPr>
          <w:i/>
          <w:iCs/>
          <w:sz w:val="18"/>
          <w:szCs w:val="18"/>
        </w:rPr>
        <w:t>September</w:t>
      </w:r>
      <w:r w:rsidRPr="58A895D0">
        <w:rPr>
          <w:i/>
          <w:iCs/>
          <w:sz w:val="18"/>
          <w:szCs w:val="18"/>
        </w:rPr>
        <w:t xml:space="preserve"> month and quarter and were current as of </w:t>
      </w:r>
      <w:r w:rsidR="00FF439D" w:rsidRPr="58A895D0">
        <w:rPr>
          <w:i/>
          <w:iCs/>
          <w:sz w:val="18"/>
          <w:szCs w:val="18"/>
        </w:rPr>
        <w:t>1</w:t>
      </w:r>
      <w:r w:rsidR="004A3838" w:rsidRPr="58A895D0">
        <w:rPr>
          <w:i/>
          <w:iCs/>
          <w:sz w:val="18"/>
          <w:szCs w:val="18"/>
        </w:rPr>
        <w:t>4</w:t>
      </w:r>
      <w:r w:rsidR="00B23CE0" w:rsidRPr="58A895D0">
        <w:rPr>
          <w:i/>
          <w:iCs/>
          <w:sz w:val="18"/>
          <w:szCs w:val="18"/>
        </w:rPr>
        <w:t> </w:t>
      </w:r>
      <w:r w:rsidR="001C30E6" w:rsidRPr="58A895D0">
        <w:rPr>
          <w:i/>
          <w:iCs/>
          <w:sz w:val="18"/>
          <w:szCs w:val="18"/>
        </w:rPr>
        <w:t>November</w:t>
      </w:r>
      <w:r w:rsidRPr="58A895D0">
        <w:rPr>
          <w:i/>
          <w:iCs/>
          <w:sz w:val="18"/>
          <w:szCs w:val="18"/>
        </w:rPr>
        <w:t xml:space="preserve"> 2024.</w:t>
      </w:r>
    </w:p>
    <w:p w14:paraId="342C5890" w14:textId="0B557434" w:rsidR="008564DD" w:rsidRPr="002D355E" w:rsidRDefault="008564DD" w:rsidP="00320647">
      <w:pPr>
        <w:pStyle w:val="Heading1"/>
      </w:pPr>
      <w:bookmarkStart w:id="2" w:name="_Toc151365176"/>
      <w:bookmarkStart w:id="3" w:name="_Toc182561807"/>
      <w:bookmarkStart w:id="4" w:name="_Hlk165359703"/>
      <w:r w:rsidRPr="002D355E">
        <w:lastRenderedPageBreak/>
        <w:t xml:space="preserve">Executive </w:t>
      </w:r>
      <w:r w:rsidR="000023F8" w:rsidRPr="002D355E">
        <w:t>s</w:t>
      </w:r>
      <w:r w:rsidRPr="002D355E">
        <w:t>ummary</w:t>
      </w:r>
      <w:bookmarkEnd w:id="2"/>
      <w:bookmarkEnd w:id="3"/>
    </w:p>
    <w:bookmarkEnd w:id="4"/>
    <w:p w14:paraId="1B05263B" w14:textId="03A0074A" w:rsidR="00955642" w:rsidRPr="00955642" w:rsidRDefault="00955642" w:rsidP="00B56024">
      <w:pPr>
        <w:spacing w:before="240"/>
        <w:rPr>
          <w:rFonts w:eastAsia="Arial" w:cs="Times New Roman"/>
        </w:rPr>
      </w:pPr>
      <w:r w:rsidRPr="58A895D0">
        <w:rPr>
          <w:rFonts w:eastAsia="Arial" w:cs="Times New Roman"/>
        </w:rPr>
        <w:t xml:space="preserve">Against the backdrop of challenging economic conditions, the Australian labour market continued to display resilience over the September quarter 2024, </w:t>
      </w:r>
      <w:r w:rsidR="000B13C9" w:rsidRPr="58A895D0">
        <w:rPr>
          <w:rFonts w:eastAsia="Arial" w:cs="Times New Roman"/>
        </w:rPr>
        <w:t>supported</w:t>
      </w:r>
      <w:r w:rsidRPr="58A895D0">
        <w:rPr>
          <w:rFonts w:eastAsia="Arial" w:cs="Times New Roman"/>
        </w:rPr>
        <w:t xml:space="preserve"> by strong working age population growth. Despite a </w:t>
      </w:r>
      <w:bookmarkStart w:id="5" w:name="_Int_PpGQgiti"/>
      <w:r w:rsidRPr="58A895D0">
        <w:rPr>
          <w:rFonts w:eastAsia="Arial" w:cs="Times New Roman"/>
        </w:rPr>
        <w:t>reasonably tight</w:t>
      </w:r>
      <w:bookmarkEnd w:id="5"/>
      <w:r w:rsidRPr="58A895D0">
        <w:rPr>
          <w:rFonts w:eastAsia="Arial" w:cs="Times New Roman"/>
        </w:rPr>
        <w:t xml:space="preserve"> labour market, several partial forward indicators of labour demand continue to point to a gradual softening in labour market activity in the coming months</w:t>
      </w:r>
      <w:r w:rsidR="002921A5" w:rsidRPr="58A895D0">
        <w:rPr>
          <w:rFonts w:eastAsia="Arial" w:cs="Times New Roman"/>
        </w:rPr>
        <w:t xml:space="preserve"> – with</w:t>
      </w:r>
      <w:r w:rsidR="000B13C9" w:rsidRPr="58A895D0">
        <w:rPr>
          <w:rFonts w:eastAsia="Arial" w:cs="Times New Roman"/>
        </w:rPr>
        <w:t xml:space="preserve"> </w:t>
      </w:r>
      <w:r w:rsidRPr="58A895D0">
        <w:rPr>
          <w:rFonts w:eastAsia="Arial" w:cs="Times New Roman"/>
        </w:rPr>
        <w:t xml:space="preserve">the unemployment rate expected to </w:t>
      </w:r>
      <w:r w:rsidR="002921A5" w:rsidRPr="58A895D0">
        <w:rPr>
          <w:rFonts w:eastAsia="Arial" w:cs="Times New Roman"/>
        </w:rPr>
        <w:t>drift higher</w:t>
      </w:r>
      <w:r w:rsidRPr="58A895D0">
        <w:rPr>
          <w:rFonts w:eastAsia="Arial" w:cs="Times New Roman"/>
        </w:rPr>
        <w:t xml:space="preserve"> in the period ahead</w:t>
      </w:r>
      <w:r w:rsidR="000B13C9" w:rsidRPr="58A895D0">
        <w:rPr>
          <w:rFonts w:eastAsia="Arial" w:cs="Times New Roman"/>
        </w:rPr>
        <w:t>.</w:t>
      </w:r>
    </w:p>
    <w:p w14:paraId="2F9855FD" w14:textId="154B6925" w:rsidR="00955642" w:rsidRPr="00955642" w:rsidRDefault="00955642" w:rsidP="00955642">
      <w:pPr>
        <w:rPr>
          <w:rFonts w:eastAsia="Arial" w:cs="Times New Roman"/>
        </w:rPr>
      </w:pPr>
      <w:r w:rsidRPr="00955642">
        <w:rPr>
          <w:rFonts w:eastAsia="Arial" w:cs="Times New Roman"/>
        </w:rPr>
        <w:t>Net employment growth over the past year is fully attributable to Skill Level 1 to 4 occupations</w:t>
      </w:r>
      <w:r w:rsidR="000B13C9">
        <w:rPr>
          <w:rFonts w:eastAsia="Arial" w:cs="Times New Roman"/>
        </w:rPr>
        <w:t xml:space="preserve">, </w:t>
      </w:r>
      <w:r w:rsidRPr="00955642">
        <w:rPr>
          <w:rFonts w:eastAsia="Arial" w:cs="Times New Roman"/>
        </w:rPr>
        <w:t xml:space="preserve">typically associated with a post-secondary school qualification. More than half of this employment growth was in occupations typically associated with a Vocational Educational Training pathway. While these results reinforce the importance of tertiary qualifications to employment outcomes, groups who are less likely to have these qualifications (such as youth and the long-term unemployed) have experienced less </w:t>
      </w:r>
      <w:r w:rsidR="000B13C9">
        <w:rPr>
          <w:rFonts w:eastAsia="Arial" w:cs="Times New Roman"/>
        </w:rPr>
        <w:t>favourable</w:t>
      </w:r>
      <w:r w:rsidRPr="00955642">
        <w:rPr>
          <w:rFonts w:eastAsia="Arial" w:cs="Times New Roman"/>
        </w:rPr>
        <w:t xml:space="preserve"> employment outcomes over the past year.</w:t>
      </w:r>
    </w:p>
    <w:p w14:paraId="0227995D" w14:textId="56B52240" w:rsidR="00955642" w:rsidRPr="00955642" w:rsidRDefault="00955642" w:rsidP="00955642">
      <w:pPr>
        <w:rPr>
          <w:rFonts w:eastAsia="Arial" w:cs="Times New Roman"/>
        </w:rPr>
      </w:pPr>
      <w:r w:rsidRPr="00955642">
        <w:rPr>
          <w:rFonts w:eastAsia="Arial" w:cs="Times New Roman"/>
        </w:rPr>
        <w:t xml:space="preserve">Partial forward indicators of labour demand point to </w:t>
      </w:r>
      <w:r w:rsidR="000B13C9">
        <w:rPr>
          <w:rFonts w:eastAsia="Arial" w:cs="Times New Roman"/>
        </w:rPr>
        <w:t xml:space="preserve">a </w:t>
      </w:r>
      <w:r w:rsidRPr="00955642">
        <w:rPr>
          <w:rFonts w:eastAsia="Arial" w:cs="Times New Roman"/>
        </w:rPr>
        <w:t>further softening in labour market activity</w:t>
      </w:r>
      <w:r w:rsidR="000B13C9">
        <w:rPr>
          <w:rFonts w:eastAsia="Arial" w:cs="Times New Roman"/>
        </w:rPr>
        <w:t xml:space="preserve">. </w:t>
      </w:r>
      <w:r w:rsidRPr="00955642">
        <w:rPr>
          <w:rFonts w:eastAsia="Arial" w:cs="Times New Roman"/>
        </w:rPr>
        <w:t xml:space="preserve">For instance, the number of job advertisements measured by Jobs and Skills Australia’s </w:t>
      </w:r>
      <w:r w:rsidRPr="00955642">
        <w:rPr>
          <w:rFonts w:eastAsia="Arial" w:cs="Times New Roman"/>
          <w:b/>
          <w:bCs/>
        </w:rPr>
        <w:t xml:space="preserve">Internet Vacancy Index </w:t>
      </w:r>
      <w:r w:rsidR="000F71AC" w:rsidRPr="00866EAE">
        <w:rPr>
          <w:rFonts w:eastAsia="Arial" w:cs="Times New Roman"/>
        </w:rPr>
        <w:t>(IVI)</w:t>
      </w:r>
      <w:r w:rsidR="000F71AC">
        <w:rPr>
          <w:rFonts w:eastAsia="Arial" w:cs="Times New Roman"/>
          <w:b/>
          <w:bCs/>
        </w:rPr>
        <w:t xml:space="preserve"> </w:t>
      </w:r>
      <w:r w:rsidRPr="00955642">
        <w:rPr>
          <w:rFonts w:eastAsia="Arial" w:cs="Times New Roman"/>
          <w:b/>
          <w:bCs/>
        </w:rPr>
        <w:t>data</w:t>
      </w:r>
      <w:r w:rsidRPr="00955642">
        <w:rPr>
          <w:rFonts w:eastAsia="Arial" w:cs="Times New Roman"/>
        </w:rPr>
        <w:t xml:space="preserve"> </w:t>
      </w:r>
      <w:r w:rsidR="004C1649">
        <w:rPr>
          <w:rFonts w:eastAsia="Arial" w:cs="Times New Roman"/>
        </w:rPr>
        <w:t>increased</w:t>
      </w:r>
      <w:r w:rsidR="0036749D">
        <w:rPr>
          <w:rFonts w:eastAsia="Arial" w:cs="Times New Roman"/>
        </w:rPr>
        <w:t xml:space="preserve"> over</w:t>
      </w:r>
      <w:r w:rsidR="004C1649">
        <w:rPr>
          <w:rFonts w:eastAsia="Arial" w:cs="Times New Roman"/>
        </w:rPr>
        <w:t xml:space="preserve"> </w:t>
      </w:r>
      <w:r w:rsidRPr="00955642">
        <w:rPr>
          <w:rFonts w:eastAsia="Arial" w:cs="Times New Roman"/>
        </w:rPr>
        <w:t xml:space="preserve">the September </w:t>
      </w:r>
      <w:r w:rsidR="0036749D">
        <w:rPr>
          <w:rFonts w:eastAsia="Arial" w:cs="Times New Roman"/>
        </w:rPr>
        <w:t xml:space="preserve">quarter </w:t>
      </w:r>
      <w:r w:rsidRPr="00955642">
        <w:rPr>
          <w:rFonts w:eastAsia="Arial" w:cs="Times New Roman"/>
        </w:rPr>
        <w:t xml:space="preserve">2024. It remains below its mid-2022 peak although </w:t>
      </w:r>
      <w:r w:rsidR="00C80977">
        <w:rPr>
          <w:rFonts w:eastAsia="Arial" w:cs="Times New Roman"/>
        </w:rPr>
        <w:t xml:space="preserve">is </w:t>
      </w:r>
      <w:r w:rsidRPr="00955642">
        <w:rPr>
          <w:rFonts w:eastAsia="Arial" w:cs="Times New Roman"/>
        </w:rPr>
        <w:t>still elevated compared to pre</w:t>
      </w:r>
      <w:r w:rsidR="636EE7C9" w:rsidRPr="3CBB7E0A">
        <w:rPr>
          <w:rFonts w:eastAsia="Arial" w:cs="Times New Roman"/>
        </w:rPr>
        <w:t>-</w:t>
      </w:r>
      <w:r w:rsidRPr="00955642">
        <w:rPr>
          <w:rFonts w:eastAsia="Arial" w:cs="Times New Roman"/>
        </w:rPr>
        <w:t xml:space="preserve">COVID levels. Similarly, results from Jobs and Skills Australia’s September 2024 </w:t>
      </w:r>
      <w:r w:rsidRPr="00955642">
        <w:rPr>
          <w:rFonts w:eastAsia="Arial" w:cs="Times New Roman"/>
          <w:b/>
          <w:bCs/>
        </w:rPr>
        <w:t>Recruitment Experiences and Outlook Survey</w:t>
      </w:r>
      <w:r w:rsidRPr="00955642">
        <w:rPr>
          <w:rFonts w:eastAsia="Arial" w:cs="Times New Roman"/>
        </w:rPr>
        <w:t xml:space="preserve"> </w:t>
      </w:r>
      <w:r w:rsidR="000F71AC">
        <w:rPr>
          <w:rFonts w:eastAsia="Arial" w:cs="Times New Roman"/>
        </w:rPr>
        <w:t xml:space="preserve">(REOS) </w:t>
      </w:r>
      <w:r w:rsidRPr="00955642">
        <w:rPr>
          <w:rFonts w:eastAsia="Arial" w:cs="Times New Roman"/>
        </w:rPr>
        <w:t>showed</w:t>
      </w:r>
      <w:r w:rsidR="00F730D6">
        <w:rPr>
          <w:rFonts w:eastAsia="Arial" w:cs="Times New Roman"/>
        </w:rPr>
        <w:t xml:space="preserve"> sign</w:t>
      </w:r>
      <w:r w:rsidR="0080015C">
        <w:rPr>
          <w:rFonts w:eastAsia="Arial" w:cs="Times New Roman"/>
        </w:rPr>
        <w:t xml:space="preserve">s </w:t>
      </w:r>
      <w:r w:rsidR="00EB0EAA">
        <w:rPr>
          <w:rFonts w:eastAsia="Arial" w:cs="Times New Roman"/>
        </w:rPr>
        <w:t xml:space="preserve">that </w:t>
      </w:r>
      <w:r w:rsidRPr="00955642">
        <w:rPr>
          <w:rFonts w:eastAsia="Arial" w:cs="Times New Roman"/>
        </w:rPr>
        <w:t xml:space="preserve">the proportion of employers </w:t>
      </w:r>
      <w:r w:rsidR="00EB0EAA">
        <w:rPr>
          <w:rFonts w:eastAsia="Arial" w:cs="Times New Roman"/>
        </w:rPr>
        <w:t>that</w:t>
      </w:r>
      <w:r w:rsidRPr="00955642">
        <w:rPr>
          <w:rFonts w:eastAsia="Arial" w:cs="Times New Roman"/>
        </w:rPr>
        <w:t xml:space="preserve"> are recruiting </w:t>
      </w:r>
      <w:r w:rsidR="00E41B2B">
        <w:rPr>
          <w:rFonts w:eastAsia="Arial" w:cs="Times New Roman"/>
        </w:rPr>
        <w:t xml:space="preserve">is reaching </w:t>
      </w:r>
      <w:r w:rsidR="007F6E0B">
        <w:rPr>
          <w:rFonts w:eastAsia="Arial" w:cs="Times New Roman"/>
        </w:rPr>
        <w:t xml:space="preserve">a </w:t>
      </w:r>
      <w:r w:rsidR="00F730D6">
        <w:rPr>
          <w:rFonts w:eastAsia="Arial" w:cs="Times New Roman"/>
        </w:rPr>
        <w:t>plateau</w:t>
      </w:r>
      <w:r w:rsidR="007F6E0B">
        <w:rPr>
          <w:rFonts w:eastAsia="Arial" w:cs="Times New Roman"/>
        </w:rPr>
        <w:t xml:space="preserve"> </w:t>
      </w:r>
      <w:r w:rsidR="00F730D6">
        <w:rPr>
          <w:rFonts w:eastAsia="Arial" w:cs="Times New Roman"/>
        </w:rPr>
        <w:t>after a period of almost 2 years of gradual softening.</w:t>
      </w:r>
    </w:p>
    <w:p w14:paraId="1329325A" w14:textId="7DEFD0A1" w:rsidR="00216001" w:rsidRPr="001626A6" w:rsidRDefault="00216001" w:rsidP="00216001">
      <w:pPr>
        <w:rPr>
          <w:rFonts w:eastAsia="Arial" w:cs="Times New Roman"/>
        </w:rPr>
      </w:pPr>
      <w:r w:rsidRPr="58A895D0">
        <w:rPr>
          <w:rFonts w:eastAsia="Arial" w:cs="Times New Roman"/>
        </w:rPr>
        <w:t xml:space="preserve">Results from Jobs and Skills Australia’s </w:t>
      </w:r>
      <w:r w:rsidRPr="58A895D0">
        <w:rPr>
          <w:rFonts w:eastAsia="Arial" w:cs="Times New Roman"/>
          <w:b/>
          <w:bCs/>
        </w:rPr>
        <w:t xml:space="preserve">Survey of Employers who have Recently Advertised </w:t>
      </w:r>
      <w:r w:rsidRPr="58A895D0">
        <w:rPr>
          <w:rFonts w:eastAsia="Arial" w:cs="Times New Roman"/>
        </w:rPr>
        <w:t xml:space="preserve">(SERA) point to a continued softening in the labour market. Fill rates continued to rise over the year to September quarter 2024, indicating that employers are filling vacancies more easily. </w:t>
      </w:r>
      <w:r w:rsidR="004F1CC9" w:rsidRPr="58A895D0">
        <w:rPr>
          <w:rFonts w:eastAsia="Arial" w:cs="Times New Roman"/>
        </w:rPr>
        <w:t>Increases in fill rates and improvements in the suitability gap may both be attributable to softening labour market conditions</w:t>
      </w:r>
      <w:r w:rsidR="00DF36C2" w:rsidRPr="58A895D0">
        <w:rPr>
          <w:rFonts w:eastAsia="Arial" w:cs="Times New Roman"/>
        </w:rPr>
        <w:t xml:space="preserve">, </w:t>
      </w:r>
      <w:r w:rsidR="006F50AF">
        <w:t>employers may be able to exercise greater scrutiny of candidates at recruitment</w:t>
      </w:r>
      <w:r w:rsidR="004F1CC9" w:rsidRPr="58A895D0">
        <w:rPr>
          <w:rFonts w:eastAsia="Arial" w:cs="Times New Roman"/>
        </w:rPr>
        <w:t xml:space="preserve">. </w:t>
      </w:r>
      <w:r w:rsidRPr="58A895D0">
        <w:rPr>
          <w:rFonts w:eastAsia="Arial" w:cs="Times New Roman"/>
        </w:rPr>
        <w:t xml:space="preserve">Over the same period, </w:t>
      </w:r>
      <w:r>
        <w:t xml:space="preserve">fill rates increased in both metropolitan and regional areas, but regional areas still </w:t>
      </w:r>
      <w:bookmarkStart w:id="6" w:name="_Int_AxPeAQqc"/>
      <w:r>
        <w:t>lagged behind</w:t>
      </w:r>
      <w:bookmarkEnd w:id="6"/>
      <w:r>
        <w:t>. This suggests that shortage pressures are easing faster in metropolitan areas</w:t>
      </w:r>
      <w:r w:rsidRPr="58A895D0">
        <w:rPr>
          <w:rFonts w:eastAsia="Arial" w:cs="Times New Roman"/>
        </w:rPr>
        <w:t>.</w:t>
      </w:r>
    </w:p>
    <w:p w14:paraId="7AA1CD99" w14:textId="77777777" w:rsidR="00216001" w:rsidRDefault="00216001" w:rsidP="00955642">
      <w:pPr>
        <w:rPr>
          <w:rFonts w:eastAsia="Arial" w:cs="Times New Roman"/>
        </w:rPr>
      </w:pPr>
    </w:p>
    <w:p w14:paraId="34C8945C" w14:textId="539F4FE8" w:rsidR="00DD4550" w:rsidRPr="002D355E" w:rsidRDefault="00DD4550" w:rsidP="00320647">
      <w:pPr>
        <w:sectPr w:rsidR="00DD4550" w:rsidRPr="002D355E" w:rsidSect="00685DA5">
          <w:headerReference w:type="default" r:id="rId20"/>
          <w:headerReference w:type="first" r:id="rId21"/>
          <w:footerReference w:type="first" r:id="rId22"/>
          <w:pgSz w:w="11906" w:h="16838"/>
          <w:pgMar w:top="1276" w:right="1440" w:bottom="1134" w:left="1440" w:header="0" w:footer="510" w:gutter="0"/>
          <w:pgNumType w:start="1"/>
          <w:cols w:space="708"/>
          <w:titlePg/>
          <w:docGrid w:linePitch="360"/>
        </w:sectPr>
      </w:pPr>
    </w:p>
    <w:p w14:paraId="7068ADBE" w14:textId="2AAD6837" w:rsidR="008564DD" w:rsidRPr="00B56024" w:rsidRDefault="00024E7B" w:rsidP="002A6BE4">
      <w:pPr>
        <w:pStyle w:val="Heading1"/>
        <w:spacing w:line="240" w:lineRule="auto"/>
        <w:rPr>
          <w:szCs w:val="56"/>
        </w:rPr>
      </w:pPr>
      <w:bookmarkStart w:id="7" w:name="_Toc182561808"/>
      <w:r w:rsidRPr="00B56024">
        <w:rPr>
          <w:szCs w:val="56"/>
        </w:rPr>
        <w:lastRenderedPageBreak/>
        <w:t xml:space="preserve">The </w:t>
      </w:r>
      <w:r w:rsidR="00630B99" w:rsidRPr="00B56024">
        <w:rPr>
          <w:szCs w:val="56"/>
        </w:rPr>
        <w:t>September</w:t>
      </w:r>
      <w:r w:rsidRPr="00B56024">
        <w:rPr>
          <w:szCs w:val="56"/>
        </w:rPr>
        <w:t xml:space="preserve"> quarter l</w:t>
      </w:r>
      <w:r w:rsidR="00F85A97" w:rsidRPr="00B56024">
        <w:rPr>
          <w:szCs w:val="56"/>
        </w:rPr>
        <w:t>abour market</w:t>
      </w:r>
      <w:bookmarkEnd w:id="7"/>
    </w:p>
    <w:p w14:paraId="588336F3" w14:textId="7423B974" w:rsidR="00400AD7" w:rsidRDefault="00623868" w:rsidP="00C40D54">
      <w:pPr>
        <w:spacing w:before="240"/>
        <w:rPr>
          <w:rFonts w:eastAsia="Arial" w:cs="Times New Roman"/>
        </w:rPr>
      </w:pPr>
      <w:r>
        <w:rPr>
          <w:rFonts w:eastAsia="Arial" w:cs="Times New Roman"/>
        </w:rPr>
        <w:t>The Australian Bureau of Statistics (</w:t>
      </w:r>
      <w:r w:rsidR="008F6EF7" w:rsidRPr="008F6EF7">
        <w:rPr>
          <w:rFonts w:eastAsia="Arial" w:cs="Times New Roman"/>
        </w:rPr>
        <w:t>ABS</w:t>
      </w:r>
      <w:r>
        <w:rPr>
          <w:rFonts w:eastAsia="Arial" w:cs="Times New Roman"/>
        </w:rPr>
        <w:t xml:space="preserve">) </w:t>
      </w:r>
      <w:r w:rsidR="008F6EF7" w:rsidRPr="008F6EF7">
        <w:rPr>
          <w:rFonts w:eastAsia="Arial" w:cs="Times New Roman"/>
        </w:rPr>
        <w:t xml:space="preserve">Labour Force Survey data showed </w:t>
      </w:r>
      <w:r w:rsidR="00305593">
        <w:rPr>
          <w:rFonts w:eastAsia="Arial" w:cs="Times New Roman"/>
        </w:rPr>
        <w:t xml:space="preserve">that </w:t>
      </w:r>
      <w:r w:rsidR="008F6EF7" w:rsidRPr="008F6EF7">
        <w:rPr>
          <w:rFonts w:eastAsia="Arial" w:cs="Times New Roman"/>
        </w:rPr>
        <w:t>seasonally adjusted employment increased by 155,600 (or 1.1%) over the September quarter</w:t>
      </w:r>
      <w:r w:rsidR="00400AD7">
        <w:rPr>
          <w:rFonts w:eastAsia="Arial" w:cs="Times New Roman"/>
        </w:rPr>
        <w:t xml:space="preserve"> 2024</w:t>
      </w:r>
      <w:r w:rsidR="008F6EF7" w:rsidRPr="008F6EF7">
        <w:rPr>
          <w:rFonts w:eastAsia="Arial" w:cs="Times New Roman"/>
        </w:rPr>
        <w:t xml:space="preserve">, above the growth rate of 0.8% recorded in the </w:t>
      </w:r>
      <w:r w:rsidR="00400AD7">
        <w:rPr>
          <w:rFonts w:eastAsia="Arial" w:cs="Times New Roman"/>
        </w:rPr>
        <w:t>June</w:t>
      </w:r>
      <w:r w:rsidR="008F6EF7" w:rsidRPr="008F6EF7">
        <w:rPr>
          <w:rFonts w:eastAsia="Arial" w:cs="Times New Roman"/>
        </w:rPr>
        <w:t xml:space="preserve"> quarter</w:t>
      </w:r>
      <w:r w:rsidR="00400AD7">
        <w:rPr>
          <w:rFonts w:eastAsia="Arial" w:cs="Times New Roman"/>
        </w:rPr>
        <w:t xml:space="preserve"> 2024</w:t>
      </w:r>
      <w:r w:rsidR="008F6EF7" w:rsidRPr="008F6EF7">
        <w:rPr>
          <w:rFonts w:eastAsia="Arial" w:cs="Times New Roman"/>
        </w:rPr>
        <w:t>.</w:t>
      </w:r>
    </w:p>
    <w:p w14:paraId="0FC0E000" w14:textId="77777777" w:rsidR="008F6EF7" w:rsidRPr="00A532AE" w:rsidRDefault="008F6EF7" w:rsidP="00A532AE">
      <w:pPr>
        <w:spacing w:before="240"/>
        <w:rPr>
          <w:rFonts w:eastAsia="Arial" w:cs="Times New Roman"/>
          <w:b/>
          <w:bCs/>
          <w:sz w:val="18"/>
          <w:szCs w:val="18"/>
        </w:rPr>
      </w:pPr>
      <w:r w:rsidRPr="00A532AE">
        <w:rPr>
          <w:rFonts w:eastAsia="Arial" w:cs="Times New Roman"/>
          <w:b/>
          <w:bCs/>
          <w:sz w:val="18"/>
          <w:szCs w:val="18"/>
        </w:rPr>
        <w:t>Table 1: Key labour market indicators, September 2024 and change since June 2024</w:t>
      </w:r>
    </w:p>
    <w:tbl>
      <w:tblPr>
        <w:tblStyle w:val="JSATable1"/>
        <w:tblW w:w="9781" w:type="dxa"/>
        <w:tblLayout w:type="fixed"/>
        <w:tblLook w:val="0020" w:firstRow="1" w:lastRow="0" w:firstColumn="0" w:lastColumn="0" w:noHBand="0" w:noVBand="0"/>
      </w:tblPr>
      <w:tblGrid>
        <w:gridCol w:w="1276"/>
        <w:gridCol w:w="60"/>
        <w:gridCol w:w="1216"/>
        <w:gridCol w:w="1417"/>
        <w:gridCol w:w="1276"/>
        <w:gridCol w:w="1701"/>
        <w:gridCol w:w="1559"/>
        <w:gridCol w:w="1276"/>
      </w:tblGrid>
      <w:tr w:rsidR="008F6EF7" w:rsidRPr="004F591C" w14:paraId="745C098F" w14:textId="77777777" w:rsidTr="004F591C">
        <w:trPr>
          <w:cnfStyle w:val="100000000000" w:firstRow="1" w:lastRow="0" w:firstColumn="0" w:lastColumn="0" w:oddVBand="0" w:evenVBand="0" w:oddHBand="0" w:evenHBand="0" w:firstRowFirstColumn="0" w:firstRowLastColumn="0" w:lastRowFirstColumn="0" w:lastRowLastColumn="0"/>
          <w:trHeight w:val="20"/>
        </w:trPr>
        <w:tc>
          <w:tcPr>
            <w:tcW w:w="1276" w:type="dxa"/>
            <w:shd w:val="clear" w:color="auto" w:fill="012749"/>
            <w:vAlign w:val="center"/>
          </w:tcPr>
          <w:p w14:paraId="755E0F6D" w14:textId="77777777" w:rsidR="008F6EF7" w:rsidRPr="004F591C" w:rsidRDefault="008F6EF7">
            <w:pPr>
              <w:jc w:val="center"/>
              <w:rPr>
                <w:rFonts w:eastAsia="Arial" w:cs="Arial"/>
                <w:sz w:val="18"/>
                <w:szCs w:val="18"/>
              </w:rPr>
            </w:pPr>
            <w:r w:rsidRPr="004F591C">
              <w:rPr>
                <w:rFonts w:eastAsia="Arial" w:cs="Arial"/>
                <w:sz w:val="18"/>
                <w:szCs w:val="18"/>
              </w:rPr>
              <w:t>Employment</w:t>
            </w:r>
          </w:p>
        </w:tc>
        <w:tc>
          <w:tcPr>
            <w:tcW w:w="1276" w:type="dxa"/>
            <w:gridSpan w:val="2"/>
            <w:shd w:val="clear" w:color="auto" w:fill="012749"/>
            <w:vAlign w:val="center"/>
          </w:tcPr>
          <w:p w14:paraId="3482C7FA" w14:textId="77777777" w:rsidR="008F6EF7" w:rsidRPr="004F591C" w:rsidRDefault="008F6EF7">
            <w:pPr>
              <w:jc w:val="center"/>
              <w:rPr>
                <w:rFonts w:eastAsia="Arial" w:cs="Arial"/>
                <w:sz w:val="18"/>
                <w:szCs w:val="18"/>
              </w:rPr>
            </w:pPr>
            <w:r w:rsidRPr="004F591C">
              <w:rPr>
                <w:rFonts w:eastAsia="Arial" w:cs="Arial"/>
                <w:sz w:val="18"/>
                <w:szCs w:val="18"/>
              </w:rPr>
              <w:t>Full-time employment</w:t>
            </w:r>
          </w:p>
        </w:tc>
        <w:tc>
          <w:tcPr>
            <w:tcW w:w="1417" w:type="dxa"/>
            <w:shd w:val="clear" w:color="auto" w:fill="012749"/>
            <w:vAlign w:val="center"/>
          </w:tcPr>
          <w:p w14:paraId="183E9392" w14:textId="77777777" w:rsidR="008F6EF7" w:rsidRPr="004F591C" w:rsidRDefault="008F6EF7">
            <w:pPr>
              <w:jc w:val="center"/>
              <w:rPr>
                <w:rFonts w:eastAsia="Arial" w:cs="Arial"/>
                <w:sz w:val="18"/>
                <w:szCs w:val="18"/>
              </w:rPr>
            </w:pPr>
            <w:r w:rsidRPr="004F591C">
              <w:rPr>
                <w:rFonts w:eastAsia="Arial" w:cs="Arial"/>
                <w:sz w:val="18"/>
                <w:szCs w:val="18"/>
              </w:rPr>
              <w:t>Part-time employment</w:t>
            </w:r>
          </w:p>
        </w:tc>
        <w:tc>
          <w:tcPr>
            <w:tcW w:w="1276" w:type="dxa"/>
            <w:shd w:val="clear" w:color="auto" w:fill="012749"/>
            <w:vAlign w:val="center"/>
          </w:tcPr>
          <w:p w14:paraId="33B00209" w14:textId="77777777" w:rsidR="008F6EF7" w:rsidRPr="004F591C" w:rsidRDefault="008F6EF7">
            <w:pPr>
              <w:jc w:val="center"/>
              <w:rPr>
                <w:rFonts w:eastAsia="Arial" w:cs="Arial"/>
                <w:sz w:val="18"/>
                <w:szCs w:val="18"/>
              </w:rPr>
            </w:pPr>
            <w:r w:rsidRPr="004F591C">
              <w:rPr>
                <w:rFonts w:eastAsia="Arial" w:cs="Arial"/>
                <w:sz w:val="18"/>
                <w:szCs w:val="18"/>
              </w:rPr>
              <w:t>Hours worked</w:t>
            </w:r>
          </w:p>
        </w:tc>
        <w:tc>
          <w:tcPr>
            <w:tcW w:w="1701" w:type="dxa"/>
            <w:shd w:val="clear" w:color="auto" w:fill="012749"/>
            <w:vAlign w:val="center"/>
          </w:tcPr>
          <w:p w14:paraId="024ADD61" w14:textId="77777777" w:rsidR="008F6EF7" w:rsidRPr="004F591C" w:rsidRDefault="008F6EF7">
            <w:pPr>
              <w:jc w:val="center"/>
              <w:rPr>
                <w:rFonts w:eastAsia="Arial" w:cs="Arial"/>
                <w:sz w:val="18"/>
                <w:szCs w:val="18"/>
              </w:rPr>
            </w:pPr>
            <w:r w:rsidRPr="004F591C">
              <w:rPr>
                <w:rFonts w:eastAsia="Arial" w:cs="Arial"/>
                <w:sz w:val="18"/>
                <w:szCs w:val="18"/>
              </w:rPr>
              <w:t>Underemployment rate</w:t>
            </w:r>
          </w:p>
        </w:tc>
        <w:tc>
          <w:tcPr>
            <w:tcW w:w="1559" w:type="dxa"/>
            <w:shd w:val="clear" w:color="auto" w:fill="012749"/>
            <w:vAlign w:val="center"/>
          </w:tcPr>
          <w:p w14:paraId="0D1B7801" w14:textId="77777777" w:rsidR="008F6EF7" w:rsidRPr="004F591C" w:rsidRDefault="008F6EF7">
            <w:pPr>
              <w:jc w:val="center"/>
              <w:rPr>
                <w:rFonts w:eastAsia="Arial" w:cs="Arial"/>
                <w:sz w:val="18"/>
                <w:szCs w:val="18"/>
              </w:rPr>
            </w:pPr>
            <w:r w:rsidRPr="004F591C">
              <w:rPr>
                <w:rFonts w:eastAsia="Arial" w:cs="Arial"/>
                <w:sz w:val="18"/>
                <w:szCs w:val="18"/>
              </w:rPr>
              <w:t>Unemployment rate</w:t>
            </w:r>
          </w:p>
        </w:tc>
        <w:tc>
          <w:tcPr>
            <w:tcW w:w="1276" w:type="dxa"/>
            <w:shd w:val="clear" w:color="auto" w:fill="012749"/>
            <w:vAlign w:val="center"/>
          </w:tcPr>
          <w:p w14:paraId="71D786D2" w14:textId="77777777" w:rsidR="008F6EF7" w:rsidRPr="004F591C" w:rsidRDefault="008F6EF7">
            <w:pPr>
              <w:jc w:val="center"/>
              <w:rPr>
                <w:rFonts w:eastAsia="Arial" w:cs="Arial"/>
                <w:sz w:val="18"/>
                <w:szCs w:val="18"/>
              </w:rPr>
            </w:pPr>
            <w:r w:rsidRPr="004F591C">
              <w:rPr>
                <w:rFonts w:eastAsia="Arial" w:cs="Arial"/>
                <w:sz w:val="18"/>
                <w:szCs w:val="18"/>
              </w:rPr>
              <w:t>Participation rate</w:t>
            </w:r>
          </w:p>
        </w:tc>
      </w:tr>
      <w:tr w:rsidR="008F6EF7" w:rsidRPr="004F591C" w14:paraId="7B2A9B14" w14:textId="77777777" w:rsidTr="004F591C">
        <w:trPr>
          <w:trHeight w:val="510"/>
        </w:trPr>
        <w:tc>
          <w:tcPr>
            <w:tcW w:w="1336" w:type="dxa"/>
            <w:gridSpan w:val="2"/>
            <w:tcBorders>
              <w:bottom w:val="nil"/>
            </w:tcBorders>
            <w:vAlign w:val="center"/>
          </w:tcPr>
          <w:p w14:paraId="09E7976F" w14:textId="77777777" w:rsidR="008F6EF7" w:rsidRPr="004F591C" w:rsidRDefault="008F6EF7">
            <w:pPr>
              <w:spacing w:line="276" w:lineRule="auto"/>
              <w:jc w:val="center"/>
              <w:rPr>
                <w:rFonts w:eastAsia="Arial" w:cs="Arial"/>
                <w:sz w:val="18"/>
                <w:szCs w:val="18"/>
              </w:rPr>
            </w:pPr>
            <w:r w:rsidRPr="004F591C">
              <w:rPr>
                <w:rFonts w:eastAsia="Arial" w:cs="Arial"/>
                <w:color w:val="000000"/>
                <w:sz w:val="18"/>
                <w:szCs w:val="18"/>
              </w:rPr>
              <w:t>14,521,900</w:t>
            </w:r>
          </w:p>
        </w:tc>
        <w:tc>
          <w:tcPr>
            <w:tcW w:w="1216" w:type="dxa"/>
            <w:tcBorders>
              <w:bottom w:val="nil"/>
            </w:tcBorders>
            <w:vAlign w:val="center"/>
          </w:tcPr>
          <w:p w14:paraId="14A920C5" w14:textId="77777777" w:rsidR="008F6EF7" w:rsidRPr="004F591C" w:rsidRDefault="008F6EF7">
            <w:pPr>
              <w:spacing w:line="276" w:lineRule="auto"/>
              <w:jc w:val="center"/>
              <w:rPr>
                <w:rFonts w:eastAsia="Arial" w:cs="Arial"/>
                <w:sz w:val="18"/>
                <w:szCs w:val="18"/>
              </w:rPr>
            </w:pPr>
            <w:r w:rsidRPr="004F591C">
              <w:rPr>
                <w:rFonts w:eastAsia="Arial" w:cs="Arial"/>
                <w:color w:val="000000"/>
                <w:sz w:val="18"/>
                <w:szCs w:val="18"/>
              </w:rPr>
              <w:t>10,028,400</w:t>
            </w:r>
          </w:p>
        </w:tc>
        <w:tc>
          <w:tcPr>
            <w:tcW w:w="1417" w:type="dxa"/>
            <w:tcBorders>
              <w:bottom w:val="nil"/>
            </w:tcBorders>
            <w:vAlign w:val="center"/>
          </w:tcPr>
          <w:p w14:paraId="375AD5D2" w14:textId="77777777" w:rsidR="008F6EF7" w:rsidRPr="004F591C" w:rsidRDefault="008F6EF7">
            <w:pPr>
              <w:spacing w:line="276" w:lineRule="auto"/>
              <w:jc w:val="center"/>
              <w:rPr>
                <w:rFonts w:eastAsia="Arial" w:cs="Arial"/>
                <w:sz w:val="18"/>
                <w:szCs w:val="18"/>
              </w:rPr>
            </w:pPr>
            <w:r w:rsidRPr="004F591C">
              <w:rPr>
                <w:rFonts w:eastAsia="Arial" w:cs="Arial"/>
                <w:color w:val="000000"/>
                <w:sz w:val="18"/>
                <w:szCs w:val="18"/>
              </w:rPr>
              <w:t>4,493,500</w:t>
            </w:r>
          </w:p>
        </w:tc>
        <w:tc>
          <w:tcPr>
            <w:tcW w:w="1276" w:type="dxa"/>
            <w:tcBorders>
              <w:bottom w:val="nil"/>
            </w:tcBorders>
            <w:vAlign w:val="center"/>
          </w:tcPr>
          <w:p w14:paraId="32C9B23B" w14:textId="286AD9DF" w:rsidR="008F6EF7" w:rsidRPr="004F591C" w:rsidRDefault="008F6EF7">
            <w:pPr>
              <w:spacing w:line="276" w:lineRule="auto"/>
              <w:jc w:val="center"/>
              <w:rPr>
                <w:rFonts w:eastAsia="Arial" w:cs="Arial"/>
                <w:sz w:val="18"/>
                <w:szCs w:val="18"/>
              </w:rPr>
            </w:pPr>
            <w:r w:rsidRPr="004F591C">
              <w:rPr>
                <w:rFonts w:eastAsia="Arial" w:cs="Arial"/>
                <w:color w:val="000000"/>
                <w:sz w:val="18"/>
                <w:szCs w:val="18"/>
              </w:rPr>
              <w:t>1,968.3 million</w:t>
            </w:r>
            <w:r w:rsidR="004F591C" w:rsidRPr="004F591C">
              <w:rPr>
                <w:rFonts w:eastAsia="Arial" w:cs="Arial"/>
                <w:color w:val="000000"/>
                <w:sz w:val="18"/>
                <w:szCs w:val="18"/>
              </w:rPr>
              <w:t xml:space="preserve"> </w:t>
            </w:r>
            <w:r w:rsidRPr="004F591C">
              <w:rPr>
                <w:rFonts w:eastAsia="Arial" w:cs="Arial"/>
                <w:color w:val="000000"/>
                <w:sz w:val="18"/>
                <w:szCs w:val="18"/>
              </w:rPr>
              <w:t>hours</w:t>
            </w:r>
          </w:p>
        </w:tc>
        <w:tc>
          <w:tcPr>
            <w:tcW w:w="1701" w:type="dxa"/>
            <w:tcBorders>
              <w:bottom w:val="nil"/>
            </w:tcBorders>
            <w:vAlign w:val="center"/>
          </w:tcPr>
          <w:p w14:paraId="7EC74C35" w14:textId="77777777" w:rsidR="008F6EF7" w:rsidRPr="004F591C" w:rsidRDefault="008F6EF7">
            <w:pPr>
              <w:spacing w:line="276" w:lineRule="auto"/>
              <w:jc w:val="center"/>
              <w:rPr>
                <w:rFonts w:eastAsia="Arial" w:cs="Arial"/>
                <w:sz w:val="18"/>
                <w:szCs w:val="18"/>
              </w:rPr>
            </w:pPr>
            <w:r w:rsidRPr="004F591C">
              <w:rPr>
                <w:rFonts w:eastAsia="Arial" w:cs="Arial"/>
                <w:color w:val="000000"/>
                <w:sz w:val="18"/>
                <w:szCs w:val="18"/>
              </w:rPr>
              <w:t>6.3%</w:t>
            </w:r>
          </w:p>
        </w:tc>
        <w:tc>
          <w:tcPr>
            <w:tcW w:w="1559" w:type="dxa"/>
            <w:tcBorders>
              <w:bottom w:val="nil"/>
            </w:tcBorders>
            <w:vAlign w:val="center"/>
          </w:tcPr>
          <w:p w14:paraId="3EC39819" w14:textId="77777777" w:rsidR="008F6EF7" w:rsidRPr="004F591C" w:rsidRDefault="008F6EF7">
            <w:pPr>
              <w:spacing w:line="276" w:lineRule="auto"/>
              <w:jc w:val="center"/>
              <w:rPr>
                <w:rFonts w:eastAsia="Arial" w:cs="Arial"/>
                <w:sz w:val="18"/>
                <w:szCs w:val="18"/>
              </w:rPr>
            </w:pPr>
            <w:r w:rsidRPr="004F591C">
              <w:rPr>
                <w:rFonts w:eastAsia="Arial" w:cs="Arial"/>
                <w:color w:val="000000"/>
                <w:sz w:val="18"/>
                <w:szCs w:val="18"/>
              </w:rPr>
              <w:t>4.1%</w:t>
            </w:r>
          </w:p>
        </w:tc>
        <w:tc>
          <w:tcPr>
            <w:tcW w:w="1276" w:type="dxa"/>
            <w:tcBorders>
              <w:bottom w:val="nil"/>
            </w:tcBorders>
            <w:vAlign w:val="center"/>
          </w:tcPr>
          <w:p w14:paraId="70AEC0E2" w14:textId="77777777" w:rsidR="008F6EF7" w:rsidRPr="004F591C" w:rsidRDefault="008F6EF7">
            <w:pPr>
              <w:spacing w:line="276" w:lineRule="auto"/>
              <w:jc w:val="center"/>
              <w:rPr>
                <w:rFonts w:eastAsia="Arial" w:cs="Arial"/>
                <w:sz w:val="18"/>
                <w:szCs w:val="18"/>
              </w:rPr>
            </w:pPr>
            <w:r w:rsidRPr="004F591C">
              <w:rPr>
                <w:rFonts w:eastAsia="Arial" w:cs="Arial"/>
                <w:color w:val="000000"/>
                <w:sz w:val="18"/>
                <w:szCs w:val="18"/>
              </w:rPr>
              <w:t>67.2%</w:t>
            </w:r>
          </w:p>
        </w:tc>
      </w:tr>
      <w:tr w:rsidR="008F6EF7" w:rsidRPr="004F591C" w14:paraId="38052A33" w14:textId="77777777" w:rsidTr="00C40D54">
        <w:trPr>
          <w:cnfStyle w:val="000000010000" w:firstRow="0" w:lastRow="0" w:firstColumn="0" w:lastColumn="0" w:oddVBand="0" w:evenVBand="0" w:oddHBand="0" w:evenHBand="1" w:firstRowFirstColumn="0" w:firstRowLastColumn="0" w:lastRowFirstColumn="0" w:lastRowLastColumn="0"/>
          <w:trHeight w:val="527"/>
        </w:trPr>
        <w:tc>
          <w:tcPr>
            <w:tcW w:w="1336" w:type="dxa"/>
            <w:gridSpan w:val="2"/>
            <w:tcBorders>
              <w:bottom w:val="single" w:sz="4" w:space="0" w:color="auto"/>
            </w:tcBorders>
            <w:vAlign w:val="center"/>
          </w:tcPr>
          <w:p w14:paraId="2C8C4D92" w14:textId="77777777" w:rsidR="008F6EF7" w:rsidRPr="004F591C" w:rsidRDefault="008F6EF7">
            <w:pPr>
              <w:spacing w:before="40" w:after="40"/>
              <w:jc w:val="center"/>
              <w:rPr>
                <w:rFonts w:eastAsia="Arial" w:cs="Arial"/>
                <w:sz w:val="18"/>
                <w:szCs w:val="18"/>
              </w:rPr>
            </w:pPr>
            <w:r w:rsidRPr="004F591C">
              <w:rPr>
                <w:rFonts w:ascii="Wingdings" w:eastAsia="Arial" w:hAnsi="Wingdings" w:cs="Calibri"/>
                <w:color w:val="000000"/>
                <w:sz w:val="18"/>
                <w:szCs w:val="18"/>
              </w:rPr>
              <w:t>á</w:t>
            </w:r>
            <w:r w:rsidRPr="004F591C">
              <w:rPr>
                <w:rFonts w:eastAsia="Arial" w:cs="Arial"/>
                <w:color w:val="000000"/>
                <w:sz w:val="18"/>
                <w:szCs w:val="18"/>
              </w:rPr>
              <w:t>1.1%</w:t>
            </w:r>
          </w:p>
        </w:tc>
        <w:tc>
          <w:tcPr>
            <w:tcW w:w="1216" w:type="dxa"/>
            <w:tcBorders>
              <w:bottom w:val="single" w:sz="4" w:space="0" w:color="auto"/>
            </w:tcBorders>
            <w:vAlign w:val="center"/>
          </w:tcPr>
          <w:p w14:paraId="1D88A4E5" w14:textId="77777777" w:rsidR="008F6EF7" w:rsidRPr="004F591C" w:rsidRDefault="008F6EF7">
            <w:pPr>
              <w:spacing w:before="40" w:after="40"/>
              <w:jc w:val="center"/>
              <w:rPr>
                <w:rFonts w:eastAsia="Arial" w:cs="Arial"/>
                <w:sz w:val="18"/>
                <w:szCs w:val="18"/>
              </w:rPr>
            </w:pPr>
            <w:r w:rsidRPr="004F591C">
              <w:rPr>
                <w:rFonts w:ascii="Wingdings" w:eastAsia="Arial" w:hAnsi="Wingdings" w:cs="Calibri"/>
                <w:color w:val="000000"/>
                <w:sz w:val="18"/>
                <w:szCs w:val="18"/>
              </w:rPr>
              <w:t>á</w:t>
            </w:r>
            <w:r w:rsidRPr="004F591C">
              <w:rPr>
                <w:rFonts w:eastAsia="Arial" w:cs="Arial"/>
                <w:color w:val="000000"/>
                <w:sz w:val="18"/>
                <w:szCs w:val="18"/>
              </w:rPr>
              <w:t>1.1%</w:t>
            </w:r>
          </w:p>
        </w:tc>
        <w:tc>
          <w:tcPr>
            <w:tcW w:w="1417" w:type="dxa"/>
            <w:tcBorders>
              <w:bottom w:val="single" w:sz="4" w:space="0" w:color="auto"/>
            </w:tcBorders>
            <w:vAlign w:val="center"/>
          </w:tcPr>
          <w:p w14:paraId="1E2AAA47" w14:textId="77777777" w:rsidR="008F6EF7" w:rsidRPr="004F591C" w:rsidRDefault="008F6EF7">
            <w:pPr>
              <w:spacing w:before="40" w:after="40"/>
              <w:jc w:val="center"/>
              <w:rPr>
                <w:rFonts w:eastAsia="Arial" w:cs="Arial"/>
                <w:sz w:val="18"/>
                <w:szCs w:val="18"/>
              </w:rPr>
            </w:pPr>
            <w:r w:rsidRPr="004F591C">
              <w:rPr>
                <w:rFonts w:ascii="Wingdings" w:eastAsia="Arial" w:hAnsi="Wingdings" w:cs="Calibri"/>
                <w:color w:val="000000"/>
                <w:sz w:val="18"/>
                <w:szCs w:val="18"/>
              </w:rPr>
              <w:t>á</w:t>
            </w:r>
            <w:r w:rsidRPr="004F591C">
              <w:rPr>
                <w:rFonts w:eastAsia="Arial" w:cs="Arial"/>
                <w:color w:val="000000"/>
                <w:sz w:val="18"/>
                <w:szCs w:val="18"/>
              </w:rPr>
              <w:t xml:space="preserve"> 1.1%</w:t>
            </w:r>
          </w:p>
        </w:tc>
        <w:tc>
          <w:tcPr>
            <w:tcW w:w="1276" w:type="dxa"/>
            <w:tcBorders>
              <w:bottom w:val="single" w:sz="4" w:space="0" w:color="auto"/>
            </w:tcBorders>
            <w:vAlign w:val="center"/>
          </w:tcPr>
          <w:p w14:paraId="65D32B66" w14:textId="77777777" w:rsidR="008F6EF7" w:rsidRPr="004F591C" w:rsidRDefault="008F6EF7">
            <w:pPr>
              <w:spacing w:before="40" w:after="40"/>
              <w:jc w:val="center"/>
              <w:rPr>
                <w:rFonts w:eastAsia="Arial" w:cs="Arial"/>
                <w:sz w:val="18"/>
                <w:szCs w:val="18"/>
              </w:rPr>
            </w:pPr>
            <w:r w:rsidRPr="004F591C">
              <w:rPr>
                <w:rFonts w:ascii="Wingdings" w:eastAsia="Arial" w:hAnsi="Wingdings" w:cs="Calibri"/>
                <w:color w:val="000000"/>
                <w:sz w:val="18"/>
                <w:szCs w:val="18"/>
              </w:rPr>
              <w:t>á</w:t>
            </w:r>
            <w:r w:rsidRPr="004F591C">
              <w:rPr>
                <w:rFonts w:eastAsia="Arial" w:cs="Arial"/>
                <w:color w:val="000000"/>
                <w:sz w:val="18"/>
                <w:szCs w:val="18"/>
              </w:rPr>
              <w:t>1.1%</w:t>
            </w:r>
          </w:p>
        </w:tc>
        <w:tc>
          <w:tcPr>
            <w:tcW w:w="1701" w:type="dxa"/>
            <w:tcBorders>
              <w:bottom w:val="single" w:sz="4" w:space="0" w:color="auto"/>
            </w:tcBorders>
            <w:vAlign w:val="center"/>
          </w:tcPr>
          <w:p w14:paraId="7134DE70" w14:textId="4E14309D" w:rsidR="008F6EF7" w:rsidRPr="004F591C" w:rsidRDefault="008F6EF7">
            <w:pPr>
              <w:spacing w:before="40" w:after="40"/>
              <w:jc w:val="center"/>
              <w:rPr>
                <w:rFonts w:eastAsia="Arial" w:cs="Arial"/>
                <w:sz w:val="18"/>
                <w:szCs w:val="18"/>
              </w:rPr>
            </w:pPr>
            <w:r w:rsidRPr="004F591C">
              <w:rPr>
                <w:rFonts w:ascii="Wingdings" w:hAnsi="Wingdings" w:cs="Calibri"/>
                <w:color w:val="000000"/>
                <w:sz w:val="18"/>
                <w:szCs w:val="18"/>
              </w:rPr>
              <w:t>â</w:t>
            </w:r>
            <w:r w:rsidRPr="004F591C">
              <w:rPr>
                <w:rFonts w:eastAsia="Arial" w:cs="Arial"/>
                <w:color w:val="000000"/>
                <w:sz w:val="18"/>
                <w:szCs w:val="18"/>
              </w:rPr>
              <w:t xml:space="preserve"> 0.1</w:t>
            </w:r>
            <w:r w:rsidR="005A08A4">
              <w:rPr>
                <w:rFonts w:eastAsia="Arial" w:cs="Arial"/>
                <w:color w:val="000000"/>
                <w:sz w:val="18"/>
                <w:szCs w:val="18"/>
              </w:rPr>
              <w:t>pp</w:t>
            </w:r>
          </w:p>
        </w:tc>
        <w:tc>
          <w:tcPr>
            <w:tcW w:w="1559" w:type="dxa"/>
            <w:tcBorders>
              <w:bottom w:val="single" w:sz="4" w:space="0" w:color="auto"/>
            </w:tcBorders>
            <w:vAlign w:val="center"/>
          </w:tcPr>
          <w:p w14:paraId="14466E98" w14:textId="62DDB3D2" w:rsidR="008F6EF7" w:rsidRPr="004F591C" w:rsidRDefault="008F6EF7">
            <w:pPr>
              <w:spacing w:before="40" w:after="40"/>
              <w:jc w:val="center"/>
              <w:rPr>
                <w:rFonts w:eastAsia="Arial" w:cs="Arial"/>
                <w:sz w:val="18"/>
                <w:szCs w:val="18"/>
              </w:rPr>
            </w:pPr>
            <w:r w:rsidRPr="004F591C">
              <w:rPr>
                <w:rFonts w:eastAsia="Arial" w:cs="Arial"/>
                <w:color w:val="000000"/>
                <w:sz w:val="18"/>
                <w:szCs w:val="18"/>
              </w:rPr>
              <w:t>0.0</w:t>
            </w:r>
            <w:r w:rsidR="005A08A4">
              <w:rPr>
                <w:rFonts w:eastAsia="Arial" w:cs="Arial"/>
                <w:color w:val="000000"/>
                <w:sz w:val="18"/>
                <w:szCs w:val="18"/>
              </w:rPr>
              <w:t>pp</w:t>
            </w:r>
          </w:p>
        </w:tc>
        <w:tc>
          <w:tcPr>
            <w:tcW w:w="1276" w:type="dxa"/>
            <w:tcBorders>
              <w:bottom w:val="single" w:sz="4" w:space="0" w:color="auto"/>
            </w:tcBorders>
            <w:vAlign w:val="center"/>
          </w:tcPr>
          <w:p w14:paraId="6D0D7317" w14:textId="6C336EC2" w:rsidR="008F6EF7" w:rsidRPr="004F591C" w:rsidRDefault="008F6EF7">
            <w:pPr>
              <w:spacing w:before="40" w:after="40"/>
              <w:jc w:val="center"/>
              <w:rPr>
                <w:rFonts w:eastAsia="Arial" w:cs="Arial"/>
                <w:sz w:val="18"/>
                <w:szCs w:val="18"/>
              </w:rPr>
            </w:pPr>
            <w:r w:rsidRPr="004F591C">
              <w:rPr>
                <w:rFonts w:ascii="Wingdings" w:eastAsia="Arial" w:hAnsi="Wingdings" w:cs="Calibri"/>
                <w:color w:val="000000"/>
                <w:sz w:val="18"/>
                <w:szCs w:val="18"/>
              </w:rPr>
              <w:t>á</w:t>
            </w:r>
            <w:r w:rsidRPr="004F591C">
              <w:rPr>
                <w:rFonts w:eastAsia="Arial" w:cs="Arial"/>
                <w:color w:val="000000"/>
                <w:sz w:val="18"/>
                <w:szCs w:val="18"/>
              </w:rPr>
              <w:t xml:space="preserve"> 0.3</w:t>
            </w:r>
            <w:r w:rsidR="005A08A4">
              <w:rPr>
                <w:rFonts w:eastAsia="Arial" w:cs="Arial"/>
                <w:color w:val="000000"/>
                <w:sz w:val="18"/>
                <w:szCs w:val="18"/>
              </w:rPr>
              <w:t>pp</w:t>
            </w:r>
          </w:p>
        </w:tc>
      </w:tr>
    </w:tbl>
    <w:p w14:paraId="62057060" w14:textId="0F9BCBBD" w:rsidR="008F6EF7" w:rsidRPr="00B56024" w:rsidRDefault="008F6EF7" w:rsidP="00866EAE">
      <w:pPr>
        <w:spacing w:before="240" w:after="120"/>
        <w:ind w:right="-46"/>
        <w:rPr>
          <w:rFonts w:eastAsia="Arial" w:cs="Times New Roman"/>
          <w:sz w:val="18"/>
          <w:szCs w:val="18"/>
        </w:rPr>
      </w:pPr>
      <w:r w:rsidRPr="00B56024">
        <w:rPr>
          <w:rFonts w:eastAsia="Arial" w:cs="Times New Roman"/>
          <w:sz w:val="18"/>
          <w:szCs w:val="18"/>
        </w:rPr>
        <w:t>Source:</w:t>
      </w:r>
      <w:r w:rsidR="009F37C4">
        <w:rPr>
          <w:rFonts w:eastAsia="Arial" w:cs="Times New Roman"/>
          <w:sz w:val="18"/>
          <w:szCs w:val="18"/>
        </w:rPr>
        <w:t xml:space="preserve"> ABS</w:t>
      </w:r>
      <w:r w:rsidRPr="00B56024">
        <w:rPr>
          <w:rFonts w:eastAsia="Arial" w:cs="Times New Roman"/>
          <w:sz w:val="18"/>
          <w:szCs w:val="18"/>
        </w:rPr>
        <w:t>, Labour Force, Australia, September 2024, seasonally adjusted data.</w:t>
      </w:r>
    </w:p>
    <w:p w14:paraId="526BFA57" w14:textId="198E98D8" w:rsidR="008F6EF7" w:rsidRDefault="00C2455C" w:rsidP="00A532AE">
      <w:pPr>
        <w:spacing w:before="240"/>
        <w:rPr>
          <w:rFonts w:eastAsia="Arial" w:cs="Times New Roman"/>
        </w:rPr>
      </w:pPr>
      <w:bookmarkStart w:id="8" w:name="_Hlk173915452"/>
      <w:bookmarkStart w:id="9" w:name="_Toc151365181"/>
      <w:bookmarkStart w:id="10" w:name="_Toc152324298"/>
      <w:bookmarkStart w:id="11" w:name="_Hlk150266369"/>
      <w:r w:rsidRPr="008F6EF7">
        <w:rPr>
          <w:rFonts w:eastAsia="Arial" w:cs="Times New Roman"/>
        </w:rPr>
        <w:t>Employment rose by 434,900 (or 3.1%) over the year to September 2024</w:t>
      </w:r>
      <w:r>
        <w:rPr>
          <w:rFonts w:eastAsia="Arial" w:cs="Times New Roman"/>
        </w:rPr>
        <w:t xml:space="preserve">, </w:t>
      </w:r>
      <w:r w:rsidRPr="008F6EF7">
        <w:rPr>
          <w:rFonts w:eastAsia="Arial" w:cs="Times New Roman"/>
        </w:rPr>
        <w:t xml:space="preserve">above the decade average annual growth rate of 2.3%. </w:t>
      </w:r>
      <w:r w:rsidRPr="00575E59">
        <w:rPr>
          <w:rFonts w:eastAsia="Arial" w:cs="Times New Roman"/>
        </w:rPr>
        <w:t>The current annual pace of employment growth is also above the working age (15-64 years) population growth rate (of 2.4%) although it has eased considerably</w:t>
      </w:r>
      <w:r>
        <w:rPr>
          <w:rFonts w:eastAsia="Arial" w:cs="Times New Roman"/>
        </w:rPr>
        <w:t>,</w:t>
      </w:r>
      <w:r w:rsidRPr="00575E59">
        <w:rPr>
          <w:rFonts w:eastAsia="Arial" w:cs="Times New Roman"/>
        </w:rPr>
        <w:t xml:space="preserve"> from its peak of 7.3% in October 2022 (when it was well above the growth rate of the working age population at that time, of 2.1%) – see Figure 1.</w:t>
      </w:r>
    </w:p>
    <w:p w14:paraId="442E97CA" w14:textId="6DD7A0F4" w:rsidR="008F6EF7" w:rsidRPr="00C40D54" w:rsidRDefault="007277AD" w:rsidP="00C40D54">
      <w:pPr>
        <w:spacing w:before="240" w:after="0"/>
        <w:rPr>
          <w:rFonts w:eastAsia="Arial" w:cs="Times New Roman"/>
        </w:rPr>
      </w:pPr>
      <w:r>
        <w:rPr>
          <w:rFonts w:eastAsia="Arial" w:cs="Times New Roman"/>
          <w:b/>
          <w:noProof/>
          <w:color w:val="000000"/>
          <w:sz w:val="18"/>
          <w:szCs w:val="20"/>
        </w:rPr>
        <mc:AlternateContent>
          <mc:Choice Requires="wps">
            <w:drawing>
              <wp:anchor distT="0" distB="0" distL="114300" distR="114300" simplePos="0" relativeHeight="251658245" behindDoc="0" locked="0" layoutInCell="1" allowOverlap="1" wp14:anchorId="5C1BD56B" wp14:editId="0446B245">
                <wp:simplePos x="0" y="0"/>
                <wp:positionH relativeFrom="column">
                  <wp:posOffset>1037590</wp:posOffset>
                </wp:positionH>
                <wp:positionV relativeFrom="paragraph">
                  <wp:posOffset>3856010</wp:posOffset>
                </wp:positionV>
                <wp:extent cx="241935" cy="45085"/>
                <wp:effectExtent l="0" t="0" r="24765" b="12065"/>
                <wp:wrapNone/>
                <wp:docPr id="1557851646" name="Rectangle 3"/>
                <wp:cNvGraphicFramePr/>
                <a:graphic xmlns:a="http://schemas.openxmlformats.org/drawingml/2006/main">
                  <a:graphicData uri="http://schemas.microsoft.com/office/word/2010/wordprocessingShape">
                    <wps:wsp>
                      <wps:cNvSpPr/>
                      <wps:spPr>
                        <a:xfrm>
                          <a:off x="0" y="0"/>
                          <a:ext cx="241935" cy="4508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59197" id="Rectangle 3" o:spid="_x0000_s1026" style="position:absolute;margin-left:81.7pt;margin-top:303.6pt;width:19.05pt;height:3.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" fillcolor="#d8d8d8 [2732]" strokecolor="#d8d8d8 [2732]" strokeweight="1pt"/>
            </w:pict>
          </mc:Fallback>
        </mc:AlternateContent>
      </w:r>
      <w:r>
        <w:rPr>
          <w:rFonts w:eastAsia="Arial" w:cs="Times New Roman"/>
          <w:b/>
          <w:noProof/>
          <w:color w:val="000000"/>
          <w:sz w:val="18"/>
          <w:szCs w:val="20"/>
        </w:rPr>
        <mc:AlternateContent>
          <mc:Choice Requires="wps">
            <w:drawing>
              <wp:anchor distT="0" distB="0" distL="114300" distR="114300" simplePos="0" relativeHeight="251658240" behindDoc="1" locked="0" layoutInCell="1" allowOverlap="1" wp14:anchorId="26EFC26B" wp14:editId="3BE66135">
                <wp:simplePos x="0" y="0"/>
                <wp:positionH relativeFrom="column">
                  <wp:posOffset>3130906</wp:posOffset>
                </wp:positionH>
                <wp:positionV relativeFrom="paragraph">
                  <wp:posOffset>503936</wp:posOffset>
                </wp:positionV>
                <wp:extent cx="848564" cy="2574950"/>
                <wp:effectExtent l="0" t="0" r="8890" b="0"/>
                <wp:wrapNone/>
                <wp:docPr id="413861709" name="Rectangle 2"/>
                <wp:cNvGraphicFramePr/>
                <a:graphic xmlns:a="http://schemas.openxmlformats.org/drawingml/2006/main">
                  <a:graphicData uri="http://schemas.microsoft.com/office/word/2010/wordprocessingShape">
                    <wps:wsp>
                      <wps:cNvSpPr/>
                      <wps:spPr>
                        <a:xfrm>
                          <a:off x="0" y="0"/>
                          <a:ext cx="848564" cy="2574950"/>
                        </a:xfrm>
                        <a:prstGeom prst="rect">
                          <a:avLst/>
                        </a:prstGeom>
                        <a:solidFill>
                          <a:schemeClr val="bg1">
                            <a:lumMod val="85000"/>
                            <a:alpha val="66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DC6481" id="Rectangle 2" o:spid="_x0000_s1026" style="position:absolute;margin-left:246.55pt;margin-top:39.7pt;width:66.8pt;height:20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" fillcolor="#d8d8d8 [2732]" stroked="f" strokeweight="1pt">
                <v:fill opacity="43176f"/>
              </v:rect>
            </w:pict>
          </mc:Fallback>
        </mc:AlternateContent>
      </w:r>
      <w:r w:rsidR="008F6EF7" w:rsidRPr="0358FF6F">
        <w:rPr>
          <w:rFonts w:eastAsia="Arial" w:cs="Times New Roman"/>
          <w:b/>
          <w:bCs/>
          <w:color w:val="000000"/>
          <w:sz w:val="18"/>
          <w:szCs w:val="18"/>
        </w:rPr>
        <w:t>Figure 1: Annual change in the working age population and employment, September 2014 to September 2024</w:t>
      </w:r>
      <w:r w:rsidR="008F6EF7" w:rsidRPr="00AA59F1">
        <w:rPr>
          <w:noProof/>
        </w:rPr>
        <w:drawing>
          <wp:inline distT="0" distB="0" distL="0" distR="0" wp14:anchorId="4A81F14E" wp14:editId="01A1A7D4">
            <wp:extent cx="5605145" cy="3649649"/>
            <wp:effectExtent l="0" t="0" r="0" b="0"/>
            <wp:docPr id="1483275131" name="Chart 1" descr="Figure 1 - A line chart with annual employment and working-age population growth. It shows employment growth has declined from its peak in October 2022 when it was well above the growth in the working-age population. In September 2024, employment growth is broadly in line with working-age population growth (of 2.4 per cent).">
              <a:extLst xmlns:a="http://schemas.openxmlformats.org/drawingml/2006/main">
                <a:ext uri="{FF2B5EF4-FFF2-40B4-BE49-F238E27FC236}">
                  <a16:creationId xmlns:a16="http://schemas.microsoft.com/office/drawing/2014/main" id="{20F676CF-301E-49E3-AF89-41BCEB11D0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8F6EF7" w:rsidRPr="00C40D54">
        <w:rPr>
          <w:rFonts w:eastAsia="Arial" w:cs="Times New Roman"/>
          <w:sz w:val="18"/>
          <w:szCs w:val="18"/>
        </w:rPr>
        <w:t>Source: ABS, Labour Force, Australia, September 2024, seasonally adjusted data for employment growth and original data for working age population growth.</w:t>
      </w:r>
    </w:p>
    <w:p w14:paraId="7081358D" w14:textId="0E8A5A22" w:rsidR="004B28D5" w:rsidRDefault="007300DD" w:rsidP="00A532AE">
      <w:pPr>
        <w:spacing w:before="240"/>
        <w:rPr>
          <w:rFonts w:eastAsia="Arial" w:cs="Times New Roman"/>
        </w:rPr>
      </w:pPr>
      <w:bookmarkStart w:id="12" w:name="_Hlk173915493"/>
      <w:bookmarkEnd w:id="8"/>
      <w:r>
        <w:rPr>
          <w:rFonts w:eastAsia="Arial" w:cs="Times New Roman"/>
        </w:rPr>
        <w:lastRenderedPageBreak/>
        <w:t>T</w:t>
      </w:r>
      <w:r w:rsidRPr="00AA59F1">
        <w:rPr>
          <w:rFonts w:eastAsia="Arial" w:cs="Times New Roman"/>
        </w:rPr>
        <w:t>he majority (69.3%) of the increase in employment over the</w:t>
      </w:r>
      <w:r>
        <w:rPr>
          <w:rFonts w:eastAsia="Arial" w:cs="Times New Roman"/>
        </w:rPr>
        <w:t xml:space="preserve"> September quarter 2024</w:t>
      </w:r>
      <w:r w:rsidRPr="00AA59F1">
        <w:rPr>
          <w:rFonts w:eastAsia="Arial" w:cs="Times New Roman"/>
        </w:rPr>
        <w:t xml:space="preserve"> was due to a</w:t>
      </w:r>
      <w:r>
        <w:rPr>
          <w:rFonts w:eastAsia="Arial" w:cs="Times New Roman"/>
        </w:rPr>
        <w:t xml:space="preserve"> strong</w:t>
      </w:r>
      <w:r w:rsidRPr="00AA59F1">
        <w:rPr>
          <w:rFonts w:eastAsia="Arial" w:cs="Times New Roman"/>
        </w:rPr>
        <w:t xml:space="preserve"> rise in full-time employment of 107,700 </w:t>
      </w:r>
      <w:r>
        <w:rPr>
          <w:rFonts w:eastAsia="Arial" w:cs="Times New Roman"/>
        </w:rPr>
        <w:t>(</w:t>
      </w:r>
      <w:r w:rsidRPr="00AA59F1">
        <w:rPr>
          <w:rFonts w:eastAsia="Arial" w:cs="Times New Roman"/>
        </w:rPr>
        <w:t>or 1.1%)</w:t>
      </w:r>
      <w:r>
        <w:rPr>
          <w:rFonts w:eastAsia="Arial" w:cs="Times New Roman"/>
        </w:rPr>
        <w:t xml:space="preserve">, while </w:t>
      </w:r>
      <w:r w:rsidRPr="00AA59F1">
        <w:rPr>
          <w:rFonts w:eastAsia="Arial" w:cs="Times New Roman"/>
        </w:rPr>
        <w:t xml:space="preserve">part-time employment </w:t>
      </w:r>
      <w:r>
        <w:rPr>
          <w:rFonts w:eastAsia="Arial" w:cs="Times New Roman"/>
        </w:rPr>
        <w:t xml:space="preserve">also rose, </w:t>
      </w:r>
      <w:r w:rsidRPr="00AA59F1">
        <w:rPr>
          <w:rFonts w:eastAsia="Arial" w:cs="Times New Roman"/>
        </w:rPr>
        <w:t xml:space="preserve">by 47,800 </w:t>
      </w:r>
      <w:r>
        <w:rPr>
          <w:rFonts w:eastAsia="Arial" w:cs="Times New Roman"/>
        </w:rPr>
        <w:t>(</w:t>
      </w:r>
      <w:r w:rsidRPr="00AA59F1">
        <w:rPr>
          <w:rFonts w:eastAsia="Arial" w:cs="Times New Roman"/>
        </w:rPr>
        <w:t>or 1.1%).</w:t>
      </w:r>
      <w:r>
        <w:rPr>
          <w:rFonts w:eastAsia="Arial" w:cs="Times New Roman"/>
        </w:rPr>
        <w:t xml:space="preserve"> </w:t>
      </w:r>
      <w:r w:rsidRPr="00AA59F1">
        <w:rPr>
          <w:rFonts w:eastAsia="Arial" w:cs="Times New Roman"/>
        </w:rPr>
        <w:t>The</w:t>
      </w:r>
      <w:r>
        <w:rPr>
          <w:rFonts w:eastAsia="Arial" w:cs="Times New Roman"/>
        </w:rPr>
        <w:t xml:space="preserve"> </w:t>
      </w:r>
      <w:r w:rsidRPr="00400AD7">
        <w:rPr>
          <w:rFonts w:eastAsia="Arial" w:cs="Times New Roman"/>
        </w:rPr>
        <w:t>annual</w:t>
      </w:r>
      <w:r w:rsidRPr="00AA59F1">
        <w:rPr>
          <w:rFonts w:eastAsia="Arial" w:cs="Times New Roman"/>
        </w:rPr>
        <w:t xml:space="preserve"> rate of growth in full-time employment </w:t>
      </w:r>
      <w:r>
        <w:rPr>
          <w:rFonts w:eastAsia="Arial" w:cs="Times New Roman"/>
        </w:rPr>
        <w:t>increased</w:t>
      </w:r>
      <w:r w:rsidRPr="00AA59F1">
        <w:rPr>
          <w:rFonts w:eastAsia="Arial" w:cs="Times New Roman"/>
        </w:rPr>
        <w:t xml:space="preserve"> from a low </w:t>
      </w:r>
      <w:r>
        <w:rPr>
          <w:rFonts w:eastAsia="Arial" w:cs="Times New Roman"/>
        </w:rPr>
        <w:t xml:space="preserve">of </w:t>
      </w:r>
      <w:r w:rsidRPr="00AA59F1">
        <w:rPr>
          <w:rFonts w:eastAsia="Arial" w:cs="Times New Roman"/>
        </w:rPr>
        <w:t>0.6% in May 2024 to 2.6% in September 2024</w:t>
      </w:r>
      <w:r>
        <w:rPr>
          <w:rFonts w:eastAsia="Arial" w:cs="Times New Roman"/>
        </w:rPr>
        <w:t>, while t</w:t>
      </w:r>
      <w:r w:rsidRPr="00AA59F1">
        <w:rPr>
          <w:rFonts w:eastAsia="Arial" w:cs="Times New Roman"/>
        </w:rPr>
        <w:t>he</w:t>
      </w:r>
      <w:r w:rsidRPr="00AA59F1">
        <w:rPr>
          <w:rFonts w:eastAsia="Arial" w:cs="Times New Roman"/>
          <w:i/>
          <w:iCs/>
        </w:rPr>
        <w:t xml:space="preserve"> </w:t>
      </w:r>
      <w:r w:rsidRPr="00A818DC">
        <w:rPr>
          <w:rFonts w:eastAsia="Arial" w:cs="Times New Roman"/>
        </w:rPr>
        <w:t>annual</w:t>
      </w:r>
      <w:r w:rsidRPr="00AA59F1">
        <w:rPr>
          <w:rFonts w:eastAsia="Arial" w:cs="Times New Roman"/>
        </w:rPr>
        <w:t xml:space="preserve"> rate of part-time employment growth </w:t>
      </w:r>
      <w:r>
        <w:rPr>
          <w:rFonts w:eastAsia="Arial" w:cs="Times New Roman"/>
        </w:rPr>
        <w:t xml:space="preserve">has </w:t>
      </w:r>
      <w:r w:rsidRPr="00AA59F1">
        <w:rPr>
          <w:rFonts w:eastAsia="Arial" w:cs="Times New Roman"/>
        </w:rPr>
        <w:t>eased</w:t>
      </w:r>
      <w:r>
        <w:rPr>
          <w:rFonts w:eastAsia="Arial" w:cs="Times New Roman"/>
        </w:rPr>
        <w:t>,</w:t>
      </w:r>
      <w:r w:rsidRPr="00AA59F1">
        <w:rPr>
          <w:rFonts w:eastAsia="Arial" w:cs="Times New Roman"/>
        </w:rPr>
        <w:t xml:space="preserve"> from 5.9%</w:t>
      </w:r>
      <w:r>
        <w:rPr>
          <w:rFonts w:eastAsia="Arial" w:cs="Times New Roman"/>
        </w:rPr>
        <w:t xml:space="preserve">, </w:t>
      </w:r>
      <w:r w:rsidRPr="00AA59F1">
        <w:rPr>
          <w:rFonts w:eastAsia="Arial" w:cs="Times New Roman"/>
        </w:rPr>
        <w:t xml:space="preserve">to 4.2% over the </w:t>
      </w:r>
      <w:r>
        <w:rPr>
          <w:rFonts w:eastAsia="Arial" w:cs="Times New Roman"/>
        </w:rPr>
        <w:t>same period</w:t>
      </w:r>
      <w:r w:rsidRPr="00AA59F1">
        <w:rPr>
          <w:rFonts w:eastAsia="Arial" w:cs="Times New Roman"/>
        </w:rPr>
        <w:t>.</w:t>
      </w:r>
    </w:p>
    <w:p w14:paraId="48F3341E" w14:textId="2F5BD182" w:rsidR="00630B99" w:rsidRDefault="008F6EF7" w:rsidP="00A532AE">
      <w:pPr>
        <w:spacing w:before="240"/>
        <w:rPr>
          <w:rFonts w:eastAsia="Arial" w:cs="Times New Roman"/>
        </w:rPr>
      </w:pPr>
      <w:r w:rsidRPr="00AA59F1">
        <w:rPr>
          <w:rFonts w:eastAsia="Arial" w:cs="Times New Roman"/>
        </w:rPr>
        <w:t xml:space="preserve">In line with the </w:t>
      </w:r>
      <w:r>
        <w:rPr>
          <w:rFonts w:eastAsia="Arial" w:cs="Times New Roman"/>
        </w:rPr>
        <w:t>strengthening</w:t>
      </w:r>
      <w:r w:rsidRPr="00AA59F1">
        <w:rPr>
          <w:rFonts w:eastAsia="Arial" w:cs="Times New Roman"/>
        </w:rPr>
        <w:t xml:space="preserve"> in full-time jobs growth, aggregate </w:t>
      </w:r>
      <w:r w:rsidRPr="00A818DC">
        <w:rPr>
          <w:rFonts w:eastAsia="Arial" w:cs="Times New Roman"/>
        </w:rPr>
        <w:t>hours worked</w:t>
      </w:r>
      <w:r w:rsidRPr="00AA59F1">
        <w:rPr>
          <w:rFonts w:eastAsia="Arial" w:cs="Times New Roman"/>
        </w:rPr>
        <w:t xml:space="preserve"> increased by 20.9 million hours (or 1.1%) over the September quarter</w:t>
      </w:r>
      <w:r w:rsidR="00A57C9C">
        <w:rPr>
          <w:rFonts w:eastAsia="Arial" w:cs="Times New Roman"/>
        </w:rPr>
        <w:t xml:space="preserve"> 2024</w:t>
      </w:r>
      <w:r w:rsidRPr="00AA59F1">
        <w:rPr>
          <w:rFonts w:eastAsia="Arial" w:cs="Times New Roman"/>
        </w:rPr>
        <w:t>. Aggregate hours rose by 45.3</w:t>
      </w:r>
      <w:r>
        <w:rPr>
          <w:rFonts w:eastAsia="Arial" w:cs="Times New Roman"/>
        </w:rPr>
        <w:t> </w:t>
      </w:r>
      <w:r w:rsidRPr="00AA59F1">
        <w:rPr>
          <w:rFonts w:eastAsia="Arial" w:cs="Times New Roman"/>
        </w:rPr>
        <w:t xml:space="preserve">million hours (or 2.4%) over the </w:t>
      </w:r>
      <w:r w:rsidRPr="00A57C9C">
        <w:rPr>
          <w:rFonts w:eastAsia="Arial" w:cs="Times New Roman"/>
        </w:rPr>
        <w:t>year</w:t>
      </w:r>
      <w:r w:rsidRPr="00AA59F1">
        <w:rPr>
          <w:rFonts w:eastAsia="Arial" w:cs="Times New Roman"/>
          <w:i/>
          <w:iCs/>
        </w:rPr>
        <w:t xml:space="preserve"> </w:t>
      </w:r>
      <w:r w:rsidRPr="00AA59F1">
        <w:rPr>
          <w:rFonts w:eastAsia="Arial" w:cs="Times New Roman"/>
        </w:rPr>
        <w:t>to September 2024, up from the recent trough (</w:t>
      </w:r>
      <w:r>
        <w:rPr>
          <w:rFonts w:eastAsia="Arial" w:cs="Times New Roman"/>
        </w:rPr>
        <w:t>where hours were</w:t>
      </w:r>
      <w:r w:rsidRPr="00AA59F1">
        <w:rPr>
          <w:rFonts w:eastAsia="Arial" w:cs="Times New Roman"/>
        </w:rPr>
        <w:t xml:space="preserve"> </w:t>
      </w:r>
      <w:r w:rsidRPr="00A57C9C">
        <w:rPr>
          <w:rFonts w:eastAsia="Arial" w:cs="Times New Roman"/>
        </w:rPr>
        <w:t>declining</w:t>
      </w:r>
      <w:r w:rsidRPr="00AA59F1">
        <w:rPr>
          <w:rFonts w:eastAsia="Arial" w:cs="Times New Roman"/>
        </w:rPr>
        <w:t xml:space="preserve"> </w:t>
      </w:r>
      <w:r>
        <w:rPr>
          <w:rFonts w:eastAsia="Arial" w:cs="Times New Roman"/>
        </w:rPr>
        <w:t>by</w:t>
      </w:r>
      <w:r w:rsidRPr="00AA59F1">
        <w:rPr>
          <w:rFonts w:eastAsia="Arial" w:cs="Times New Roman"/>
        </w:rPr>
        <w:t xml:space="preserve"> 1.3%) but still below the current pace of annual employment growth (of 3.1%) – </w:t>
      </w:r>
      <w:r w:rsidR="00334996">
        <w:rPr>
          <w:rFonts w:eastAsia="Arial" w:cs="Times New Roman"/>
        </w:rPr>
        <w:t xml:space="preserve">see </w:t>
      </w:r>
      <w:r w:rsidRPr="00AA59F1">
        <w:rPr>
          <w:rFonts w:eastAsia="Arial" w:cs="Times New Roman"/>
        </w:rPr>
        <w:t>Figure 2.</w:t>
      </w:r>
    </w:p>
    <w:p w14:paraId="63057C7D" w14:textId="77777777" w:rsidR="008F6EF7" w:rsidRPr="008C3B4B" w:rsidRDefault="008F6EF7" w:rsidP="00C40D54">
      <w:pPr>
        <w:keepNext/>
        <w:keepLines/>
        <w:spacing w:before="240" w:line="259" w:lineRule="auto"/>
        <w:rPr>
          <w:rFonts w:eastAsia="Arial" w:cs="Times New Roman"/>
          <w:b/>
          <w:color w:val="000000"/>
          <w:sz w:val="18"/>
          <w:szCs w:val="20"/>
        </w:rPr>
      </w:pPr>
      <w:r w:rsidRPr="008C3B4B">
        <w:rPr>
          <w:rFonts w:eastAsia="Arial" w:cs="Times New Roman"/>
          <w:b/>
          <w:color w:val="000000"/>
          <w:sz w:val="18"/>
          <w:szCs w:val="20"/>
        </w:rPr>
        <w:t>Figure 2: Annual change in employment and aggregate hours worked, September 2019 to September 2024</w:t>
      </w:r>
    </w:p>
    <w:p w14:paraId="6485A8AA" w14:textId="77777777" w:rsidR="008F6EF7" w:rsidRPr="00AA59F1" w:rsidRDefault="008F6EF7" w:rsidP="008F6EF7">
      <w:pPr>
        <w:keepNext/>
        <w:keepLines/>
        <w:spacing w:line="259" w:lineRule="auto"/>
        <w:rPr>
          <w:rFonts w:eastAsia="Arial" w:cs="Times New Roman"/>
          <w:b/>
          <w:color w:val="000000"/>
          <w:sz w:val="20"/>
          <w:szCs w:val="20"/>
        </w:rPr>
      </w:pPr>
      <w:r w:rsidRPr="00AA59F1">
        <w:rPr>
          <w:noProof/>
        </w:rPr>
        <w:drawing>
          <wp:inline distT="0" distB="0" distL="0" distR="0" wp14:anchorId="1EC75B4D" wp14:editId="0EDE086B">
            <wp:extent cx="5731510" cy="3299155"/>
            <wp:effectExtent l="0" t="0" r="2540" b="0"/>
            <wp:docPr id="566981366" name="Chart 1" descr="Figure 2 A line chart with annual employment and aggregate hours worked as columns. It shows both employment growth and hours worked have declined, and hours growth is now higher than growth in employment.">
              <a:extLst xmlns:a="http://schemas.openxmlformats.org/drawingml/2006/main">
                <a:ext uri="{FF2B5EF4-FFF2-40B4-BE49-F238E27FC236}">
                  <a16:creationId xmlns:a16="http://schemas.microsoft.com/office/drawing/2014/main" id="{33682809-35EE-62BF-BBDE-72EF3BB94D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A4791E" w14:textId="77777777" w:rsidR="008F6EF7" w:rsidRPr="00C40D54" w:rsidRDefault="008F6EF7" w:rsidP="008F6EF7">
      <w:pPr>
        <w:keepNext/>
        <w:keepLines/>
        <w:rPr>
          <w:rFonts w:eastAsia="Arial" w:cs="Times New Roman"/>
          <w:sz w:val="18"/>
          <w:szCs w:val="18"/>
        </w:rPr>
      </w:pPr>
      <w:r w:rsidRPr="00C40D54">
        <w:rPr>
          <w:rFonts w:eastAsia="Arial" w:cs="Times New Roman"/>
          <w:sz w:val="18"/>
          <w:szCs w:val="18"/>
        </w:rPr>
        <w:t>Source: ABS, Labour Force, Australia, September 2024, seasonally adjusted data</w:t>
      </w:r>
    </w:p>
    <w:p w14:paraId="2646322D" w14:textId="77777777" w:rsidR="00332C70" w:rsidRPr="00A57C9C" w:rsidRDefault="00332C70" w:rsidP="00332C70">
      <w:pPr>
        <w:spacing w:before="240"/>
        <w:rPr>
          <w:rFonts w:eastAsia="Arial" w:cs="Times New Roman"/>
          <w:bCs/>
        </w:rPr>
      </w:pPr>
      <w:bookmarkStart w:id="13" w:name="_Hlk173915519"/>
      <w:bookmarkEnd w:id="12"/>
      <w:r w:rsidRPr="00A57C9C">
        <w:rPr>
          <w:rFonts w:eastAsia="Arial" w:cs="Times New Roman"/>
          <w:bCs/>
        </w:rPr>
        <w:t>The unemployment rate was steady over the quarter</w:t>
      </w:r>
      <w:r>
        <w:rPr>
          <w:rFonts w:eastAsia="Arial" w:cs="Times New Roman"/>
          <w:bCs/>
        </w:rPr>
        <w:t xml:space="preserve">, at </w:t>
      </w:r>
      <w:r w:rsidRPr="00A57C9C">
        <w:rPr>
          <w:rFonts w:eastAsia="Arial" w:cs="Times New Roman"/>
          <w:bCs/>
        </w:rPr>
        <w:t xml:space="preserve">4.1% </w:t>
      </w:r>
      <w:r>
        <w:rPr>
          <w:rFonts w:eastAsia="Arial" w:cs="Times New Roman"/>
          <w:bCs/>
        </w:rPr>
        <w:t xml:space="preserve">in September 2024, while </w:t>
      </w:r>
      <w:r w:rsidRPr="00A57C9C">
        <w:rPr>
          <w:rFonts w:eastAsia="Arial" w:cs="Times New Roman"/>
          <w:bCs/>
        </w:rPr>
        <w:t>the participation rate increased by 0.3 percentage points (pp)</w:t>
      </w:r>
      <w:r>
        <w:rPr>
          <w:rFonts w:eastAsia="Arial" w:cs="Times New Roman"/>
          <w:bCs/>
        </w:rPr>
        <w:t>,</w:t>
      </w:r>
      <w:r w:rsidRPr="00A57C9C">
        <w:rPr>
          <w:rFonts w:eastAsia="Arial" w:cs="Times New Roman"/>
          <w:bCs/>
        </w:rPr>
        <w:t xml:space="preserve"> to a record high of 67.2%.</w:t>
      </w:r>
    </w:p>
    <w:p w14:paraId="6DFFAEDA" w14:textId="77777777" w:rsidR="00332C70" w:rsidRPr="00A57C9C" w:rsidRDefault="00332C70" w:rsidP="58A895D0">
      <w:pPr>
        <w:spacing w:after="120"/>
        <w:rPr>
          <w:rFonts w:eastAsia="SimSun" w:cs="Times New Roman"/>
          <w:spacing w:val="-1"/>
          <w:lang w:val="en-GB" w:eastAsia="en-GB"/>
        </w:rPr>
      </w:pPr>
      <w:r w:rsidRPr="58A895D0">
        <w:rPr>
          <w:rFonts w:eastAsia="SimSun" w:cs="Times New Roman"/>
          <w:spacing w:val="-1"/>
          <w:lang w:val="en-GB" w:eastAsia="en-GB"/>
        </w:rPr>
        <w:t xml:space="preserve">Reflecting the underlying strength of the labour market, conditions for young people were </w:t>
      </w:r>
      <w:bookmarkStart w:id="14" w:name="_Int_bK1MBgpY"/>
      <w:r w:rsidRPr="58A895D0">
        <w:rPr>
          <w:rFonts w:eastAsia="SimSun" w:cs="Times New Roman"/>
          <w:spacing w:val="-1"/>
          <w:lang w:val="en-GB" w:eastAsia="en-GB"/>
        </w:rPr>
        <w:t>reasonably resilient</w:t>
      </w:r>
      <w:bookmarkEnd w:id="14"/>
      <w:r w:rsidRPr="58A895D0">
        <w:rPr>
          <w:rFonts w:eastAsia="SimSun" w:cs="Times New Roman"/>
          <w:spacing w:val="-1"/>
          <w:lang w:val="en-GB" w:eastAsia="en-GB"/>
        </w:rPr>
        <w:t xml:space="preserve"> over the quarter, with the number of </w:t>
      </w:r>
      <w:bookmarkStart w:id="15" w:name="_Int_M67qTgKh"/>
      <w:r w:rsidRPr="58A895D0">
        <w:rPr>
          <w:rFonts w:eastAsia="SimSun" w:cs="Times New Roman"/>
          <w:spacing w:val="-1"/>
          <w:lang w:val="en-GB" w:eastAsia="en-GB"/>
        </w:rPr>
        <w:t>15 to 24 year olds</w:t>
      </w:r>
      <w:bookmarkEnd w:id="15"/>
      <w:r w:rsidRPr="58A895D0">
        <w:rPr>
          <w:rFonts w:eastAsia="SimSun" w:cs="Times New Roman"/>
          <w:spacing w:val="-1"/>
          <w:lang w:val="en-GB" w:eastAsia="en-GB"/>
        </w:rPr>
        <w:t xml:space="preserve"> in employment increasing by 47,400 (or 2.2%). The rise in youth employment was attributed to strong growth in part-time employment, up by 31,700 (or 2.5%), while full</w:t>
      </w:r>
      <w:r w:rsidRPr="58A895D0">
        <w:rPr>
          <w:rFonts w:eastAsia="SimSun" w:cs="Times New Roman"/>
          <w:spacing w:val="-1"/>
          <w:lang w:val="en-GB" w:eastAsia="en-GB"/>
        </w:rPr>
        <w:noBreakHyphen/>
        <w:t>time employment rose by just 600 (or 0.1%).</w:t>
      </w:r>
    </w:p>
    <w:p w14:paraId="04E3DE7B" w14:textId="77777777" w:rsidR="00332C70" w:rsidRPr="00A57C9C" w:rsidRDefault="00332C70" w:rsidP="00332C70">
      <w:pPr>
        <w:spacing w:after="120"/>
        <w:rPr>
          <w:rFonts w:eastAsia="SimSun" w:cs="Times New Roman"/>
          <w:bCs/>
          <w:spacing w:val="-1"/>
          <w:szCs w:val="20"/>
          <w:lang w:val="en-GB" w:eastAsia="en-GB"/>
        </w:rPr>
      </w:pPr>
      <w:r>
        <w:rPr>
          <w:rFonts w:eastAsia="SimSun" w:cs="Times New Roman"/>
          <w:bCs/>
          <w:spacing w:val="-1"/>
          <w:szCs w:val="20"/>
          <w:lang w:val="en-GB" w:eastAsia="en-GB"/>
        </w:rPr>
        <w:t>The y</w:t>
      </w:r>
      <w:r w:rsidRPr="00A57C9C">
        <w:rPr>
          <w:rFonts w:eastAsia="SimSun" w:cs="Times New Roman"/>
          <w:bCs/>
          <w:spacing w:val="-1"/>
          <w:szCs w:val="20"/>
          <w:lang w:val="en-GB" w:eastAsia="en-GB"/>
        </w:rPr>
        <w:t>outh unemployment rate fell by 0.4pp</w:t>
      </w:r>
      <w:r w:rsidRPr="003159D2">
        <w:rPr>
          <w:rFonts w:eastAsia="SimSun" w:cs="Times New Roman"/>
          <w:bCs/>
          <w:spacing w:val="-1"/>
          <w:szCs w:val="20"/>
          <w:lang w:val="en-GB" w:eastAsia="en-GB"/>
        </w:rPr>
        <w:t xml:space="preserve"> </w:t>
      </w:r>
      <w:r w:rsidRPr="00A57C9C">
        <w:rPr>
          <w:rFonts w:eastAsia="SimSun" w:cs="Times New Roman"/>
          <w:bCs/>
          <w:spacing w:val="-1"/>
          <w:szCs w:val="20"/>
          <w:lang w:val="en-GB" w:eastAsia="en-GB"/>
        </w:rPr>
        <w:t xml:space="preserve">over the </w:t>
      </w:r>
      <w:r>
        <w:rPr>
          <w:rFonts w:eastAsia="SimSun" w:cs="Times New Roman"/>
          <w:bCs/>
          <w:spacing w:val="-1"/>
          <w:szCs w:val="20"/>
          <w:lang w:val="en-GB" w:eastAsia="en-GB"/>
        </w:rPr>
        <w:t xml:space="preserve">September </w:t>
      </w:r>
      <w:r w:rsidRPr="00A57C9C">
        <w:rPr>
          <w:rFonts w:eastAsia="SimSun" w:cs="Times New Roman"/>
          <w:bCs/>
          <w:spacing w:val="-1"/>
          <w:szCs w:val="20"/>
          <w:lang w:val="en-GB" w:eastAsia="en-GB"/>
        </w:rPr>
        <w:t>quarter</w:t>
      </w:r>
      <w:r>
        <w:rPr>
          <w:rFonts w:eastAsia="SimSun" w:cs="Times New Roman"/>
          <w:bCs/>
          <w:spacing w:val="-1"/>
          <w:szCs w:val="20"/>
          <w:lang w:val="en-GB" w:eastAsia="en-GB"/>
        </w:rPr>
        <w:t xml:space="preserve"> 2024, </w:t>
      </w:r>
      <w:r w:rsidRPr="00A57C9C">
        <w:rPr>
          <w:rFonts w:eastAsia="SimSun" w:cs="Times New Roman"/>
          <w:bCs/>
          <w:spacing w:val="-1"/>
          <w:szCs w:val="20"/>
          <w:lang w:val="en-GB" w:eastAsia="en-GB"/>
        </w:rPr>
        <w:t>to 9.1%</w:t>
      </w:r>
      <w:r>
        <w:rPr>
          <w:rFonts w:eastAsia="SimSun" w:cs="Times New Roman"/>
          <w:bCs/>
          <w:spacing w:val="-1"/>
          <w:szCs w:val="20"/>
          <w:lang w:val="en-GB" w:eastAsia="en-GB"/>
        </w:rPr>
        <w:t>,</w:t>
      </w:r>
      <w:r w:rsidRPr="00A57C9C">
        <w:rPr>
          <w:rFonts w:eastAsia="SimSun" w:cs="Times New Roman"/>
          <w:bCs/>
          <w:spacing w:val="-1"/>
          <w:szCs w:val="20"/>
          <w:lang w:val="en-GB" w:eastAsia="en-GB"/>
        </w:rPr>
        <w:t xml:space="preserve"> </w:t>
      </w:r>
      <w:r>
        <w:rPr>
          <w:rFonts w:eastAsia="SimSun" w:cs="Times New Roman"/>
          <w:bCs/>
          <w:spacing w:val="-1"/>
          <w:szCs w:val="20"/>
          <w:lang w:val="en-GB" w:eastAsia="en-GB"/>
        </w:rPr>
        <w:t xml:space="preserve">but rose </w:t>
      </w:r>
      <w:r w:rsidRPr="00A57C9C">
        <w:rPr>
          <w:rFonts w:eastAsia="SimSun" w:cs="Times New Roman"/>
          <w:bCs/>
          <w:spacing w:val="-1"/>
          <w:szCs w:val="20"/>
          <w:lang w:val="en-GB" w:eastAsia="en-GB"/>
        </w:rPr>
        <w:t>by 1.1pp over the</w:t>
      </w:r>
      <w:r>
        <w:rPr>
          <w:rFonts w:eastAsia="SimSun" w:cs="Times New Roman"/>
          <w:bCs/>
          <w:spacing w:val="-1"/>
          <w:szCs w:val="20"/>
          <w:lang w:val="en-GB" w:eastAsia="en-GB"/>
        </w:rPr>
        <w:t xml:space="preserve"> year to September 2024</w:t>
      </w:r>
      <w:r w:rsidRPr="00A57C9C">
        <w:rPr>
          <w:rFonts w:eastAsia="SimSun" w:cs="Times New Roman"/>
          <w:bCs/>
          <w:spacing w:val="-1"/>
          <w:szCs w:val="20"/>
          <w:lang w:val="en-GB" w:eastAsia="en-GB"/>
        </w:rPr>
        <w:t xml:space="preserve">. </w:t>
      </w:r>
      <w:r>
        <w:rPr>
          <w:rFonts w:eastAsia="SimSun" w:cs="Times New Roman"/>
          <w:bCs/>
          <w:spacing w:val="-1"/>
          <w:szCs w:val="20"/>
          <w:lang w:val="en-GB" w:eastAsia="en-GB"/>
        </w:rPr>
        <w:t>In</w:t>
      </w:r>
      <w:r w:rsidRPr="00A57C9C">
        <w:rPr>
          <w:rFonts w:eastAsia="SimSun" w:cs="Times New Roman"/>
          <w:bCs/>
          <w:spacing w:val="-1"/>
          <w:szCs w:val="20"/>
          <w:lang w:val="en-GB" w:eastAsia="en-GB"/>
        </w:rPr>
        <w:t xml:space="preserve"> addition, the participation rate for young people fell by 0.1pp over the </w:t>
      </w:r>
      <w:r>
        <w:rPr>
          <w:rFonts w:eastAsia="SimSun" w:cs="Times New Roman"/>
          <w:bCs/>
          <w:spacing w:val="-1"/>
          <w:szCs w:val="20"/>
          <w:lang w:val="en-GB" w:eastAsia="en-GB"/>
        </w:rPr>
        <w:t xml:space="preserve">September </w:t>
      </w:r>
      <w:r w:rsidRPr="00A57C9C">
        <w:rPr>
          <w:rFonts w:eastAsia="SimSun" w:cs="Times New Roman"/>
          <w:bCs/>
          <w:spacing w:val="-1"/>
          <w:szCs w:val="20"/>
          <w:lang w:val="en-GB" w:eastAsia="en-GB"/>
        </w:rPr>
        <w:t>quarter</w:t>
      </w:r>
      <w:r>
        <w:rPr>
          <w:rFonts w:eastAsia="SimSun" w:cs="Times New Roman"/>
          <w:bCs/>
          <w:spacing w:val="-1"/>
          <w:szCs w:val="20"/>
          <w:lang w:val="en-GB" w:eastAsia="en-GB"/>
        </w:rPr>
        <w:t xml:space="preserve"> 2024, </w:t>
      </w:r>
      <w:r w:rsidRPr="00A57C9C">
        <w:rPr>
          <w:rFonts w:eastAsia="SimSun" w:cs="Times New Roman"/>
          <w:bCs/>
          <w:spacing w:val="-1"/>
          <w:szCs w:val="20"/>
          <w:lang w:val="en-GB" w:eastAsia="en-GB"/>
        </w:rPr>
        <w:t>to 70.3%</w:t>
      </w:r>
      <w:r>
        <w:rPr>
          <w:rFonts w:eastAsia="SimSun" w:cs="Times New Roman"/>
          <w:bCs/>
          <w:spacing w:val="-1"/>
          <w:szCs w:val="20"/>
          <w:lang w:val="en-GB" w:eastAsia="en-GB"/>
        </w:rPr>
        <w:t xml:space="preserve">, but is </w:t>
      </w:r>
      <w:r w:rsidRPr="00A57C9C">
        <w:rPr>
          <w:rFonts w:eastAsia="SimSun" w:cs="Times New Roman"/>
          <w:bCs/>
          <w:spacing w:val="-1"/>
          <w:szCs w:val="20"/>
          <w:lang w:val="en-GB" w:eastAsia="en-GB"/>
        </w:rPr>
        <w:t xml:space="preserve">0.7pp </w:t>
      </w:r>
      <w:r>
        <w:rPr>
          <w:rFonts w:eastAsia="SimSun" w:cs="Times New Roman"/>
          <w:bCs/>
          <w:spacing w:val="-1"/>
          <w:szCs w:val="20"/>
          <w:lang w:val="en-GB" w:eastAsia="en-GB"/>
        </w:rPr>
        <w:t>above the 69.6% recorded in</w:t>
      </w:r>
      <w:r w:rsidRPr="00A57C9C">
        <w:rPr>
          <w:rFonts w:eastAsia="SimSun" w:cs="Times New Roman"/>
          <w:bCs/>
          <w:spacing w:val="-1"/>
          <w:szCs w:val="20"/>
          <w:lang w:val="en-GB" w:eastAsia="en-GB"/>
        </w:rPr>
        <w:t xml:space="preserve"> September 2023.</w:t>
      </w:r>
    </w:p>
    <w:p w14:paraId="614A8335" w14:textId="6CB07EA6" w:rsidR="00E325A5" w:rsidRDefault="00630B99" w:rsidP="00630B99">
      <w:pPr>
        <w:rPr>
          <w:rFonts w:eastAsia="Arial" w:cs="Times New Roman"/>
          <w:bCs/>
        </w:rPr>
      </w:pPr>
      <w:r w:rsidRPr="00A57C9C">
        <w:rPr>
          <w:rFonts w:eastAsia="Arial" w:cs="Times New Roman"/>
          <w:bCs/>
        </w:rPr>
        <w:t xml:space="preserve">Despite the </w:t>
      </w:r>
      <w:r w:rsidR="003159D2">
        <w:rPr>
          <w:rFonts w:eastAsia="Arial" w:cs="Times New Roman"/>
          <w:bCs/>
        </w:rPr>
        <w:t>resilient</w:t>
      </w:r>
      <w:r w:rsidRPr="00A57C9C">
        <w:rPr>
          <w:rFonts w:eastAsia="Arial" w:cs="Times New Roman"/>
          <w:bCs/>
        </w:rPr>
        <w:t xml:space="preserve"> labour market, the number of people who were long-term unemployed increased by 19,500 (or 17.5%) over the September quarter 2024 and </w:t>
      </w:r>
      <w:r w:rsidR="00332C70">
        <w:rPr>
          <w:rFonts w:eastAsia="Arial" w:cs="Times New Roman"/>
          <w:bCs/>
        </w:rPr>
        <w:t>is</w:t>
      </w:r>
      <w:r w:rsidRPr="00A57C9C">
        <w:rPr>
          <w:rFonts w:eastAsia="Arial" w:cs="Times New Roman"/>
          <w:bCs/>
        </w:rPr>
        <w:t xml:space="preserve"> 21,400 (or 19.5%) above the level recorded </w:t>
      </w:r>
      <w:r w:rsidR="003159D2">
        <w:rPr>
          <w:rFonts w:eastAsia="Arial" w:cs="Times New Roman"/>
          <w:bCs/>
        </w:rPr>
        <w:t>in September 2023.</w:t>
      </w:r>
    </w:p>
    <w:p w14:paraId="5D412D4B" w14:textId="1F1C0395" w:rsidR="003B40AA" w:rsidRDefault="003B40AA" w:rsidP="00630B99">
      <w:pPr>
        <w:rPr>
          <w:rFonts w:eastAsia="Times New Roman" w:cs="Times New Roman"/>
          <w:b/>
          <w:sz w:val="32"/>
          <w:szCs w:val="26"/>
        </w:rPr>
      </w:pPr>
      <w:r w:rsidRPr="003B40AA">
        <w:rPr>
          <w:rFonts w:eastAsia="Times New Roman" w:cs="Times New Roman"/>
          <w:b/>
          <w:sz w:val="32"/>
          <w:szCs w:val="26"/>
        </w:rPr>
        <w:lastRenderedPageBreak/>
        <w:t>Employment has been resilient across geographies</w:t>
      </w:r>
    </w:p>
    <w:p w14:paraId="5BDA9796" w14:textId="11B299ED" w:rsidR="00D67C38" w:rsidRPr="00AA59F1" w:rsidRDefault="00D67C38" w:rsidP="00D67C38">
      <w:pPr>
        <w:rPr>
          <w:rFonts w:eastAsia="Arial" w:cs="Times New Roman"/>
        </w:rPr>
      </w:pPr>
      <w:r w:rsidRPr="58A895D0">
        <w:rPr>
          <w:rFonts w:eastAsia="Arial" w:cs="Times New Roman"/>
        </w:rPr>
        <w:t xml:space="preserve">Employment rose in all </w:t>
      </w:r>
      <w:bookmarkStart w:id="16" w:name="_Int_i8Vf0Mgh"/>
      <w:r w:rsidRPr="58A895D0">
        <w:rPr>
          <w:rFonts w:eastAsia="Arial" w:cs="Times New Roman"/>
        </w:rPr>
        <w:t>jurisdictions</w:t>
      </w:r>
      <w:bookmarkEnd w:id="16"/>
      <w:r w:rsidRPr="58A895D0">
        <w:rPr>
          <w:rFonts w:eastAsia="Arial" w:cs="Times New Roman"/>
        </w:rPr>
        <w:t xml:space="preserve"> over the September quarter 2024 except in Tasmania (where employment fell by 1,500 or 0.5%). The largest increase occurred in Victoria (up by 64,800 or 1.7%), followed by New South Wales (up by 52,200 or 1.2%) </w:t>
      </w:r>
      <w:r w:rsidR="00D9536F" w:rsidRPr="58A895D0">
        <w:rPr>
          <w:rFonts w:eastAsia="Arial" w:cs="Times New Roman"/>
        </w:rPr>
        <w:t>–</w:t>
      </w:r>
      <w:r w:rsidRPr="58A895D0">
        <w:rPr>
          <w:rFonts w:eastAsia="Arial" w:cs="Times New Roman"/>
        </w:rPr>
        <w:t xml:space="preserve"> see Table 2.</w:t>
      </w:r>
    </w:p>
    <w:p w14:paraId="6BF64A4E" w14:textId="77777777" w:rsidR="00D67C38" w:rsidRPr="002B5CBB" w:rsidRDefault="00D67C38" w:rsidP="00D67C38">
      <w:pPr>
        <w:rPr>
          <w:rFonts w:eastAsia="Arial" w:cs="Times New Roman"/>
        </w:rPr>
      </w:pPr>
      <w:bookmarkStart w:id="17" w:name="_Hlk181709917"/>
      <w:r w:rsidRPr="58A895D0">
        <w:rPr>
          <w:rFonts w:eastAsia="Arial" w:cs="Times New Roman"/>
        </w:rPr>
        <w:t xml:space="preserve">Three </w:t>
      </w:r>
      <w:bookmarkStart w:id="18" w:name="_Int_ds1rShxM"/>
      <w:r w:rsidRPr="58A895D0">
        <w:rPr>
          <w:rFonts w:eastAsia="Arial" w:cs="Times New Roman"/>
        </w:rPr>
        <w:t>jurisdictions</w:t>
      </w:r>
      <w:bookmarkEnd w:id="18"/>
      <w:r w:rsidRPr="58A895D0">
        <w:rPr>
          <w:rFonts w:eastAsia="Arial" w:cs="Times New Roman"/>
        </w:rPr>
        <w:t xml:space="preserve"> recorded an unemployment rate of less than 4.0% in September 2024, with the Australian Capital Territory (ACT) recording the lowest rate of 3.4%. While Victoria recorded the highest unemployment rate, at 4.4% in September 2024, conditions in the state remain </w:t>
      </w:r>
      <w:bookmarkStart w:id="19" w:name="_Int_CIAWSTtA"/>
      <w:r w:rsidRPr="58A895D0">
        <w:rPr>
          <w:rFonts w:eastAsia="Arial" w:cs="Times New Roman"/>
        </w:rPr>
        <w:t>reasonably strong</w:t>
      </w:r>
      <w:bookmarkEnd w:id="19"/>
      <w:r w:rsidRPr="58A895D0">
        <w:rPr>
          <w:rFonts w:eastAsia="Arial" w:cs="Times New Roman"/>
        </w:rPr>
        <w:t>, with the participation rate increasing by 0.6pp over the period, to 68.5%.</w:t>
      </w:r>
    </w:p>
    <w:bookmarkEnd w:id="17"/>
    <w:p w14:paraId="7AE0A6E3" w14:textId="628D72FE" w:rsidR="00630B99" w:rsidRPr="00AA59F1" w:rsidRDefault="00630B99" w:rsidP="00630B99">
      <w:pPr>
        <w:rPr>
          <w:rFonts w:eastAsia="Arial" w:cs="Times New Roman"/>
        </w:rPr>
      </w:pPr>
      <w:r w:rsidRPr="58A895D0">
        <w:rPr>
          <w:rFonts w:eastAsia="Arial" w:cs="Times New Roman"/>
        </w:rPr>
        <w:t xml:space="preserve">The </w:t>
      </w:r>
      <w:r w:rsidR="00FD5EF4" w:rsidRPr="58A895D0">
        <w:rPr>
          <w:rFonts w:eastAsia="Arial" w:cs="Times New Roman"/>
        </w:rPr>
        <w:t>ACT</w:t>
      </w:r>
      <w:r w:rsidRPr="58A895D0">
        <w:rPr>
          <w:rFonts w:eastAsia="Arial" w:cs="Times New Roman"/>
        </w:rPr>
        <w:t xml:space="preserve"> recorded the highest participation rate of </w:t>
      </w:r>
      <w:r w:rsidR="00D67C38" w:rsidRPr="58A895D0">
        <w:rPr>
          <w:rFonts w:eastAsia="Arial" w:cs="Times New Roman"/>
        </w:rPr>
        <w:t xml:space="preserve">any </w:t>
      </w:r>
      <w:bookmarkStart w:id="20" w:name="_Int_Fn8Uky3x"/>
      <w:r w:rsidR="00D67C38" w:rsidRPr="58A895D0">
        <w:rPr>
          <w:rFonts w:eastAsia="Arial" w:cs="Times New Roman"/>
        </w:rPr>
        <w:t>jurisdiction</w:t>
      </w:r>
      <w:bookmarkEnd w:id="20"/>
      <w:r w:rsidR="00D67C38" w:rsidRPr="58A895D0">
        <w:rPr>
          <w:rFonts w:eastAsia="Arial" w:cs="Times New Roman"/>
        </w:rPr>
        <w:t xml:space="preserve">, of </w:t>
      </w:r>
      <w:r w:rsidRPr="58A895D0">
        <w:rPr>
          <w:rFonts w:eastAsia="Arial" w:cs="Times New Roman"/>
        </w:rPr>
        <w:t>72.7% in September 2024</w:t>
      </w:r>
      <w:r w:rsidR="003159D2" w:rsidRPr="58A895D0">
        <w:rPr>
          <w:rFonts w:eastAsia="Arial" w:cs="Times New Roman"/>
        </w:rPr>
        <w:t xml:space="preserve">. </w:t>
      </w:r>
      <w:r w:rsidRPr="58A895D0">
        <w:rPr>
          <w:rFonts w:eastAsia="Arial" w:cs="Times New Roman"/>
        </w:rPr>
        <w:t>Tasmania recorded the lowest participation rate</w:t>
      </w:r>
      <w:r w:rsidR="00D67C38" w:rsidRPr="58A895D0">
        <w:rPr>
          <w:rFonts w:eastAsia="Arial" w:cs="Times New Roman"/>
        </w:rPr>
        <w:t>,</w:t>
      </w:r>
      <w:r w:rsidRPr="58A895D0">
        <w:rPr>
          <w:rFonts w:eastAsia="Arial" w:cs="Times New Roman"/>
        </w:rPr>
        <w:t xml:space="preserve"> of 60.7%.</w:t>
      </w:r>
    </w:p>
    <w:p w14:paraId="176F53B8" w14:textId="4BE2AD2F" w:rsidR="00630B99" w:rsidRPr="00C40D54" w:rsidRDefault="00630B99" w:rsidP="00C40D54">
      <w:pPr>
        <w:keepNext/>
        <w:keepLines/>
        <w:spacing w:before="240" w:line="259" w:lineRule="auto"/>
        <w:rPr>
          <w:rFonts w:eastAsia="Arial" w:cs="Times New Roman"/>
          <w:b/>
          <w:color w:val="000000"/>
          <w:sz w:val="18"/>
          <w:szCs w:val="20"/>
        </w:rPr>
      </w:pPr>
      <w:r w:rsidRPr="00C40D54">
        <w:rPr>
          <w:rFonts w:eastAsia="Arial" w:cs="Times New Roman"/>
          <w:b/>
          <w:color w:val="000000"/>
          <w:sz w:val="18"/>
          <w:szCs w:val="20"/>
        </w:rPr>
        <w:t xml:space="preserve">Table </w:t>
      </w:r>
      <w:r w:rsidR="00FA01FC" w:rsidRPr="00C40D54">
        <w:rPr>
          <w:rFonts w:eastAsia="Arial" w:cs="Times New Roman"/>
          <w:b/>
          <w:color w:val="000000"/>
          <w:sz w:val="18"/>
          <w:szCs w:val="20"/>
        </w:rPr>
        <w:t>2</w:t>
      </w:r>
      <w:r w:rsidRPr="00C40D54">
        <w:rPr>
          <w:rFonts w:eastAsia="Arial" w:cs="Times New Roman"/>
          <w:b/>
          <w:color w:val="000000"/>
          <w:sz w:val="18"/>
          <w:szCs w:val="20"/>
        </w:rPr>
        <w:t>: Key labour market indicators by state and territory, September 2024</w:t>
      </w:r>
    </w:p>
    <w:tbl>
      <w:tblPr>
        <w:tblW w:w="9480" w:type="dxa"/>
        <w:tblLook w:val="04A0" w:firstRow="1" w:lastRow="0" w:firstColumn="1" w:lastColumn="0" w:noHBand="0" w:noVBand="1"/>
      </w:tblPr>
      <w:tblGrid>
        <w:gridCol w:w="2681"/>
        <w:gridCol w:w="1140"/>
        <w:gridCol w:w="760"/>
        <w:gridCol w:w="889"/>
        <w:gridCol w:w="899"/>
        <w:gridCol w:w="1106"/>
        <w:gridCol w:w="899"/>
        <w:gridCol w:w="1106"/>
      </w:tblGrid>
      <w:tr w:rsidR="00D31A59" w:rsidRPr="00C40D54" w14:paraId="6796713E" w14:textId="77777777" w:rsidTr="58A895D0">
        <w:trPr>
          <w:trHeight w:val="300"/>
        </w:trPr>
        <w:tc>
          <w:tcPr>
            <w:tcW w:w="2681" w:type="dxa"/>
            <w:vMerge w:val="restart"/>
            <w:tcBorders>
              <w:top w:val="nil"/>
              <w:left w:val="nil"/>
              <w:bottom w:val="nil"/>
              <w:right w:val="nil"/>
            </w:tcBorders>
            <w:shd w:val="clear" w:color="auto" w:fill="012749" w:themeFill="accent3"/>
            <w:vAlign w:val="center"/>
            <w:hideMark/>
          </w:tcPr>
          <w:p w14:paraId="24EB7A0F" w14:textId="77777777" w:rsidR="00630B99" w:rsidRPr="00C40D54" w:rsidRDefault="00630B99">
            <w:pPr>
              <w:keepNext/>
              <w:keepLines/>
              <w:spacing w:after="0" w:line="240" w:lineRule="auto"/>
              <w:rPr>
                <w:rFonts w:asciiTheme="minorHAnsi" w:eastAsia="Times New Roman" w:hAnsiTheme="minorHAnsi" w:cstheme="minorHAnsi"/>
                <w:color w:val="000000"/>
                <w:sz w:val="20"/>
                <w:szCs w:val="20"/>
                <w:lang w:eastAsia="en-AU"/>
              </w:rPr>
            </w:pPr>
            <w:r w:rsidRPr="00C40D54">
              <w:rPr>
                <w:rFonts w:asciiTheme="minorHAnsi" w:eastAsia="Times New Roman" w:hAnsiTheme="minorHAnsi" w:cstheme="minorHAnsi"/>
                <w:color w:val="000000"/>
                <w:sz w:val="20"/>
                <w:szCs w:val="20"/>
                <w:lang w:eastAsia="en-AU"/>
              </w:rPr>
              <w:t> </w:t>
            </w:r>
          </w:p>
        </w:tc>
        <w:tc>
          <w:tcPr>
            <w:tcW w:w="2789" w:type="dxa"/>
            <w:gridSpan w:val="3"/>
            <w:vMerge w:val="restart"/>
            <w:tcBorders>
              <w:top w:val="nil"/>
              <w:left w:val="nil"/>
              <w:bottom w:val="nil"/>
              <w:right w:val="nil"/>
            </w:tcBorders>
            <w:shd w:val="clear" w:color="auto" w:fill="012749" w:themeFill="accent3"/>
            <w:vAlign w:val="center"/>
            <w:hideMark/>
          </w:tcPr>
          <w:p w14:paraId="78B65E79" w14:textId="77777777" w:rsidR="00630B99" w:rsidRPr="002A6BE4" w:rsidRDefault="00630B99">
            <w:pPr>
              <w:keepNext/>
              <w:keepLines/>
              <w:spacing w:after="0" w:line="240" w:lineRule="auto"/>
              <w:jc w:val="center"/>
              <w:rPr>
                <w:rFonts w:asciiTheme="minorHAnsi" w:eastAsia="Times New Roman" w:hAnsiTheme="minorHAnsi" w:cstheme="minorHAnsi"/>
                <w:b/>
                <w:bCs/>
                <w:color w:val="FFFFFF"/>
                <w:sz w:val="20"/>
                <w:szCs w:val="20"/>
                <w:lang w:eastAsia="en-AU"/>
              </w:rPr>
            </w:pPr>
            <w:r w:rsidRPr="002A6BE4">
              <w:rPr>
                <w:rFonts w:asciiTheme="minorHAnsi" w:eastAsia="Times New Roman" w:hAnsiTheme="minorHAnsi" w:cstheme="minorHAnsi"/>
                <w:b/>
                <w:bCs/>
                <w:color w:val="FFFFFF"/>
                <w:sz w:val="20"/>
                <w:szCs w:val="20"/>
                <w:lang w:eastAsia="en-AU"/>
              </w:rPr>
              <w:t>Employment ('000)</w:t>
            </w:r>
          </w:p>
        </w:tc>
        <w:tc>
          <w:tcPr>
            <w:tcW w:w="2005" w:type="dxa"/>
            <w:gridSpan w:val="2"/>
            <w:tcBorders>
              <w:top w:val="nil"/>
              <w:left w:val="nil"/>
              <w:bottom w:val="nil"/>
              <w:right w:val="nil"/>
            </w:tcBorders>
            <w:shd w:val="clear" w:color="auto" w:fill="012749" w:themeFill="accent3"/>
            <w:vAlign w:val="center"/>
            <w:hideMark/>
          </w:tcPr>
          <w:p w14:paraId="07533DAC" w14:textId="77777777" w:rsidR="00630B99" w:rsidRPr="002A6BE4" w:rsidRDefault="00630B99">
            <w:pPr>
              <w:keepNext/>
              <w:keepLines/>
              <w:spacing w:after="0" w:line="240" w:lineRule="auto"/>
              <w:jc w:val="center"/>
              <w:rPr>
                <w:rFonts w:asciiTheme="minorHAnsi" w:eastAsia="Times New Roman" w:hAnsiTheme="minorHAnsi" w:cstheme="minorHAnsi"/>
                <w:b/>
                <w:bCs/>
                <w:color w:val="FFFFFF"/>
                <w:sz w:val="20"/>
                <w:szCs w:val="20"/>
                <w:lang w:eastAsia="en-AU"/>
              </w:rPr>
            </w:pPr>
            <w:r w:rsidRPr="002A6BE4">
              <w:rPr>
                <w:rFonts w:asciiTheme="minorHAnsi" w:eastAsia="Times New Roman" w:hAnsiTheme="minorHAnsi" w:cstheme="minorHAnsi"/>
                <w:b/>
                <w:bCs/>
                <w:color w:val="FFFFFF"/>
                <w:sz w:val="20"/>
                <w:szCs w:val="20"/>
                <w:lang w:eastAsia="en-AU"/>
              </w:rPr>
              <w:t>Unemployment</w:t>
            </w:r>
          </w:p>
        </w:tc>
        <w:tc>
          <w:tcPr>
            <w:tcW w:w="2005" w:type="dxa"/>
            <w:gridSpan w:val="2"/>
            <w:tcBorders>
              <w:top w:val="nil"/>
              <w:left w:val="nil"/>
              <w:bottom w:val="nil"/>
              <w:right w:val="nil"/>
            </w:tcBorders>
            <w:shd w:val="clear" w:color="auto" w:fill="012749" w:themeFill="accent3"/>
            <w:vAlign w:val="center"/>
            <w:hideMark/>
          </w:tcPr>
          <w:p w14:paraId="1F71B0C0" w14:textId="77777777" w:rsidR="00630B99" w:rsidRPr="002A6BE4" w:rsidRDefault="00630B99">
            <w:pPr>
              <w:keepNext/>
              <w:keepLines/>
              <w:spacing w:after="0" w:line="240" w:lineRule="auto"/>
              <w:jc w:val="center"/>
              <w:rPr>
                <w:rFonts w:asciiTheme="minorHAnsi" w:eastAsia="Times New Roman" w:hAnsiTheme="minorHAnsi" w:cstheme="minorHAnsi"/>
                <w:b/>
                <w:bCs/>
                <w:color w:val="FFFFFF"/>
                <w:sz w:val="20"/>
                <w:szCs w:val="20"/>
                <w:lang w:eastAsia="en-AU"/>
              </w:rPr>
            </w:pPr>
            <w:r w:rsidRPr="002A6BE4">
              <w:rPr>
                <w:rFonts w:asciiTheme="minorHAnsi" w:eastAsia="Times New Roman" w:hAnsiTheme="minorHAnsi" w:cstheme="minorHAnsi"/>
                <w:b/>
                <w:bCs/>
                <w:color w:val="FFFFFF"/>
                <w:sz w:val="20"/>
                <w:szCs w:val="20"/>
                <w:lang w:eastAsia="en-AU"/>
              </w:rPr>
              <w:t>Participation</w:t>
            </w:r>
          </w:p>
        </w:tc>
      </w:tr>
      <w:tr w:rsidR="00D31A59" w:rsidRPr="00C40D54" w14:paraId="3B0ECE8F" w14:textId="77777777" w:rsidTr="58A895D0">
        <w:trPr>
          <w:trHeight w:val="315"/>
        </w:trPr>
        <w:tc>
          <w:tcPr>
            <w:tcW w:w="2681" w:type="dxa"/>
            <w:vMerge/>
            <w:vAlign w:val="center"/>
            <w:hideMark/>
          </w:tcPr>
          <w:p w14:paraId="118339E8" w14:textId="77777777" w:rsidR="00630B99" w:rsidRPr="00C40D54" w:rsidRDefault="00630B99">
            <w:pPr>
              <w:keepNext/>
              <w:keepLines/>
              <w:spacing w:after="0" w:line="240" w:lineRule="auto"/>
              <w:rPr>
                <w:rFonts w:asciiTheme="minorHAnsi" w:eastAsia="Times New Roman" w:hAnsiTheme="minorHAnsi" w:cstheme="minorHAnsi"/>
                <w:color w:val="000000"/>
                <w:sz w:val="20"/>
                <w:szCs w:val="20"/>
                <w:lang w:eastAsia="en-AU"/>
              </w:rPr>
            </w:pPr>
          </w:p>
        </w:tc>
        <w:tc>
          <w:tcPr>
            <w:tcW w:w="2789" w:type="dxa"/>
            <w:gridSpan w:val="3"/>
            <w:vMerge/>
            <w:vAlign w:val="center"/>
            <w:hideMark/>
          </w:tcPr>
          <w:p w14:paraId="72513FB6" w14:textId="77777777" w:rsidR="00630B99" w:rsidRPr="002A6BE4" w:rsidRDefault="00630B99">
            <w:pPr>
              <w:keepNext/>
              <w:keepLines/>
              <w:spacing w:after="0" w:line="240" w:lineRule="auto"/>
              <w:rPr>
                <w:rFonts w:asciiTheme="minorHAnsi" w:eastAsia="Times New Roman" w:hAnsiTheme="minorHAnsi" w:cstheme="minorHAnsi"/>
                <w:b/>
                <w:bCs/>
                <w:color w:val="FFFFFF"/>
                <w:sz w:val="20"/>
                <w:szCs w:val="20"/>
                <w:lang w:eastAsia="en-AU"/>
              </w:rPr>
            </w:pPr>
          </w:p>
        </w:tc>
        <w:tc>
          <w:tcPr>
            <w:tcW w:w="2005" w:type="dxa"/>
            <w:gridSpan w:val="2"/>
            <w:tcBorders>
              <w:top w:val="nil"/>
              <w:left w:val="nil"/>
              <w:bottom w:val="single" w:sz="8" w:space="0" w:color="FFFFFF" w:themeColor="background1"/>
              <w:right w:val="nil"/>
            </w:tcBorders>
            <w:shd w:val="clear" w:color="auto" w:fill="012749" w:themeFill="accent3"/>
            <w:vAlign w:val="center"/>
            <w:hideMark/>
          </w:tcPr>
          <w:p w14:paraId="32061F6E" w14:textId="77777777" w:rsidR="00630B99" w:rsidRPr="002A6BE4" w:rsidRDefault="00630B99">
            <w:pPr>
              <w:keepNext/>
              <w:keepLines/>
              <w:spacing w:after="0" w:line="240" w:lineRule="auto"/>
              <w:jc w:val="center"/>
              <w:rPr>
                <w:rFonts w:asciiTheme="minorHAnsi" w:eastAsia="Times New Roman" w:hAnsiTheme="minorHAnsi" w:cstheme="minorHAnsi"/>
                <w:b/>
                <w:bCs/>
                <w:color w:val="FFFFFF"/>
                <w:sz w:val="20"/>
                <w:szCs w:val="20"/>
                <w:lang w:eastAsia="en-AU"/>
              </w:rPr>
            </w:pPr>
            <w:r w:rsidRPr="002A6BE4">
              <w:rPr>
                <w:rFonts w:asciiTheme="minorHAnsi" w:eastAsia="Times New Roman" w:hAnsiTheme="minorHAnsi" w:cstheme="minorHAnsi"/>
                <w:b/>
                <w:bCs/>
                <w:color w:val="FFFFFF"/>
                <w:sz w:val="20"/>
                <w:szCs w:val="20"/>
                <w:lang w:eastAsia="en-AU"/>
              </w:rPr>
              <w:t>rate (%)</w:t>
            </w:r>
          </w:p>
        </w:tc>
        <w:tc>
          <w:tcPr>
            <w:tcW w:w="2005" w:type="dxa"/>
            <w:gridSpan w:val="2"/>
            <w:tcBorders>
              <w:top w:val="nil"/>
              <w:left w:val="nil"/>
              <w:bottom w:val="single" w:sz="8" w:space="0" w:color="FFFFFF" w:themeColor="background1"/>
              <w:right w:val="nil"/>
            </w:tcBorders>
            <w:shd w:val="clear" w:color="auto" w:fill="012749" w:themeFill="accent3"/>
            <w:vAlign w:val="center"/>
            <w:hideMark/>
          </w:tcPr>
          <w:p w14:paraId="2FF0919C" w14:textId="77777777" w:rsidR="00630B99" w:rsidRPr="002A6BE4" w:rsidRDefault="00630B99">
            <w:pPr>
              <w:keepNext/>
              <w:keepLines/>
              <w:spacing w:after="0" w:line="240" w:lineRule="auto"/>
              <w:jc w:val="center"/>
              <w:rPr>
                <w:rFonts w:asciiTheme="minorHAnsi" w:eastAsia="Times New Roman" w:hAnsiTheme="minorHAnsi" w:cstheme="minorHAnsi"/>
                <w:b/>
                <w:bCs/>
                <w:color w:val="FFFFFF"/>
                <w:sz w:val="20"/>
                <w:szCs w:val="20"/>
                <w:lang w:eastAsia="en-AU"/>
              </w:rPr>
            </w:pPr>
            <w:r w:rsidRPr="002A6BE4">
              <w:rPr>
                <w:rFonts w:asciiTheme="minorHAnsi" w:eastAsia="Times New Roman" w:hAnsiTheme="minorHAnsi" w:cstheme="minorHAnsi"/>
                <w:b/>
                <w:bCs/>
                <w:color w:val="FFFFFF"/>
                <w:sz w:val="20"/>
                <w:szCs w:val="20"/>
                <w:lang w:eastAsia="en-AU"/>
              </w:rPr>
              <w:t>rate (%)</w:t>
            </w:r>
          </w:p>
        </w:tc>
      </w:tr>
      <w:tr w:rsidR="00AA4D20" w:rsidRPr="00C40D54" w14:paraId="4E74FB22" w14:textId="77777777" w:rsidTr="58A895D0">
        <w:trPr>
          <w:trHeight w:val="765"/>
        </w:trPr>
        <w:tc>
          <w:tcPr>
            <w:tcW w:w="2681" w:type="dxa"/>
            <w:vMerge/>
            <w:vAlign w:val="center"/>
            <w:hideMark/>
          </w:tcPr>
          <w:p w14:paraId="42172954" w14:textId="77777777" w:rsidR="00630B99" w:rsidRPr="00C40D54" w:rsidRDefault="00630B99">
            <w:pPr>
              <w:keepNext/>
              <w:keepLines/>
              <w:spacing w:after="0" w:line="240" w:lineRule="auto"/>
              <w:rPr>
                <w:rFonts w:asciiTheme="minorHAnsi" w:eastAsia="Times New Roman" w:hAnsiTheme="minorHAnsi" w:cstheme="minorHAnsi"/>
                <w:color w:val="000000"/>
                <w:sz w:val="20"/>
                <w:szCs w:val="20"/>
                <w:lang w:eastAsia="en-AU"/>
              </w:rPr>
            </w:pPr>
          </w:p>
        </w:tc>
        <w:tc>
          <w:tcPr>
            <w:tcW w:w="1140" w:type="dxa"/>
            <w:vMerge w:val="restart"/>
            <w:tcBorders>
              <w:top w:val="nil"/>
              <w:left w:val="nil"/>
              <w:bottom w:val="nil"/>
              <w:right w:val="nil"/>
            </w:tcBorders>
            <w:shd w:val="clear" w:color="auto" w:fill="012749" w:themeFill="accent3"/>
            <w:vAlign w:val="center"/>
            <w:hideMark/>
          </w:tcPr>
          <w:p w14:paraId="0D994C24" w14:textId="77777777" w:rsidR="00630B99" w:rsidRPr="002A6BE4" w:rsidRDefault="00630B99">
            <w:pPr>
              <w:keepNext/>
              <w:keepLines/>
              <w:spacing w:after="0" w:line="240" w:lineRule="auto"/>
              <w:jc w:val="center"/>
              <w:rPr>
                <w:rFonts w:asciiTheme="minorHAnsi" w:eastAsia="Times New Roman" w:hAnsiTheme="minorHAnsi" w:cstheme="minorHAnsi"/>
                <w:color w:val="FFFFFF"/>
                <w:sz w:val="20"/>
                <w:szCs w:val="20"/>
                <w:lang w:eastAsia="en-AU"/>
              </w:rPr>
            </w:pPr>
            <w:r w:rsidRPr="002A6BE4">
              <w:rPr>
                <w:rFonts w:asciiTheme="minorHAnsi" w:eastAsia="Times New Roman" w:hAnsiTheme="minorHAnsi" w:cstheme="minorHAnsi"/>
                <w:color w:val="FFFFFF"/>
                <w:sz w:val="20"/>
                <w:szCs w:val="20"/>
                <w:lang w:eastAsia="en-AU"/>
              </w:rPr>
              <w:t>Sep-24</w:t>
            </w:r>
          </w:p>
        </w:tc>
        <w:tc>
          <w:tcPr>
            <w:tcW w:w="1649" w:type="dxa"/>
            <w:gridSpan w:val="2"/>
            <w:tcBorders>
              <w:top w:val="nil"/>
              <w:left w:val="nil"/>
              <w:bottom w:val="nil"/>
              <w:right w:val="nil"/>
            </w:tcBorders>
            <w:shd w:val="clear" w:color="auto" w:fill="012749" w:themeFill="accent3"/>
            <w:vAlign w:val="bottom"/>
            <w:hideMark/>
          </w:tcPr>
          <w:p w14:paraId="4D0AC5A3" w14:textId="77777777" w:rsidR="00630B99" w:rsidRPr="002A6BE4" w:rsidRDefault="00630B99">
            <w:pPr>
              <w:keepNext/>
              <w:keepLines/>
              <w:spacing w:after="0" w:line="240" w:lineRule="auto"/>
              <w:jc w:val="center"/>
              <w:rPr>
                <w:rFonts w:asciiTheme="minorHAnsi" w:eastAsia="Times New Roman" w:hAnsiTheme="minorHAnsi" w:cstheme="minorHAnsi"/>
                <w:color w:val="FFFFFF"/>
                <w:sz w:val="20"/>
                <w:szCs w:val="20"/>
                <w:lang w:eastAsia="en-AU"/>
              </w:rPr>
            </w:pPr>
            <w:r w:rsidRPr="002A6BE4">
              <w:rPr>
                <w:rFonts w:asciiTheme="minorHAnsi" w:eastAsia="Times New Roman" w:hAnsiTheme="minorHAnsi" w:cstheme="minorHAnsi"/>
                <w:color w:val="FFFFFF"/>
                <w:sz w:val="20"/>
                <w:szCs w:val="20"/>
                <w:lang w:eastAsia="en-AU"/>
              </w:rPr>
              <w:t>Quarterly change</w:t>
            </w:r>
          </w:p>
        </w:tc>
        <w:tc>
          <w:tcPr>
            <w:tcW w:w="899" w:type="dxa"/>
            <w:vMerge w:val="restart"/>
            <w:tcBorders>
              <w:top w:val="nil"/>
              <w:left w:val="nil"/>
              <w:bottom w:val="nil"/>
              <w:right w:val="nil"/>
            </w:tcBorders>
            <w:shd w:val="clear" w:color="auto" w:fill="012749" w:themeFill="accent3"/>
            <w:vAlign w:val="center"/>
            <w:hideMark/>
          </w:tcPr>
          <w:p w14:paraId="314CDFC6" w14:textId="77777777" w:rsidR="00630B99" w:rsidRPr="002A6BE4" w:rsidRDefault="00630B99">
            <w:pPr>
              <w:keepNext/>
              <w:keepLines/>
              <w:spacing w:after="0" w:line="240" w:lineRule="auto"/>
              <w:jc w:val="center"/>
              <w:rPr>
                <w:rFonts w:asciiTheme="minorHAnsi" w:eastAsia="Times New Roman" w:hAnsiTheme="minorHAnsi" w:cstheme="minorHAnsi"/>
                <w:color w:val="FFFFFF"/>
                <w:sz w:val="20"/>
                <w:szCs w:val="20"/>
                <w:lang w:eastAsia="en-AU"/>
              </w:rPr>
            </w:pPr>
            <w:r w:rsidRPr="002A6BE4">
              <w:rPr>
                <w:rFonts w:asciiTheme="minorHAnsi" w:eastAsia="Times New Roman" w:hAnsiTheme="minorHAnsi" w:cstheme="minorHAnsi"/>
                <w:color w:val="FFFFFF"/>
                <w:sz w:val="20"/>
                <w:szCs w:val="20"/>
                <w:lang w:eastAsia="en-AU"/>
              </w:rPr>
              <w:t>Sep-24</w:t>
            </w:r>
          </w:p>
        </w:tc>
        <w:tc>
          <w:tcPr>
            <w:tcW w:w="1106" w:type="dxa"/>
            <w:tcBorders>
              <w:top w:val="nil"/>
              <w:left w:val="nil"/>
              <w:bottom w:val="nil"/>
              <w:right w:val="nil"/>
            </w:tcBorders>
            <w:shd w:val="clear" w:color="auto" w:fill="012749" w:themeFill="accent3"/>
            <w:vAlign w:val="bottom"/>
            <w:hideMark/>
          </w:tcPr>
          <w:p w14:paraId="6D31756F" w14:textId="77777777" w:rsidR="00630B99" w:rsidRPr="002A6BE4" w:rsidRDefault="00630B99">
            <w:pPr>
              <w:keepNext/>
              <w:keepLines/>
              <w:spacing w:after="0" w:line="240" w:lineRule="auto"/>
              <w:jc w:val="center"/>
              <w:rPr>
                <w:rFonts w:asciiTheme="minorHAnsi" w:eastAsia="Times New Roman" w:hAnsiTheme="minorHAnsi" w:cstheme="minorHAnsi"/>
                <w:color w:val="FFFFFF"/>
                <w:sz w:val="20"/>
                <w:szCs w:val="20"/>
                <w:lang w:eastAsia="en-AU"/>
              </w:rPr>
            </w:pPr>
            <w:r w:rsidRPr="002A6BE4">
              <w:rPr>
                <w:rFonts w:asciiTheme="minorHAnsi" w:eastAsia="Times New Roman" w:hAnsiTheme="minorHAnsi" w:cstheme="minorHAnsi"/>
                <w:color w:val="FFFFFF"/>
                <w:sz w:val="20"/>
                <w:szCs w:val="20"/>
                <w:lang w:eastAsia="en-AU"/>
              </w:rPr>
              <w:t>Quarterly change</w:t>
            </w:r>
          </w:p>
        </w:tc>
        <w:tc>
          <w:tcPr>
            <w:tcW w:w="899" w:type="dxa"/>
            <w:vMerge w:val="restart"/>
            <w:tcBorders>
              <w:top w:val="nil"/>
              <w:left w:val="nil"/>
              <w:bottom w:val="nil"/>
              <w:right w:val="nil"/>
            </w:tcBorders>
            <w:shd w:val="clear" w:color="auto" w:fill="012749" w:themeFill="accent3"/>
            <w:vAlign w:val="center"/>
            <w:hideMark/>
          </w:tcPr>
          <w:p w14:paraId="1D73209B" w14:textId="77777777" w:rsidR="00630B99" w:rsidRPr="002A6BE4" w:rsidRDefault="00630B99">
            <w:pPr>
              <w:keepNext/>
              <w:keepLines/>
              <w:spacing w:after="0" w:line="240" w:lineRule="auto"/>
              <w:jc w:val="center"/>
              <w:rPr>
                <w:rFonts w:asciiTheme="minorHAnsi" w:eastAsia="Times New Roman" w:hAnsiTheme="minorHAnsi" w:cstheme="minorHAnsi"/>
                <w:color w:val="FFFFFF"/>
                <w:sz w:val="20"/>
                <w:szCs w:val="20"/>
                <w:lang w:eastAsia="en-AU"/>
              </w:rPr>
            </w:pPr>
            <w:r w:rsidRPr="002A6BE4">
              <w:rPr>
                <w:rFonts w:asciiTheme="minorHAnsi" w:eastAsia="Times New Roman" w:hAnsiTheme="minorHAnsi" w:cstheme="minorHAnsi"/>
                <w:color w:val="FFFFFF"/>
                <w:sz w:val="20"/>
                <w:szCs w:val="20"/>
                <w:lang w:eastAsia="en-AU"/>
              </w:rPr>
              <w:t>Sep-24</w:t>
            </w:r>
          </w:p>
        </w:tc>
        <w:tc>
          <w:tcPr>
            <w:tcW w:w="1106" w:type="dxa"/>
            <w:tcBorders>
              <w:top w:val="nil"/>
              <w:left w:val="nil"/>
              <w:bottom w:val="nil"/>
              <w:right w:val="nil"/>
            </w:tcBorders>
            <w:shd w:val="clear" w:color="auto" w:fill="012749" w:themeFill="accent3"/>
            <w:vAlign w:val="center"/>
            <w:hideMark/>
          </w:tcPr>
          <w:p w14:paraId="64B6A8C2" w14:textId="77777777" w:rsidR="00630B99" w:rsidRPr="002A6BE4" w:rsidRDefault="00630B99">
            <w:pPr>
              <w:keepNext/>
              <w:keepLines/>
              <w:spacing w:after="0" w:line="240" w:lineRule="auto"/>
              <w:jc w:val="center"/>
              <w:rPr>
                <w:rFonts w:asciiTheme="minorHAnsi" w:eastAsia="Times New Roman" w:hAnsiTheme="minorHAnsi" w:cstheme="minorHAnsi"/>
                <w:color w:val="FFFFFF"/>
                <w:sz w:val="20"/>
                <w:szCs w:val="20"/>
                <w:lang w:eastAsia="en-AU"/>
              </w:rPr>
            </w:pPr>
            <w:r w:rsidRPr="002A6BE4">
              <w:rPr>
                <w:rFonts w:asciiTheme="minorHAnsi" w:eastAsia="Times New Roman" w:hAnsiTheme="minorHAnsi" w:cstheme="minorHAnsi"/>
                <w:color w:val="FFFFFF"/>
                <w:sz w:val="20"/>
                <w:szCs w:val="20"/>
                <w:lang w:eastAsia="en-AU"/>
              </w:rPr>
              <w:t>Quarterly change</w:t>
            </w:r>
          </w:p>
        </w:tc>
      </w:tr>
      <w:tr w:rsidR="00AA4D20" w:rsidRPr="00C40D54" w14:paraId="72A6677C" w14:textId="77777777" w:rsidTr="58A895D0">
        <w:trPr>
          <w:trHeight w:val="300"/>
        </w:trPr>
        <w:tc>
          <w:tcPr>
            <w:tcW w:w="2681" w:type="dxa"/>
            <w:vMerge/>
            <w:vAlign w:val="center"/>
            <w:hideMark/>
          </w:tcPr>
          <w:p w14:paraId="78D32D53" w14:textId="77777777" w:rsidR="00630B99" w:rsidRPr="00C40D54" w:rsidRDefault="00630B99">
            <w:pPr>
              <w:keepNext/>
              <w:keepLines/>
              <w:spacing w:after="0" w:line="240" w:lineRule="auto"/>
              <w:rPr>
                <w:rFonts w:asciiTheme="minorHAnsi" w:eastAsia="Times New Roman" w:hAnsiTheme="minorHAnsi" w:cstheme="minorHAnsi"/>
                <w:color w:val="000000"/>
                <w:sz w:val="20"/>
                <w:szCs w:val="20"/>
                <w:lang w:eastAsia="en-AU"/>
              </w:rPr>
            </w:pPr>
          </w:p>
        </w:tc>
        <w:tc>
          <w:tcPr>
            <w:tcW w:w="1140" w:type="dxa"/>
            <w:vMerge/>
            <w:vAlign w:val="center"/>
            <w:hideMark/>
          </w:tcPr>
          <w:p w14:paraId="587ED185" w14:textId="77777777" w:rsidR="00630B99" w:rsidRPr="00C40D54" w:rsidRDefault="00630B99">
            <w:pPr>
              <w:keepNext/>
              <w:keepLines/>
              <w:spacing w:after="0" w:line="240" w:lineRule="auto"/>
              <w:rPr>
                <w:rFonts w:asciiTheme="minorHAnsi" w:eastAsia="Times New Roman" w:hAnsiTheme="minorHAnsi" w:cstheme="minorHAnsi"/>
                <w:b/>
                <w:bCs/>
                <w:color w:val="FFFFFF"/>
                <w:sz w:val="20"/>
                <w:szCs w:val="20"/>
                <w:lang w:eastAsia="en-AU"/>
              </w:rPr>
            </w:pPr>
          </w:p>
        </w:tc>
        <w:tc>
          <w:tcPr>
            <w:tcW w:w="760" w:type="dxa"/>
            <w:tcBorders>
              <w:top w:val="nil"/>
              <w:left w:val="nil"/>
              <w:bottom w:val="nil"/>
              <w:right w:val="nil"/>
            </w:tcBorders>
            <w:shd w:val="clear" w:color="auto" w:fill="012749" w:themeFill="accent3"/>
            <w:hideMark/>
          </w:tcPr>
          <w:p w14:paraId="1438CBA3" w14:textId="77777777" w:rsidR="00630B99" w:rsidRPr="00C40D54" w:rsidRDefault="00630B99">
            <w:pPr>
              <w:keepNext/>
              <w:keepLines/>
              <w:spacing w:after="0" w:line="240" w:lineRule="auto"/>
              <w:jc w:val="center"/>
              <w:rPr>
                <w:rFonts w:asciiTheme="minorHAnsi" w:eastAsia="Times New Roman" w:hAnsiTheme="minorHAnsi" w:cstheme="minorHAnsi"/>
                <w:color w:val="FFFFFF"/>
                <w:sz w:val="20"/>
                <w:szCs w:val="20"/>
                <w:lang w:eastAsia="en-AU"/>
              </w:rPr>
            </w:pPr>
            <w:r w:rsidRPr="00C40D54">
              <w:rPr>
                <w:rFonts w:asciiTheme="minorHAnsi" w:eastAsia="Times New Roman" w:hAnsiTheme="minorHAnsi" w:cstheme="minorHAnsi"/>
                <w:color w:val="FFFFFF"/>
                <w:sz w:val="20"/>
                <w:szCs w:val="20"/>
                <w:lang w:eastAsia="en-AU"/>
              </w:rPr>
              <w:t>(‘000)</w:t>
            </w:r>
          </w:p>
        </w:tc>
        <w:tc>
          <w:tcPr>
            <w:tcW w:w="889" w:type="dxa"/>
            <w:tcBorders>
              <w:top w:val="nil"/>
              <w:left w:val="nil"/>
              <w:bottom w:val="nil"/>
              <w:right w:val="nil"/>
            </w:tcBorders>
            <w:shd w:val="clear" w:color="auto" w:fill="012749" w:themeFill="accent3"/>
            <w:hideMark/>
          </w:tcPr>
          <w:p w14:paraId="61E8EA67" w14:textId="77777777" w:rsidR="00630B99" w:rsidRPr="00C40D54" w:rsidRDefault="00630B99">
            <w:pPr>
              <w:keepNext/>
              <w:keepLines/>
              <w:spacing w:after="0" w:line="240" w:lineRule="auto"/>
              <w:jc w:val="center"/>
              <w:rPr>
                <w:rFonts w:asciiTheme="minorHAnsi" w:eastAsia="Times New Roman" w:hAnsiTheme="minorHAnsi" w:cstheme="minorHAnsi"/>
                <w:color w:val="FFFFFF"/>
                <w:sz w:val="20"/>
                <w:szCs w:val="20"/>
                <w:lang w:eastAsia="en-AU"/>
              </w:rPr>
            </w:pPr>
            <w:r w:rsidRPr="00C40D54">
              <w:rPr>
                <w:rFonts w:asciiTheme="minorHAnsi" w:eastAsia="Times New Roman" w:hAnsiTheme="minorHAnsi" w:cstheme="minorHAnsi"/>
                <w:color w:val="FFFFFF"/>
                <w:sz w:val="20"/>
                <w:szCs w:val="20"/>
                <w:lang w:eastAsia="en-AU"/>
              </w:rPr>
              <w:t>(%)</w:t>
            </w:r>
          </w:p>
        </w:tc>
        <w:tc>
          <w:tcPr>
            <w:tcW w:w="899" w:type="dxa"/>
            <w:vMerge/>
            <w:vAlign w:val="center"/>
            <w:hideMark/>
          </w:tcPr>
          <w:p w14:paraId="3F75687B" w14:textId="77777777" w:rsidR="00630B99" w:rsidRPr="00C40D54" w:rsidRDefault="00630B99">
            <w:pPr>
              <w:keepNext/>
              <w:keepLines/>
              <w:spacing w:after="0" w:line="240" w:lineRule="auto"/>
              <w:rPr>
                <w:rFonts w:asciiTheme="minorHAnsi" w:eastAsia="Times New Roman" w:hAnsiTheme="minorHAnsi" w:cstheme="minorHAnsi"/>
                <w:b/>
                <w:bCs/>
                <w:color w:val="FFFFFF"/>
                <w:sz w:val="20"/>
                <w:szCs w:val="20"/>
                <w:lang w:eastAsia="en-AU"/>
              </w:rPr>
            </w:pPr>
          </w:p>
        </w:tc>
        <w:tc>
          <w:tcPr>
            <w:tcW w:w="1106" w:type="dxa"/>
            <w:tcBorders>
              <w:top w:val="nil"/>
              <w:left w:val="nil"/>
              <w:bottom w:val="nil"/>
              <w:right w:val="nil"/>
            </w:tcBorders>
            <w:shd w:val="clear" w:color="auto" w:fill="012749" w:themeFill="accent3"/>
            <w:hideMark/>
          </w:tcPr>
          <w:p w14:paraId="16360237" w14:textId="068BA109" w:rsidR="00630B99" w:rsidRPr="00C40D54" w:rsidRDefault="00630B99">
            <w:pPr>
              <w:keepNext/>
              <w:keepLines/>
              <w:spacing w:after="0" w:line="240" w:lineRule="auto"/>
              <w:jc w:val="center"/>
              <w:rPr>
                <w:rFonts w:asciiTheme="minorHAnsi" w:eastAsia="Times New Roman" w:hAnsiTheme="minorHAnsi" w:cstheme="minorHAnsi"/>
                <w:color w:val="FFFFFF"/>
                <w:sz w:val="20"/>
                <w:szCs w:val="20"/>
                <w:lang w:eastAsia="en-AU"/>
              </w:rPr>
            </w:pPr>
            <w:r w:rsidRPr="00C40D54">
              <w:rPr>
                <w:rFonts w:asciiTheme="minorHAnsi" w:eastAsia="Times New Roman" w:hAnsiTheme="minorHAnsi" w:cstheme="minorHAnsi"/>
                <w:color w:val="FFFFFF"/>
                <w:sz w:val="20"/>
                <w:szCs w:val="20"/>
                <w:lang w:eastAsia="en-AU"/>
              </w:rPr>
              <w:t>(</w:t>
            </w:r>
            <w:r w:rsidR="005A08A4">
              <w:rPr>
                <w:rFonts w:asciiTheme="minorHAnsi" w:eastAsia="Times New Roman" w:hAnsiTheme="minorHAnsi" w:cstheme="minorHAnsi"/>
                <w:color w:val="FFFFFF"/>
                <w:sz w:val="20"/>
                <w:szCs w:val="20"/>
                <w:lang w:eastAsia="en-AU"/>
              </w:rPr>
              <w:t>pp</w:t>
            </w:r>
            <w:r w:rsidRPr="00C40D54">
              <w:rPr>
                <w:rFonts w:asciiTheme="minorHAnsi" w:eastAsia="Times New Roman" w:hAnsiTheme="minorHAnsi" w:cstheme="minorHAnsi"/>
                <w:color w:val="FFFFFF"/>
                <w:sz w:val="20"/>
                <w:szCs w:val="20"/>
                <w:lang w:eastAsia="en-AU"/>
              </w:rPr>
              <w:t>)</w:t>
            </w:r>
          </w:p>
        </w:tc>
        <w:tc>
          <w:tcPr>
            <w:tcW w:w="899" w:type="dxa"/>
            <w:vMerge/>
            <w:vAlign w:val="center"/>
            <w:hideMark/>
          </w:tcPr>
          <w:p w14:paraId="30FFAF0E" w14:textId="77777777" w:rsidR="00630B99" w:rsidRPr="00C40D54" w:rsidRDefault="00630B99">
            <w:pPr>
              <w:keepNext/>
              <w:keepLines/>
              <w:spacing w:after="0" w:line="240" w:lineRule="auto"/>
              <w:rPr>
                <w:rFonts w:asciiTheme="minorHAnsi" w:eastAsia="Times New Roman" w:hAnsiTheme="minorHAnsi" w:cstheme="minorHAnsi"/>
                <w:color w:val="FFFFFF"/>
                <w:sz w:val="20"/>
                <w:szCs w:val="20"/>
                <w:lang w:eastAsia="en-AU"/>
              </w:rPr>
            </w:pPr>
          </w:p>
        </w:tc>
        <w:tc>
          <w:tcPr>
            <w:tcW w:w="1106" w:type="dxa"/>
            <w:tcBorders>
              <w:top w:val="nil"/>
              <w:left w:val="nil"/>
              <w:bottom w:val="nil"/>
              <w:right w:val="nil"/>
            </w:tcBorders>
            <w:shd w:val="clear" w:color="auto" w:fill="012749" w:themeFill="accent3"/>
            <w:hideMark/>
          </w:tcPr>
          <w:p w14:paraId="5BEB72F7" w14:textId="5C11A700" w:rsidR="00630B99" w:rsidRPr="00C40D54" w:rsidRDefault="00630B99">
            <w:pPr>
              <w:keepNext/>
              <w:keepLines/>
              <w:spacing w:after="0" w:line="240" w:lineRule="auto"/>
              <w:jc w:val="center"/>
              <w:rPr>
                <w:rFonts w:asciiTheme="minorHAnsi" w:eastAsia="Times New Roman" w:hAnsiTheme="minorHAnsi" w:cstheme="minorHAnsi"/>
                <w:color w:val="FFFFFF"/>
                <w:sz w:val="20"/>
                <w:szCs w:val="20"/>
                <w:lang w:eastAsia="en-AU"/>
              </w:rPr>
            </w:pPr>
            <w:r w:rsidRPr="00C40D54">
              <w:rPr>
                <w:rFonts w:asciiTheme="minorHAnsi" w:eastAsia="Times New Roman" w:hAnsiTheme="minorHAnsi" w:cstheme="minorHAnsi"/>
                <w:color w:val="FFFFFF"/>
                <w:sz w:val="20"/>
                <w:szCs w:val="20"/>
                <w:lang w:eastAsia="en-AU"/>
              </w:rPr>
              <w:t>(</w:t>
            </w:r>
            <w:r w:rsidR="005A08A4">
              <w:rPr>
                <w:rFonts w:asciiTheme="minorHAnsi" w:eastAsia="Times New Roman" w:hAnsiTheme="minorHAnsi" w:cstheme="minorHAnsi"/>
                <w:color w:val="FFFFFF"/>
                <w:sz w:val="20"/>
                <w:szCs w:val="20"/>
                <w:lang w:eastAsia="en-AU"/>
              </w:rPr>
              <w:t>pp</w:t>
            </w:r>
            <w:r w:rsidRPr="00C40D54">
              <w:rPr>
                <w:rFonts w:asciiTheme="minorHAnsi" w:eastAsia="Times New Roman" w:hAnsiTheme="minorHAnsi" w:cstheme="minorHAnsi"/>
                <w:color w:val="FFFFFF"/>
                <w:sz w:val="20"/>
                <w:szCs w:val="20"/>
                <w:lang w:eastAsia="en-AU"/>
              </w:rPr>
              <w:t>)</w:t>
            </w:r>
          </w:p>
        </w:tc>
      </w:tr>
      <w:tr w:rsidR="00630B99" w:rsidRPr="00C40D54" w14:paraId="4D6AF9A5" w14:textId="77777777" w:rsidTr="58A895D0">
        <w:trPr>
          <w:trHeight w:val="300"/>
        </w:trPr>
        <w:tc>
          <w:tcPr>
            <w:tcW w:w="2681" w:type="dxa"/>
            <w:tcBorders>
              <w:top w:val="nil"/>
              <w:left w:val="nil"/>
              <w:bottom w:val="nil"/>
              <w:right w:val="nil"/>
            </w:tcBorders>
            <w:shd w:val="clear" w:color="auto" w:fill="auto"/>
            <w:vAlign w:val="center"/>
            <w:hideMark/>
          </w:tcPr>
          <w:p w14:paraId="74DD069D" w14:textId="77777777" w:rsidR="00630B99" w:rsidRPr="00C40D54" w:rsidRDefault="00630B99">
            <w:pPr>
              <w:keepNext/>
              <w:keepLines/>
              <w:spacing w:after="0" w:line="240" w:lineRule="auto"/>
              <w:rPr>
                <w:rFonts w:asciiTheme="minorHAnsi" w:eastAsia="Times New Roman" w:hAnsiTheme="minorHAnsi" w:cstheme="minorHAnsi"/>
                <w:color w:val="000000"/>
                <w:sz w:val="20"/>
                <w:szCs w:val="20"/>
                <w:lang w:eastAsia="en-AU"/>
              </w:rPr>
            </w:pPr>
            <w:r w:rsidRPr="00C40D54">
              <w:rPr>
                <w:rFonts w:asciiTheme="minorHAnsi" w:eastAsia="Times New Roman" w:hAnsiTheme="minorHAnsi" w:cstheme="minorHAnsi"/>
                <w:color w:val="000000"/>
                <w:sz w:val="20"/>
                <w:szCs w:val="20"/>
                <w:lang w:eastAsia="en-AU"/>
              </w:rPr>
              <w:t>New South Wales</w:t>
            </w:r>
          </w:p>
        </w:tc>
        <w:tc>
          <w:tcPr>
            <w:tcW w:w="1140" w:type="dxa"/>
            <w:tcBorders>
              <w:top w:val="nil"/>
              <w:left w:val="nil"/>
              <w:bottom w:val="nil"/>
              <w:right w:val="nil"/>
            </w:tcBorders>
            <w:shd w:val="clear" w:color="auto" w:fill="auto"/>
            <w:vAlign w:val="center"/>
            <w:hideMark/>
          </w:tcPr>
          <w:p w14:paraId="5E53BDED"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4,483.1</w:t>
            </w:r>
          </w:p>
        </w:tc>
        <w:tc>
          <w:tcPr>
            <w:tcW w:w="760" w:type="dxa"/>
            <w:tcBorders>
              <w:top w:val="nil"/>
              <w:left w:val="nil"/>
              <w:bottom w:val="nil"/>
              <w:right w:val="nil"/>
            </w:tcBorders>
            <w:shd w:val="clear" w:color="auto" w:fill="auto"/>
            <w:vAlign w:val="center"/>
            <w:hideMark/>
          </w:tcPr>
          <w:p w14:paraId="4DAA27E8"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52.2</w:t>
            </w:r>
          </w:p>
        </w:tc>
        <w:tc>
          <w:tcPr>
            <w:tcW w:w="889" w:type="dxa"/>
            <w:tcBorders>
              <w:top w:val="nil"/>
              <w:left w:val="nil"/>
              <w:bottom w:val="nil"/>
              <w:right w:val="nil"/>
            </w:tcBorders>
            <w:shd w:val="clear" w:color="auto" w:fill="auto"/>
            <w:vAlign w:val="center"/>
            <w:hideMark/>
          </w:tcPr>
          <w:p w14:paraId="13C9BDF5"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1.2</w:t>
            </w:r>
          </w:p>
        </w:tc>
        <w:tc>
          <w:tcPr>
            <w:tcW w:w="899" w:type="dxa"/>
            <w:tcBorders>
              <w:top w:val="nil"/>
              <w:left w:val="nil"/>
              <w:bottom w:val="nil"/>
              <w:right w:val="nil"/>
            </w:tcBorders>
            <w:shd w:val="clear" w:color="auto" w:fill="auto"/>
            <w:vAlign w:val="center"/>
            <w:hideMark/>
          </w:tcPr>
          <w:p w14:paraId="3D892F34"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3.8</w:t>
            </w:r>
          </w:p>
        </w:tc>
        <w:tc>
          <w:tcPr>
            <w:tcW w:w="1106" w:type="dxa"/>
            <w:tcBorders>
              <w:top w:val="nil"/>
              <w:left w:val="nil"/>
              <w:bottom w:val="nil"/>
              <w:right w:val="nil"/>
            </w:tcBorders>
            <w:shd w:val="clear" w:color="auto" w:fill="auto"/>
            <w:vAlign w:val="center"/>
            <w:hideMark/>
          </w:tcPr>
          <w:p w14:paraId="52E4B781"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-0.1</w:t>
            </w:r>
          </w:p>
        </w:tc>
        <w:tc>
          <w:tcPr>
            <w:tcW w:w="899" w:type="dxa"/>
            <w:tcBorders>
              <w:top w:val="nil"/>
              <w:left w:val="nil"/>
              <w:bottom w:val="nil"/>
              <w:right w:val="nil"/>
            </w:tcBorders>
            <w:shd w:val="clear" w:color="auto" w:fill="auto"/>
            <w:vAlign w:val="center"/>
            <w:hideMark/>
          </w:tcPr>
          <w:p w14:paraId="2B60B2FF"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66.2</w:t>
            </w:r>
          </w:p>
        </w:tc>
        <w:tc>
          <w:tcPr>
            <w:tcW w:w="1106" w:type="dxa"/>
            <w:tcBorders>
              <w:top w:val="nil"/>
              <w:left w:val="nil"/>
              <w:bottom w:val="nil"/>
              <w:right w:val="nil"/>
            </w:tcBorders>
            <w:shd w:val="clear" w:color="auto" w:fill="auto"/>
            <w:vAlign w:val="center"/>
            <w:hideMark/>
          </w:tcPr>
          <w:p w14:paraId="37BFA007"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0.3</w:t>
            </w:r>
          </w:p>
        </w:tc>
      </w:tr>
      <w:tr w:rsidR="00AA4D20" w:rsidRPr="00C40D54" w14:paraId="18EAD9B6" w14:textId="77777777" w:rsidTr="58A895D0">
        <w:trPr>
          <w:trHeight w:val="300"/>
        </w:trPr>
        <w:tc>
          <w:tcPr>
            <w:tcW w:w="2681" w:type="dxa"/>
            <w:tcBorders>
              <w:top w:val="nil"/>
              <w:left w:val="nil"/>
              <w:bottom w:val="nil"/>
              <w:right w:val="nil"/>
            </w:tcBorders>
            <w:shd w:val="clear" w:color="auto" w:fill="E6E6E6"/>
            <w:vAlign w:val="center"/>
            <w:hideMark/>
          </w:tcPr>
          <w:p w14:paraId="1BF80543" w14:textId="77777777" w:rsidR="00630B99" w:rsidRPr="00C40D54" w:rsidRDefault="00630B99">
            <w:pPr>
              <w:keepNext/>
              <w:keepLines/>
              <w:spacing w:after="0" w:line="240" w:lineRule="auto"/>
              <w:rPr>
                <w:rFonts w:asciiTheme="minorHAnsi" w:eastAsia="Times New Roman" w:hAnsiTheme="minorHAnsi" w:cstheme="minorHAnsi"/>
                <w:color w:val="000000"/>
                <w:sz w:val="20"/>
                <w:szCs w:val="20"/>
                <w:lang w:eastAsia="en-AU"/>
              </w:rPr>
            </w:pPr>
            <w:r w:rsidRPr="00C40D54">
              <w:rPr>
                <w:rFonts w:asciiTheme="minorHAnsi" w:eastAsia="Times New Roman" w:hAnsiTheme="minorHAnsi" w:cstheme="minorHAnsi"/>
                <w:color w:val="000000"/>
                <w:sz w:val="20"/>
                <w:szCs w:val="20"/>
                <w:lang w:eastAsia="en-AU"/>
              </w:rPr>
              <w:t>Victoria</w:t>
            </w:r>
          </w:p>
        </w:tc>
        <w:tc>
          <w:tcPr>
            <w:tcW w:w="1140" w:type="dxa"/>
            <w:tcBorders>
              <w:top w:val="nil"/>
              <w:left w:val="nil"/>
              <w:bottom w:val="nil"/>
              <w:right w:val="nil"/>
            </w:tcBorders>
            <w:shd w:val="clear" w:color="auto" w:fill="E6E6E6"/>
            <w:vAlign w:val="center"/>
            <w:hideMark/>
          </w:tcPr>
          <w:p w14:paraId="14EE9869"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3,806.6</w:t>
            </w:r>
          </w:p>
        </w:tc>
        <w:tc>
          <w:tcPr>
            <w:tcW w:w="760" w:type="dxa"/>
            <w:tcBorders>
              <w:top w:val="nil"/>
              <w:left w:val="nil"/>
              <w:bottom w:val="nil"/>
              <w:right w:val="nil"/>
            </w:tcBorders>
            <w:shd w:val="clear" w:color="auto" w:fill="E6E6E6"/>
            <w:vAlign w:val="center"/>
            <w:hideMark/>
          </w:tcPr>
          <w:p w14:paraId="2059A90C"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64.8</w:t>
            </w:r>
          </w:p>
        </w:tc>
        <w:tc>
          <w:tcPr>
            <w:tcW w:w="889" w:type="dxa"/>
            <w:tcBorders>
              <w:top w:val="nil"/>
              <w:left w:val="nil"/>
              <w:bottom w:val="nil"/>
              <w:right w:val="nil"/>
            </w:tcBorders>
            <w:shd w:val="clear" w:color="auto" w:fill="E6E6E6"/>
            <w:vAlign w:val="center"/>
            <w:hideMark/>
          </w:tcPr>
          <w:p w14:paraId="2AB6EDFA"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1.7</w:t>
            </w:r>
          </w:p>
        </w:tc>
        <w:tc>
          <w:tcPr>
            <w:tcW w:w="899" w:type="dxa"/>
            <w:tcBorders>
              <w:top w:val="nil"/>
              <w:left w:val="nil"/>
              <w:bottom w:val="nil"/>
              <w:right w:val="nil"/>
            </w:tcBorders>
            <w:shd w:val="clear" w:color="auto" w:fill="E6E6E6"/>
            <w:vAlign w:val="center"/>
            <w:hideMark/>
          </w:tcPr>
          <w:p w14:paraId="46D467A3"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4.4</w:t>
            </w:r>
          </w:p>
        </w:tc>
        <w:tc>
          <w:tcPr>
            <w:tcW w:w="1106" w:type="dxa"/>
            <w:tcBorders>
              <w:top w:val="nil"/>
              <w:left w:val="nil"/>
              <w:bottom w:val="nil"/>
              <w:right w:val="nil"/>
            </w:tcBorders>
            <w:shd w:val="clear" w:color="auto" w:fill="E6E6E6"/>
            <w:vAlign w:val="center"/>
            <w:hideMark/>
          </w:tcPr>
          <w:p w14:paraId="5D98AD8F"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-0.1</w:t>
            </w:r>
          </w:p>
        </w:tc>
        <w:tc>
          <w:tcPr>
            <w:tcW w:w="899" w:type="dxa"/>
            <w:tcBorders>
              <w:top w:val="nil"/>
              <w:left w:val="nil"/>
              <w:bottom w:val="nil"/>
              <w:right w:val="nil"/>
            </w:tcBorders>
            <w:shd w:val="clear" w:color="auto" w:fill="E6E6E6"/>
            <w:vAlign w:val="center"/>
            <w:hideMark/>
          </w:tcPr>
          <w:p w14:paraId="45471C84"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68.5</w:t>
            </w:r>
          </w:p>
        </w:tc>
        <w:tc>
          <w:tcPr>
            <w:tcW w:w="1106" w:type="dxa"/>
            <w:tcBorders>
              <w:top w:val="nil"/>
              <w:left w:val="nil"/>
              <w:bottom w:val="nil"/>
              <w:right w:val="nil"/>
            </w:tcBorders>
            <w:shd w:val="clear" w:color="auto" w:fill="E6E6E6"/>
            <w:vAlign w:val="center"/>
            <w:hideMark/>
          </w:tcPr>
          <w:p w14:paraId="541DDE6D"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0.6</w:t>
            </w:r>
          </w:p>
        </w:tc>
      </w:tr>
      <w:tr w:rsidR="00630B99" w:rsidRPr="00C40D54" w14:paraId="73467354" w14:textId="77777777" w:rsidTr="58A895D0">
        <w:trPr>
          <w:trHeight w:val="300"/>
        </w:trPr>
        <w:tc>
          <w:tcPr>
            <w:tcW w:w="2681" w:type="dxa"/>
            <w:tcBorders>
              <w:top w:val="nil"/>
              <w:left w:val="nil"/>
              <w:bottom w:val="nil"/>
              <w:right w:val="nil"/>
            </w:tcBorders>
            <w:shd w:val="clear" w:color="auto" w:fill="auto"/>
            <w:vAlign w:val="center"/>
            <w:hideMark/>
          </w:tcPr>
          <w:p w14:paraId="04AED3FE" w14:textId="77777777" w:rsidR="00630B99" w:rsidRPr="00C40D54" w:rsidRDefault="00630B99">
            <w:pPr>
              <w:keepNext/>
              <w:keepLines/>
              <w:spacing w:after="0" w:line="240" w:lineRule="auto"/>
              <w:rPr>
                <w:rFonts w:asciiTheme="minorHAnsi" w:eastAsia="Times New Roman" w:hAnsiTheme="minorHAnsi" w:cstheme="minorHAnsi"/>
                <w:color w:val="000000"/>
                <w:sz w:val="20"/>
                <w:szCs w:val="20"/>
                <w:lang w:eastAsia="en-AU"/>
              </w:rPr>
            </w:pPr>
            <w:r w:rsidRPr="00C40D54">
              <w:rPr>
                <w:rFonts w:asciiTheme="minorHAnsi" w:eastAsia="Times New Roman" w:hAnsiTheme="minorHAnsi" w:cstheme="minorHAnsi"/>
                <w:color w:val="000000"/>
                <w:sz w:val="20"/>
                <w:szCs w:val="20"/>
                <w:lang w:eastAsia="en-AU"/>
              </w:rPr>
              <w:t>Queensland</w:t>
            </w:r>
          </w:p>
        </w:tc>
        <w:tc>
          <w:tcPr>
            <w:tcW w:w="1140" w:type="dxa"/>
            <w:tcBorders>
              <w:top w:val="nil"/>
              <w:left w:val="nil"/>
              <w:bottom w:val="nil"/>
              <w:right w:val="nil"/>
            </w:tcBorders>
            <w:shd w:val="clear" w:color="auto" w:fill="auto"/>
            <w:vAlign w:val="center"/>
            <w:hideMark/>
          </w:tcPr>
          <w:p w14:paraId="42076594"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2,958.9</w:t>
            </w:r>
          </w:p>
        </w:tc>
        <w:tc>
          <w:tcPr>
            <w:tcW w:w="760" w:type="dxa"/>
            <w:tcBorders>
              <w:top w:val="nil"/>
              <w:left w:val="nil"/>
              <w:bottom w:val="nil"/>
              <w:right w:val="nil"/>
            </w:tcBorders>
            <w:shd w:val="clear" w:color="auto" w:fill="auto"/>
            <w:vAlign w:val="center"/>
            <w:hideMark/>
          </w:tcPr>
          <w:p w14:paraId="30D0C259"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9.4</w:t>
            </w:r>
          </w:p>
        </w:tc>
        <w:tc>
          <w:tcPr>
            <w:tcW w:w="889" w:type="dxa"/>
            <w:tcBorders>
              <w:top w:val="nil"/>
              <w:left w:val="nil"/>
              <w:bottom w:val="nil"/>
              <w:right w:val="nil"/>
            </w:tcBorders>
            <w:shd w:val="clear" w:color="auto" w:fill="auto"/>
            <w:vAlign w:val="center"/>
            <w:hideMark/>
          </w:tcPr>
          <w:p w14:paraId="53BC932B"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0.3</w:t>
            </w:r>
          </w:p>
        </w:tc>
        <w:tc>
          <w:tcPr>
            <w:tcW w:w="899" w:type="dxa"/>
            <w:tcBorders>
              <w:top w:val="nil"/>
              <w:left w:val="nil"/>
              <w:bottom w:val="nil"/>
              <w:right w:val="nil"/>
            </w:tcBorders>
            <w:shd w:val="clear" w:color="auto" w:fill="auto"/>
            <w:vAlign w:val="center"/>
            <w:hideMark/>
          </w:tcPr>
          <w:p w14:paraId="0466B35D"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4.1</w:t>
            </w:r>
          </w:p>
        </w:tc>
        <w:tc>
          <w:tcPr>
            <w:tcW w:w="1106" w:type="dxa"/>
            <w:tcBorders>
              <w:top w:val="nil"/>
              <w:left w:val="nil"/>
              <w:bottom w:val="nil"/>
              <w:right w:val="nil"/>
            </w:tcBorders>
            <w:shd w:val="clear" w:color="auto" w:fill="auto"/>
            <w:vAlign w:val="center"/>
            <w:hideMark/>
          </w:tcPr>
          <w:p w14:paraId="72FBA8FC"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0.1</w:t>
            </w:r>
          </w:p>
        </w:tc>
        <w:tc>
          <w:tcPr>
            <w:tcW w:w="899" w:type="dxa"/>
            <w:tcBorders>
              <w:top w:val="nil"/>
              <w:left w:val="nil"/>
              <w:bottom w:val="nil"/>
              <w:right w:val="nil"/>
            </w:tcBorders>
            <w:shd w:val="clear" w:color="auto" w:fill="auto"/>
            <w:vAlign w:val="center"/>
            <w:hideMark/>
          </w:tcPr>
          <w:p w14:paraId="3B8EC036"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67.1</w:t>
            </w:r>
          </w:p>
        </w:tc>
        <w:tc>
          <w:tcPr>
            <w:tcW w:w="1106" w:type="dxa"/>
            <w:tcBorders>
              <w:top w:val="nil"/>
              <w:left w:val="nil"/>
              <w:bottom w:val="nil"/>
              <w:right w:val="nil"/>
            </w:tcBorders>
            <w:shd w:val="clear" w:color="auto" w:fill="auto"/>
            <w:vAlign w:val="center"/>
            <w:hideMark/>
          </w:tcPr>
          <w:p w14:paraId="6E70AA69"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-0.1</w:t>
            </w:r>
          </w:p>
        </w:tc>
      </w:tr>
      <w:tr w:rsidR="00AA4D20" w:rsidRPr="00C40D54" w14:paraId="030FE154" w14:textId="77777777" w:rsidTr="58A895D0">
        <w:trPr>
          <w:trHeight w:val="300"/>
        </w:trPr>
        <w:tc>
          <w:tcPr>
            <w:tcW w:w="2681" w:type="dxa"/>
            <w:tcBorders>
              <w:top w:val="nil"/>
              <w:left w:val="nil"/>
              <w:bottom w:val="nil"/>
              <w:right w:val="nil"/>
            </w:tcBorders>
            <w:shd w:val="clear" w:color="auto" w:fill="E6E6E6"/>
            <w:vAlign w:val="center"/>
            <w:hideMark/>
          </w:tcPr>
          <w:p w14:paraId="70C36103" w14:textId="77777777" w:rsidR="00630B99" w:rsidRPr="00C40D54" w:rsidRDefault="00630B99">
            <w:pPr>
              <w:keepNext/>
              <w:keepLines/>
              <w:spacing w:after="0" w:line="240" w:lineRule="auto"/>
              <w:rPr>
                <w:rFonts w:asciiTheme="minorHAnsi" w:eastAsia="Times New Roman" w:hAnsiTheme="minorHAnsi" w:cstheme="minorHAnsi"/>
                <w:color w:val="000000"/>
                <w:sz w:val="20"/>
                <w:szCs w:val="20"/>
                <w:lang w:eastAsia="en-AU"/>
              </w:rPr>
            </w:pPr>
            <w:r w:rsidRPr="00C40D54">
              <w:rPr>
                <w:rFonts w:asciiTheme="minorHAnsi" w:eastAsia="Times New Roman" w:hAnsiTheme="minorHAnsi" w:cstheme="minorHAnsi"/>
                <w:color w:val="000000"/>
                <w:sz w:val="20"/>
                <w:szCs w:val="20"/>
                <w:lang w:eastAsia="en-AU"/>
              </w:rPr>
              <w:t>South Australia</w:t>
            </w:r>
          </w:p>
        </w:tc>
        <w:tc>
          <w:tcPr>
            <w:tcW w:w="1140" w:type="dxa"/>
            <w:tcBorders>
              <w:top w:val="nil"/>
              <w:left w:val="nil"/>
              <w:bottom w:val="nil"/>
              <w:right w:val="nil"/>
            </w:tcBorders>
            <w:shd w:val="clear" w:color="auto" w:fill="E6E6E6"/>
            <w:vAlign w:val="center"/>
            <w:hideMark/>
          </w:tcPr>
          <w:p w14:paraId="126DA7E7"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947.2</w:t>
            </w:r>
          </w:p>
        </w:tc>
        <w:tc>
          <w:tcPr>
            <w:tcW w:w="760" w:type="dxa"/>
            <w:tcBorders>
              <w:top w:val="nil"/>
              <w:left w:val="nil"/>
              <w:bottom w:val="nil"/>
              <w:right w:val="nil"/>
            </w:tcBorders>
            <w:shd w:val="clear" w:color="auto" w:fill="E6E6E6"/>
            <w:vAlign w:val="center"/>
            <w:hideMark/>
          </w:tcPr>
          <w:p w14:paraId="13CF0D7B"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9.4</w:t>
            </w:r>
          </w:p>
        </w:tc>
        <w:tc>
          <w:tcPr>
            <w:tcW w:w="889" w:type="dxa"/>
            <w:tcBorders>
              <w:top w:val="nil"/>
              <w:left w:val="nil"/>
              <w:bottom w:val="nil"/>
              <w:right w:val="nil"/>
            </w:tcBorders>
            <w:shd w:val="clear" w:color="auto" w:fill="E6E6E6"/>
            <w:vAlign w:val="center"/>
            <w:hideMark/>
          </w:tcPr>
          <w:p w14:paraId="0944E2E1"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1.0</w:t>
            </w:r>
          </w:p>
        </w:tc>
        <w:tc>
          <w:tcPr>
            <w:tcW w:w="899" w:type="dxa"/>
            <w:tcBorders>
              <w:top w:val="nil"/>
              <w:left w:val="nil"/>
              <w:bottom w:val="nil"/>
              <w:right w:val="nil"/>
            </w:tcBorders>
            <w:shd w:val="clear" w:color="auto" w:fill="E6E6E6"/>
            <w:vAlign w:val="center"/>
            <w:hideMark/>
          </w:tcPr>
          <w:p w14:paraId="32C0983F"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4.3</w:t>
            </w:r>
          </w:p>
        </w:tc>
        <w:tc>
          <w:tcPr>
            <w:tcW w:w="1106" w:type="dxa"/>
            <w:tcBorders>
              <w:top w:val="nil"/>
              <w:left w:val="nil"/>
              <w:bottom w:val="nil"/>
              <w:right w:val="nil"/>
            </w:tcBorders>
            <w:shd w:val="clear" w:color="auto" w:fill="E6E6E6"/>
            <w:vAlign w:val="center"/>
            <w:hideMark/>
          </w:tcPr>
          <w:p w14:paraId="219D7FCE"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0.4</w:t>
            </w:r>
          </w:p>
        </w:tc>
        <w:tc>
          <w:tcPr>
            <w:tcW w:w="899" w:type="dxa"/>
            <w:tcBorders>
              <w:top w:val="nil"/>
              <w:left w:val="nil"/>
              <w:bottom w:val="nil"/>
              <w:right w:val="nil"/>
            </w:tcBorders>
            <w:shd w:val="clear" w:color="auto" w:fill="E6E6E6"/>
            <w:vAlign w:val="center"/>
            <w:hideMark/>
          </w:tcPr>
          <w:p w14:paraId="323CD049"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63.0</w:t>
            </w:r>
          </w:p>
        </w:tc>
        <w:tc>
          <w:tcPr>
            <w:tcW w:w="1106" w:type="dxa"/>
            <w:tcBorders>
              <w:top w:val="nil"/>
              <w:left w:val="nil"/>
              <w:bottom w:val="nil"/>
              <w:right w:val="nil"/>
            </w:tcBorders>
            <w:shd w:val="clear" w:color="auto" w:fill="E6E6E6"/>
            <w:vAlign w:val="center"/>
            <w:hideMark/>
          </w:tcPr>
          <w:p w14:paraId="620F612D"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0.6</w:t>
            </w:r>
          </w:p>
        </w:tc>
      </w:tr>
      <w:tr w:rsidR="00630B99" w:rsidRPr="00C40D54" w14:paraId="0D0A7BA5" w14:textId="77777777" w:rsidTr="58A895D0">
        <w:trPr>
          <w:trHeight w:val="300"/>
        </w:trPr>
        <w:tc>
          <w:tcPr>
            <w:tcW w:w="2681" w:type="dxa"/>
            <w:tcBorders>
              <w:top w:val="nil"/>
              <w:left w:val="nil"/>
              <w:bottom w:val="nil"/>
              <w:right w:val="nil"/>
            </w:tcBorders>
            <w:shd w:val="clear" w:color="auto" w:fill="auto"/>
            <w:vAlign w:val="center"/>
            <w:hideMark/>
          </w:tcPr>
          <w:p w14:paraId="13440F29" w14:textId="77777777" w:rsidR="00630B99" w:rsidRPr="00C40D54" w:rsidRDefault="00630B99">
            <w:pPr>
              <w:keepNext/>
              <w:keepLines/>
              <w:spacing w:after="0" w:line="240" w:lineRule="auto"/>
              <w:rPr>
                <w:rFonts w:asciiTheme="minorHAnsi" w:eastAsia="Times New Roman" w:hAnsiTheme="minorHAnsi" w:cstheme="minorHAnsi"/>
                <w:color w:val="000000"/>
                <w:sz w:val="20"/>
                <w:szCs w:val="20"/>
                <w:lang w:eastAsia="en-AU"/>
              </w:rPr>
            </w:pPr>
            <w:r w:rsidRPr="00C40D54">
              <w:rPr>
                <w:rFonts w:asciiTheme="minorHAnsi" w:eastAsia="Times New Roman" w:hAnsiTheme="minorHAnsi" w:cstheme="minorHAnsi"/>
                <w:color w:val="000000"/>
                <w:sz w:val="20"/>
                <w:szCs w:val="20"/>
                <w:lang w:eastAsia="en-AU"/>
              </w:rPr>
              <w:t>Western Australia</w:t>
            </w:r>
          </w:p>
        </w:tc>
        <w:tc>
          <w:tcPr>
            <w:tcW w:w="1140" w:type="dxa"/>
            <w:tcBorders>
              <w:top w:val="nil"/>
              <w:left w:val="nil"/>
              <w:bottom w:val="nil"/>
              <w:right w:val="nil"/>
            </w:tcBorders>
            <w:shd w:val="clear" w:color="auto" w:fill="auto"/>
            <w:vAlign w:val="center"/>
            <w:hideMark/>
          </w:tcPr>
          <w:p w14:paraId="350661DA"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1,619.9</w:t>
            </w:r>
          </w:p>
        </w:tc>
        <w:tc>
          <w:tcPr>
            <w:tcW w:w="760" w:type="dxa"/>
            <w:tcBorders>
              <w:top w:val="nil"/>
              <w:left w:val="nil"/>
              <w:bottom w:val="nil"/>
              <w:right w:val="nil"/>
            </w:tcBorders>
            <w:shd w:val="clear" w:color="auto" w:fill="auto"/>
            <w:vAlign w:val="center"/>
            <w:hideMark/>
          </w:tcPr>
          <w:p w14:paraId="50E4BD63"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16.2</w:t>
            </w:r>
          </w:p>
        </w:tc>
        <w:tc>
          <w:tcPr>
            <w:tcW w:w="889" w:type="dxa"/>
            <w:tcBorders>
              <w:top w:val="nil"/>
              <w:left w:val="nil"/>
              <w:bottom w:val="nil"/>
              <w:right w:val="nil"/>
            </w:tcBorders>
            <w:shd w:val="clear" w:color="auto" w:fill="auto"/>
            <w:vAlign w:val="center"/>
            <w:hideMark/>
          </w:tcPr>
          <w:p w14:paraId="72426CF5"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1.0</w:t>
            </w:r>
          </w:p>
        </w:tc>
        <w:tc>
          <w:tcPr>
            <w:tcW w:w="899" w:type="dxa"/>
            <w:tcBorders>
              <w:top w:val="nil"/>
              <w:left w:val="nil"/>
              <w:bottom w:val="nil"/>
              <w:right w:val="nil"/>
            </w:tcBorders>
            <w:shd w:val="clear" w:color="auto" w:fill="auto"/>
            <w:vAlign w:val="center"/>
            <w:hideMark/>
          </w:tcPr>
          <w:p w14:paraId="795AE5B7"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3.6</w:t>
            </w:r>
          </w:p>
        </w:tc>
        <w:tc>
          <w:tcPr>
            <w:tcW w:w="1106" w:type="dxa"/>
            <w:tcBorders>
              <w:top w:val="nil"/>
              <w:left w:val="nil"/>
              <w:bottom w:val="nil"/>
              <w:right w:val="nil"/>
            </w:tcBorders>
            <w:shd w:val="clear" w:color="auto" w:fill="auto"/>
            <w:vAlign w:val="center"/>
            <w:hideMark/>
          </w:tcPr>
          <w:p w14:paraId="2F2BA148"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-0.1</w:t>
            </w:r>
          </w:p>
        </w:tc>
        <w:tc>
          <w:tcPr>
            <w:tcW w:w="899" w:type="dxa"/>
            <w:tcBorders>
              <w:top w:val="nil"/>
              <w:left w:val="nil"/>
              <w:bottom w:val="nil"/>
              <w:right w:val="nil"/>
            </w:tcBorders>
            <w:shd w:val="clear" w:color="auto" w:fill="auto"/>
            <w:vAlign w:val="center"/>
            <w:hideMark/>
          </w:tcPr>
          <w:p w14:paraId="37D70E1D"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68.8</w:t>
            </w:r>
          </w:p>
        </w:tc>
        <w:tc>
          <w:tcPr>
            <w:tcW w:w="1106" w:type="dxa"/>
            <w:tcBorders>
              <w:top w:val="nil"/>
              <w:left w:val="nil"/>
              <w:bottom w:val="nil"/>
              <w:right w:val="nil"/>
            </w:tcBorders>
            <w:shd w:val="clear" w:color="auto" w:fill="auto"/>
            <w:vAlign w:val="center"/>
            <w:hideMark/>
          </w:tcPr>
          <w:p w14:paraId="504548E6"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0.0</w:t>
            </w:r>
          </w:p>
        </w:tc>
      </w:tr>
      <w:tr w:rsidR="00AA4D20" w:rsidRPr="00C40D54" w14:paraId="3ECC407F" w14:textId="77777777" w:rsidTr="58A895D0">
        <w:trPr>
          <w:trHeight w:val="300"/>
        </w:trPr>
        <w:tc>
          <w:tcPr>
            <w:tcW w:w="2681" w:type="dxa"/>
            <w:tcBorders>
              <w:top w:val="nil"/>
              <w:left w:val="nil"/>
              <w:bottom w:val="nil"/>
              <w:right w:val="nil"/>
            </w:tcBorders>
            <w:shd w:val="clear" w:color="auto" w:fill="E6E6E6"/>
            <w:vAlign w:val="center"/>
            <w:hideMark/>
          </w:tcPr>
          <w:p w14:paraId="6636257B" w14:textId="77777777" w:rsidR="00630B99" w:rsidRPr="00C40D54" w:rsidRDefault="00630B99">
            <w:pPr>
              <w:keepNext/>
              <w:keepLines/>
              <w:spacing w:after="0" w:line="240" w:lineRule="auto"/>
              <w:rPr>
                <w:rFonts w:asciiTheme="minorHAnsi" w:eastAsia="Times New Roman" w:hAnsiTheme="minorHAnsi" w:cstheme="minorHAnsi"/>
                <w:color w:val="000000"/>
                <w:sz w:val="20"/>
                <w:szCs w:val="20"/>
                <w:lang w:eastAsia="en-AU"/>
              </w:rPr>
            </w:pPr>
            <w:r w:rsidRPr="00C40D54">
              <w:rPr>
                <w:rFonts w:asciiTheme="minorHAnsi" w:eastAsia="Times New Roman" w:hAnsiTheme="minorHAnsi" w:cstheme="minorHAnsi"/>
                <w:color w:val="000000"/>
                <w:sz w:val="20"/>
                <w:szCs w:val="20"/>
                <w:lang w:eastAsia="en-AU"/>
              </w:rPr>
              <w:t>Tasmania</w:t>
            </w:r>
          </w:p>
        </w:tc>
        <w:tc>
          <w:tcPr>
            <w:tcW w:w="1140" w:type="dxa"/>
            <w:tcBorders>
              <w:top w:val="nil"/>
              <w:left w:val="nil"/>
              <w:bottom w:val="nil"/>
              <w:right w:val="nil"/>
            </w:tcBorders>
            <w:shd w:val="clear" w:color="auto" w:fill="E6E6E6"/>
            <w:vAlign w:val="center"/>
            <w:hideMark/>
          </w:tcPr>
          <w:p w14:paraId="4648D6E5"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281.9</w:t>
            </w:r>
          </w:p>
        </w:tc>
        <w:tc>
          <w:tcPr>
            <w:tcW w:w="760" w:type="dxa"/>
            <w:tcBorders>
              <w:top w:val="nil"/>
              <w:left w:val="nil"/>
              <w:bottom w:val="nil"/>
              <w:right w:val="nil"/>
            </w:tcBorders>
            <w:shd w:val="clear" w:color="auto" w:fill="E6E6E6"/>
            <w:vAlign w:val="center"/>
            <w:hideMark/>
          </w:tcPr>
          <w:p w14:paraId="7368E8A7"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-1.5</w:t>
            </w:r>
          </w:p>
        </w:tc>
        <w:tc>
          <w:tcPr>
            <w:tcW w:w="889" w:type="dxa"/>
            <w:tcBorders>
              <w:top w:val="nil"/>
              <w:left w:val="nil"/>
              <w:bottom w:val="nil"/>
              <w:right w:val="nil"/>
            </w:tcBorders>
            <w:shd w:val="clear" w:color="auto" w:fill="E6E6E6"/>
            <w:vAlign w:val="center"/>
            <w:hideMark/>
          </w:tcPr>
          <w:p w14:paraId="1AB24A3A"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-0.5</w:t>
            </w:r>
          </w:p>
        </w:tc>
        <w:tc>
          <w:tcPr>
            <w:tcW w:w="899" w:type="dxa"/>
            <w:tcBorders>
              <w:top w:val="nil"/>
              <w:left w:val="nil"/>
              <w:bottom w:val="nil"/>
              <w:right w:val="nil"/>
            </w:tcBorders>
            <w:shd w:val="clear" w:color="auto" w:fill="E6E6E6"/>
            <w:vAlign w:val="center"/>
            <w:hideMark/>
          </w:tcPr>
          <w:p w14:paraId="44D65AC7"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4.0</w:t>
            </w:r>
          </w:p>
        </w:tc>
        <w:tc>
          <w:tcPr>
            <w:tcW w:w="1106" w:type="dxa"/>
            <w:tcBorders>
              <w:top w:val="nil"/>
              <w:left w:val="nil"/>
              <w:bottom w:val="nil"/>
              <w:right w:val="nil"/>
            </w:tcBorders>
            <w:shd w:val="clear" w:color="auto" w:fill="E6E6E6"/>
            <w:vAlign w:val="center"/>
            <w:hideMark/>
          </w:tcPr>
          <w:p w14:paraId="6E65579C"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0.2</w:t>
            </w:r>
          </w:p>
        </w:tc>
        <w:tc>
          <w:tcPr>
            <w:tcW w:w="899" w:type="dxa"/>
            <w:tcBorders>
              <w:top w:val="nil"/>
              <w:left w:val="nil"/>
              <w:bottom w:val="nil"/>
              <w:right w:val="nil"/>
            </w:tcBorders>
            <w:shd w:val="clear" w:color="auto" w:fill="E6E6E6"/>
            <w:vAlign w:val="center"/>
            <w:hideMark/>
          </w:tcPr>
          <w:p w14:paraId="40DEFB46"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60.7</w:t>
            </w:r>
          </w:p>
        </w:tc>
        <w:tc>
          <w:tcPr>
            <w:tcW w:w="1106" w:type="dxa"/>
            <w:tcBorders>
              <w:top w:val="nil"/>
              <w:left w:val="nil"/>
              <w:bottom w:val="nil"/>
              <w:right w:val="nil"/>
            </w:tcBorders>
            <w:shd w:val="clear" w:color="auto" w:fill="E6E6E6"/>
            <w:vAlign w:val="center"/>
            <w:hideMark/>
          </w:tcPr>
          <w:p w14:paraId="455A9328"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-0.2</w:t>
            </w:r>
          </w:p>
        </w:tc>
      </w:tr>
      <w:tr w:rsidR="00630B99" w:rsidRPr="00C40D54" w14:paraId="017A4156" w14:textId="77777777" w:rsidTr="58A895D0">
        <w:trPr>
          <w:trHeight w:val="300"/>
        </w:trPr>
        <w:tc>
          <w:tcPr>
            <w:tcW w:w="2681" w:type="dxa"/>
            <w:tcBorders>
              <w:top w:val="nil"/>
              <w:left w:val="nil"/>
              <w:bottom w:val="nil"/>
              <w:right w:val="nil"/>
            </w:tcBorders>
            <w:shd w:val="clear" w:color="auto" w:fill="auto"/>
            <w:vAlign w:val="center"/>
            <w:hideMark/>
          </w:tcPr>
          <w:p w14:paraId="3CD30F3F" w14:textId="77777777" w:rsidR="00630B99" w:rsidRPr="00C40D54" w:rsidRDefault="00630B99">
            <w:pPr>
              <w:keepNext/>
              <w:keepLines/>
              <w:spacing w:after="0" w:line="240" w:lineRule="auto"/>
              <w:rPr>
                <w:rFonts w:asciiTheme="minorHAnsi" w:eastAsia="Times New Roman" w:hAnsiTheme="minorHAnsi" w:cstheme="minorHAnsi"/>
                <w:color w:val="000000"/>
                <w:sz w:val="20"/>
                <w:szCs w:val="20"/>
                <w:lang w:eastAsia="en-AU"/>
              </w:rPr>
            </w:pPr>
            <w:r w:rsidRPr="00C40D54">
              <w:rPr>
                <w:rFonts w:asciiTheme="minorHAnsi" w:eastAsia="Times New Roman" w:hAnsiTheme="minorHAnsi" w:cstheme="minorHAnsi"/>
                <w:color w:val="000000"/>
                <w:sz w:val="20"/>
                <w:szCs w:val="20"/>
                <w:lang w:eastAsia="en-AU"/>
              </w:rPr>
              <w:t>Northern Territory</w:t>
            </w:r>
          </w:p>
        </w:tc>
        <w:tc>
          <w:tcPr>
            <w:tcW w:w="1140" w:type="dxa"/>
            <w:tcBorders>
              <w:top w:val="nil"/>
              <w:left w:val="nil"/>
              <w:bottom w:val="nil"/>
              <w:right w:val="nil"/>
            </w:tcBorders>
            <w:shd w:val="clear" w:color="auto" w:fill="auto"/>
            <w:vAlign w:val="center"/>
            <w:hideMark/>
          </w:tcPr>
          <w:p w14:paraId="07FCA5D4"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138.5</w:t>
            </w:r>
          </w:p>
        </w:tc>
        <w:tc>
          <w:tcPr>
            <w:tcW w:w="760" w:type="dxa"/>
            <w:tcBorders>
              <w:top w:val="nil"/>
              <w:left w:val="nil"/>
              <w:bottom w:val="nil"/>
              <w:right w:val="nil"/>
            </w:tcBorders>
            <w:shd w:val="clear" w:color="auto" w:fill="auto"/>
            <w:vAlign w:val="center"/>
            <w:hideMark/>
          </w:tcPr>
          <w:p w14:paraId="02726380"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0.2</w:t>
            </w:r>
          </w:p>
        </w:tc>
        <w:tc>
          <w:tcPr>
            <w:tcW w:w="889" w:type="dxa"/>
            <w:tcBorders>
              <w:top w:val="nil"/>
              <w:left w:val="nil"/>
              <w:bottom w:val="nil"/>
              <w:right w:val="nil"/>
            </w:tcBorders>
            <w:shd w:val="clear" w:color="auto" w:fill="auto"/>
            <w:vAlign w:val="center"/>
            <w:hideMark/>
          </w:tcPr>
          <w:p w14:paraId="795FE2CA"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0.1</w:t>
            </w:r>
          </w:p>
        </w:tc>
        <w:tc>
          <w:tcPr>
            <w:tcW w:w="899" w:type="dxa"/>
            <w:tcBorders>
              <w:top w:val="nil"/>
              <w:left w:val="nil"/>
              <w:bottom w:val="nil"/>
              <w:right w:val="nil"/>
            </w:tcBorders>
            <w:shd w:val="clear" w:color="auto" w:fill="auto"/>
            <w:vAlign w:val="center"/>
            <w:hideMark/>
          </w:tcPr>
          <w:p w14:paraId="6E8C4F8D"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4.2</w:t>
            </w:r>
          </w:p>
        </w:tc>
        <w:tc>
          <w:tcPr>
            <w:tcW w:w="1106" w:type="dxa"/>
            <w:tcBorders>
              <w:top w:val="nil"/>
              <w:left w:val="nil"/>
              <w:bottom w:val="nil"/>
              <w:right w:val="nil"/>
            </w:tcBorders>
            <w:shd w:val="clear" w:color="auto" w:fill="auto"/>
            <w:vAlign w:val="center"/>
            <w:hideMark/>
          </w:tcPr>
          <w:p w14:paraId="17D4C1D8"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-0.4</w:t>
            </w:r>
          </w:p>
        </w:tc>
        <w:tc>
          <w:tcPr>
            <w:tcW w:w="899" w:type="dxa"/>
            <w:tcBorders>
              <w:top w:val="nil"/>
              <w:left w:val="nil"/>
              <w:bottom w:val="nil"/>
              <w:right w:val="nil"/>
            </w:tcBorders>
            <w:shd w:val="clear" w:color="auto" w:fill="auto"/>
            <w:vAlign w:val="center"/>
            <w:hideMark/>
          </w:tcPr>
          <w:p w14:paraId="581D4B6B"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72.3</w:t>
            </w:r>
          </w:p>
        </w:tc>
        <w:tc>
          <w:tcPr>
            <w:tcW w:w="1106" w:type="dxa"/>
            <w:tcBorders>
              <w:top w:val="nil"/>
              <w:left w:val="nil"/>
              <w:bottom w:val="nil"/>
              <w:right w:val="nil"/>
            </w:tcBorders>
            <w:shd w:val="clear" w:color="auto" w:fill="auto"/>
            <w:vAlign w:val="center"/>
            <w:hideMark/>
          </w:tcPr>
          <w:p w14:paraId="76E31A70"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-0.4</w:t>
            </w:r>
          </w:p>
        </w:tc>
      </w:tr>
      <w:tr w:rsidR="00AA4D20" w:rsidRPr="00C40D54" w14:paraId="2AC39BBB" w14:textId="77777777" w:rsidTr="58A895D0">
        <w:trPr>
          <w:trHeight w:val="300"/>
        </w:trPr>
        <w:tc>
          <w:tcPr>
            <w:tcW w:w="2681" w:type="dxa"/>
            <w:tcBorders>
              <w:top w:val="nil"/>
              <w:left w:val="nil"/>
              <w:bottom w:val="nil"/>
              <w:right w:val="nil"/>
            </w:tcBorders>
            <w:shd w:val="clear" w:color="auto" w:fill="E6E6E6"/>
            <w:vAlign w:val="center"/>
            <w:hideMark/>
          </w:tcPr>
          <w:p w14:paraId="4A294374" w14:textId="77777777" w:rsidR="00630B99" w:rsidRPr="00C40D54" w:rsidRDefault="00630B99">
            <w:pPr>
              <w:keepNext/>
              <w:keepLines/>
              <w:spacing w:after="0" w:line="240" w:lineRule="auto"/>
              <w:rPr>
                <w:rFonts w:asciiTheme="minorHAnsi" w:eastAsia="Times New Roman" w:hAnsiTheme="minorHAnsi" w:cstheme="minorHAnsi"/>
                <w:color w:val="000000"/>
                <w:sz w:val="20"/>
                <w:szCs w:val="20"/>
                <w:lang w:eastAsia="en-AU"/>
              </w:rPr>
            </w:pPr>
            <w:r w:rsidRPr="00C40D54">
              <w:rPr>
                <w:rFonts w:asciiTheme="minorHAnsi" w:eastAsia="Times New Roman" w:hAnsiTheme="minorHAnsi" w:cstheme="minorHAnsi"/>
                <w:color w:val="000000"/>
                <w:sz w:val="20"/>
                <w:szCs w:val="20"/>
                <w:lang w:eastAsia="en-AU"/>
              </w:rPr>
              <w:t>Australian Capital Territory</w:t>
            </w:r>
          </w:p>
        </w:tc>
        <w:tc>
          <w:tcPr>
            <w:tcW w:w="1140" w:type="dxa"/>
            <w:tcBorders>
              <w:top w:val="nil"/>
              <w:left w:val="nil"/>
              <w:bottom w:val="nil"/>
              <w:right w:val="nil"/>
            </w:tcBorders>
            <w:shd w:val="clear" w:color="auto" w:fill="E6E6E6"/>
            <w:vAlign w:val="center"/>
            <w:hideMark/>
          </w:tcPr>
          <w:p w14:paraId="2C0D905C"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272.5</w:t>
            </w:r>
          </w:p>
        </w:tc>
        <w:tc>
          <w:tcPr>
            <w:tcW w:w="760" w:type="dxa"/>
            <w:tcBorders>
              <w:top w:val="nil"/>
              <w:left w:val="nil"/>
              <w:bottom w:val="nil"/>
              <w:right w:val="nil"/>
            </w:tcBorders>
            <w:shd w:val="clear" w:color="auto" w:fill="E6E6E6"/>
            <w:vAlign w:val="center"/>
            <w:hideMark/>
          </w:tcPr>
          <w:p w14:paraId="1F67E8D9"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1.7</w:t>
            </w:r>
          </w:p>
        </w:tc>
        <w:tc>
          <w:tcPr>
            <w:tcW w:w="889" w:type="dxa"/>
            <w:tcBorders>
              <w:top w:val="nil"/>
              <w:left w:val="nil"/>
              <w:bottom w:val="nil"/>
              <w:right w:val="nil"/>
            </w:tcBorders>
            <w:shd w:val="clear" w:color="auto" w:fill="E6E6E6"/>
            <w:vAlign w:val="center"/>
            <w:hideMark/>
          </w:tcPr>
          <w:p w14:paraId="705C94FC"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0.6</w:t>
            </w:r>
          </w:p>
        </w:tc>
        <w:tc>
          <w:tcPr>
            <w:tcW w:w="899" w:type="dxa"/>
            <w:tcBorders>
              <w:top w:val="nil"/>
              <w:left w:val="nil"/>
              <w:bottom w:val="nil"/>
              <w:right w:val="nil"/>
            </w:tcBorders>
            <w:shd w:val="clear" w:color="auto" w:fill="E6E6E6"/>
            <w:vAlign w:val="center"/>
            <w:hideMark/>
          </w:tcPr>
          <w:p w14:paraId="2ACC84AE"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3.4</w:t>
            </w:r>
          </w:p>
        </w:tc>
        <w:tc>
          <w:tcPr>
            <w:tcW w:w="1106" w:type="dxa"/>
            <w:tcBorders>
              <w:top w:val="nil"/>
              <w:left w:val="nil"/>
              <w:bottom w:val="nil"/>
              <w:right w:val="nil"/>
            </w:tcBorders>
            <w:shd w:val="clear" w:color="auto" w:fill="E6E6E6"/>
            <w:vAlign w:val="center"/>
            <w:hideMark/>
          </w:tcPr>
          <w:p w14:paraId="030AC7E1"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0.4</w:t>
            </w:r>
          </w:p>
        </w:tc>
        <w:tc>
          <w:tcPr>
            <w:tcW w:w="899" w:type="dxa"/>
            <w:tcBorders>
              <w:top w:val="nil"/>
              <w:left w:val="nil"/>
              <w:bottom w:val="nil"/>
              <w:right w:val="nil"/>
            </w:tcBorders>
            <w:shd w:val="clear" w:color="auto" w:fill="E6E6E6"/>
            <w:vAlign w:val="center"/>
            <w:hideMark/>
          </w:tcPr>
          <w:p w14:paraId="4FA2ACD9"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72.7</w:t>
            </w:r>
          </w:p>
        </w:tc>
        <w:tc>
          <w:tcPr>
            <w:tcW w:w="1106" w:type="dxa"/>
            <w:tcBorders>
              <w:top w:val="nil"/>
              <w:left w:val="nil"/>
              <w:bottom w:val="nil"/>
              <w:right w:val="nil"/>
            </w:tcBorders>
            <w:shd w:val="clear" w:color="auto" w:fill="E6E6E6"/>
            <w:vAlign w:val="center"/>
            <w:hideMark/>
          </w:tcPr>
          <w:p w14:paraId="2ECDDDD2" w14:textId="77777777" w:rsidR="00630B99" w:rsidRPr="00C40D54" w:rsidRDefault="00630B99">
            <w:pPr>
              <w:keepNext/>
              <w:keepLines/>
              <w:spacing w:after="0" w:line="240" w:lineRule="auto"/>
              <w:jc w:val="center"/>
              <w:rPr>
                <w:rFonts w:asciiTheme="minorHAnsi" w:eastAsia="Times New Roman" w:hAnsiTheme="minorHAnsi" w:cstheme="minorHAnsi"/>
                <w:color w:val="000000"/>
                <w:sz w:val="20"/>
                <w:szCs w:val="20"/>
                <w:lang w:eastAsia="en-AU"/>
              </w:rPr>
            </w:pPr>
            <w:r w:rsidRPr="00C40D54">
              <w:rPr>
                <w:rFonts w:asciiTheme="minorHAnsi" w:hAnsiTheme="minorHAnsi" w:cstheme="minorHAnsi"/>
                <w:color w:val="000000"/>
                <w:sz w:val="20"/>
                <w:szCs w:val="20"/>
              </w:rPr>
              <w:t>0.3</w:t>
            </w:r>
          </w:p>
        </w:tc>
      </w:tr>
      <w:tr w:rsidR="00630B99" w:rsidRPr="00C40D54" w14:paraId="38B3372A" w14:textId="77777777" w:rsidTr="58A895D0">
        <w:trPr>
          <w:trHeight w:val="360"/>
        </w:trPr>
        <w:tc>
          <w:tcPr>
            <w:tcW w:w="2681" w:type="dxa"/>
            <w:tcBorders>
              <w:top w:val="nil"/>
              <w:left w:val="nil"/>
              <w:bottom w:val="single" w:sz="8" w:space="0" w:color="4B0885" w:themeColor="text2"/>
              <w:right w:val="nil"/>
            </w:tcBorders>
            <w:shd w:val="clear" w:color="auto" w:fill="auto"/>
            <w:hideMark/>
          </w:tcPr>
          <w:p w14:paraId="2D3A11A1" w14:textId="77777777" w:rsidR="00630B99" w:rsidRPr="00C40D54" w:rsidRDefault="00630B99" w:rsidP="6AC36277">
            <w:pPr>
              <w:keepNext/>
              <w:keepLines/>
              <w:spacing w:after="0" w:line="240" w:lineRule="auto"/>
              <w:rPr>
                <w:rFonts w:asciiTheme="minorHAnsi" w:eastAsia="Times New Roman" w:hAnsiTheme="minorHAnsi"/>
                <w:b/>
                <w:color w:val="000000"/>
                <w:sz w:val="20"/>
                <w:szCs w:val="20"/>
                <w:lang w:eastAsia="en-AU"/>
              </w:rPr>
            </w:pPr>
            <w:r w:rsidRPr="602121AA">
              <w:rPr>
                <w:rFonts w:asciiTheme="minorHAnsi" w:eastAsia="Times New Roman" w:hAnsiTheme="minorHAnsi"/>
                <w:b/>
                <w:color w:val="000000" w:themeColor="text1"/>
                <w:sz w:val="20"/>
                <w:szCs w:val="20"/>
                <w:lang w:eastAsia="en-AU"/>
              </w:rPr>
              <w:t>Australia</w:t>
            </w:r>
          </w:p>
        </w:tc>
        <w:tc>
          <w:tcPr>
            <w:tcW w:w="1140" w:type="dxa"/>
            <w:tcBorders>
              <w:top w:val="nil"/>
              <w:left w:val="nil"/>
              <w:bottom w:val="single" w:sz="8" w:space="0" w:color="4B0885" w:themeColor="text2"/>
              <w:right w:val="nil"/>
            </w:tcBorders>
            <w:shd w:val="clear" w:color="auto" w:fill="auto"/>
          </w:tcPr>
          <w:p w14:paraId="27C305E9" w14:textId="77777777" w:rsidR="00630B99" w:rsidRPr="00C40D54" w:rsidRDefault="00630B99">
            <w:pPr>
              <w:keepNext/>
              <w:keepLines/>
              <w:spacing w:after="0" w:line="240" w:lineRule="auto"/>
              <w:jc w:val="center"/>
              <w:rPr>
                <w:rFonts w:asciiTheme="minorHAnsi" w:eastAsia="Times New Roman" w:hAnsiTheme="minorHAnsi" w:cstheme="minorHAnsi"/>
                <w:b/>
                <w:bCs/>
                <w:sz w:val="20"/>
                <w:szCs w:val="20"/>
                <w:lang w:eastAsia="en-AU"/>
              </w:rPr>
            </w:pPr>
            <w:r w:rsidRPr="00C40D54">
              <w:rPr>
                <w:rFonts w:asciiTheme="minorHAnsi" w:eastAsia="Times New Roman" w:hAnsiTheme="minorHAnsi" w:cstheme="minorHAnsi"/>
                <w:b/>
                <w:bCs/>
                <w:sz w:val="20"/>
                <w:szCs w:val="20"/>
                <w:lang w:eastAsia="en-AU"/>
              </w:rPr>
              <w:t>14,521.9</w:t>
            </w:r>
          </w:p>
        </w:tc>
        <w:tc>
          <w:tcPr>
            <w:tcW w:w="760" w:type="dxa"/>
            <w:tcBorders>
              <w:top w:val="nil"/>
              <w:left w:val="nil"/>
              <w:bottom w:val="single" w:sz="8" w:space="0" w:color="4B0885" w:themeColor="text2"/>
              <w:right w:val="nil"/>
            </w:tcBorders>
            <w:shd w:val="clear" w:color="auto" w:fill="auto"/>
          </w:tcPr>
          <w:p w14:paraId="7FC68CDD" w14:textId="77777777" w:rsidR="00630B99" w:rsidRPr="00C40D54" w:rsidRDefault="00630B99">
            <w:pPr>
              <w:keepNext/>
              <w:keepLines/>
              <w:spacing w:after="0" w:line="240" w:lineRule="auto"/>
              <w:jc w:val="center"/>
              <w:rPr>
                <w:rFonts w:asciiTheme="minorHAnsi" w:eastAsia="Times New Roman" w:hAnsiTheme="minorHAnsi" w:cstheme="minorHAnsi"/>
                <w:b/>
                <w:sz w:val="20"/>
                <w:szCs w:val="20"/>
                <w:lang w:eastAsia="en-AU"/>
              </w:rPr>
            </w:pPr>
            <w:r w:rsidRPr="00C40D54">
              <w:rPr>
                <w:rFonts w:asciiTheme="minorHAnsi" w:eastAsia="Times New Roman" w:hAnsiTheme="minorHAnsi" w:cstheme="minorHAnsi"/>
                <w:b/>
                <w:sz w:val="20"/>
                <w:szCs w:val="20"/>
                <w:lang w:eastAsia="en-AU"/>
              </w:rPr>
              <w:t>155.6</w:t>
            </w:r>
          </w:p>
        </w:tc>
        <w:tc>
          <w:tcPr>
            <w:tcW w:w="889" w:type="dxa"/>
            <w:tcBorders>
              <w:top w:val="nil"/>
              <w:left w:val="nil"/>
              <w:bottom w:val="single" w:sz="8" w:space="0" w:color="4B0885" w:themeColor="text2"/>
              <w:right w:val="nil"/>
            </w:tcBorders>
            <w:shd w:val="clear" w:color="auto" w:fill="auto"/>
          </w:tcPr>
          <w:p w14:paraId="7F16F696" w14:textId="77777777" w:rsidR="00630B99" w:rsidRPr="00C40D54" w:rsidRDefault="00630B99">
            <w:pPr>
              <w:keepNext/>
              <w:keepLines/>
              <w:spacing w:after="0" w:line="240" w:lineRule="auto"/>
              <w:jc w:val="center"/>
              <w:rPr>
                <w:rFonts w:asciiTheme="minorHAnsi" w:eastAsia="Times New Roman" w:hAnsiTheme="minorHAnsi" w:cstheme="minorHAnsi"/>
                <w:b/>
                <w:bCs/>
                <w:sz w:val="20"/>
                <w:szCs w:val="20"/>
                <w:lang w:eastAsia="en-AU"/>
              </w:rPr>
            </w:pPr>
            <w:r w:rsidRPr="00C40D54">
              <w:rPr>
                <w:rFonts w:asciiTheme="minorHAnsi" w:eastAsia="Times New Roman" w:hAnsiTheme="minorHAnsi" w:cstheme="minorHAnsi"/>
                <w:b/>
                <w:bCs/>
                <w:sz w:val="20"/>
                <w:szCs w:val="20"/>
                <w:lang w:eastAsia="en-AU"/>
              </w:rPr>
              <w:t>1.1</w:t>
            </w:r>
          </w:p>
        </w:tc>
        <w:tc>
          <w:tcPr>
            <w:tcW w:w="899" w:type="dxa"/>
            <w:tcBorders>
              <w:top w:val="nil"/>
              <w:left w:val="nil"/>
              <w:bottom w:val="single" w:sz="8" w:space="0" w:color="4B0885" w:themeColor="text2"/>
              <w:right w:val="nil"/>
            </w:tcBorders>
            <w:shd w:val="clear" w:color="auto" w:fill="auto"/>
          </w:tcPr>
          <w:p w14:paraId="2EFEE5E2" w14:textId="77777777" w:rsidR="00630B99" w:rsidRPr="00C40D54" w:rsidRDefault="00630B99">
            <w:pPr>
              <w:keepNext/>
              <w:keepLines/>
              <w:spacing w:after="0" w:line="240" w:lineRule="auto"/>
              <w:jc w:val="center"/>
              <w:rPr>
                <w:rFonts w:asciiTheme="minorHAnsi" w:eastAsia="Times New Roman" w:hAnsiTheme="minorHAnsi" w:cstheme="minorHAnsi"/>
                <w:b/>
                <w:bCs/>
                <w:sz w:val="20"/>
                <w:szCs w:val="20"/>
                <w:lang w:eastAsia="en-AU"/>
              </w:rPr>
            </w:pPr>
            <w:r w:rsidRPr="00C40D54">
              <w:rPr>
                <w:rFonts w:asciiTheme="minorHAnsi" w:eastAsia="Times New Roman" w:hAnsiTheme="minorHAnsi" w:cstheme="minorHAnsi"/>
                <w:b/>
                <w:bCs/>
                <w:sz w:val="20"/>
                <w:szCs w:val="20"/>
                <w:lang w:eastAsia="en-AU"/>
              </w:rPr>
              <w:t>4.1</w:t>
            </w:r>
          </w:p>
        </w:tc>
        <w:tc>
          <w:tcPr>
            <w:tcW w:w="1106" w:type="dxa"/>
            <w:tcBorders>
              <w:top w:val="nil"/>
              <w:left w:val="nil"/>
              <w:bottom w:val="single" w:sz="8" w:space="0" w:color="4B0885" w:themeColor="text2"/>
              <w:right w:val="nil"/>
            </w:tcBorders>
            <w:shd w:val="clear" w:color="auto" w:fill="auto"/>
          </w:tcPr>
          <w:p w14:paraId="03C5DFA7" w14:textId="77777777" w:rsidR="00630B99" w:rsidRPr="00C40D54" w:rsidRDefault="00630B99">
            <w:pPr>
              <w:keepNext/>
              <w:keepLines/>
              <w:spacing w:after="0" w:line="240" w:lineRule="auto"/>
              <w:jc w:val="center"/>
              <w:rPr>
                <w:rFonts w:asciiTheme="minorHAnsi" w:eastAsia="Times New Roman" w:hAnsiTheme="minorHAnsi" w:cstheme="minorHAnsi"/>
                <w:b/>
                <w:bCs/>
                <w:sz w:val="20"/>
                <w:szCs w:val="20"/>
                <w:lang w:eastAsia="en-AU"/>
              </w:rPr>
            </w:pPr>
            <w:r w:rsidRPr="00C40D54">
              <w:rPr>
                <w:rFonts w:asciiTheme="minorHAnsi" w:eastAsia="Times New Roman" w:hAnsiTheme="minorHAnsi" w:cstheme="minorHAnsi"/>
                <w:b/>
                <w:bCs/>
                <w:sz w:val="20"/>
                <w:szCs w:val="20"/>
                <w:lang w:eastAsia="en-AU"/>
              </w:rPr>
              <w:t>0.0</w:t>
            </w:r>
          </w:p>
        </w:tc>
        <w:tc>
          <w:tcPr>
            <w:tcW w:w="899" w:type="dxa"/>
            <w:tcBorders>
              <w:top w:val="nil"/>
              <w:left w:val="nil"/>
              <w:bottom w:val="single" w:sz="8" w:space="0" w:color="4B0885" w:themeColor="text2"/>
              <w:right w:val="nil"/>
            </w:tcBorders>
            <w:shd w:val="clear" w:color="auto" w:fill="auto"/>
          </w:tcPr>
          <w:p w14:paraId="5921C742" w14:textId="77777777" w:rsidR="00630B99" w:rsidRPr="00C40D54" w:rsidRDefault="00630B99">
            <w:pPr>
              <w:keepNext/>
              <w:keepLines/>
              <w:spacing w:after="0" w:line="240" w:lineRule="auto"/>
              <w:jc w:val="center"/>
              <w:rPr>
                <w:rFonts w:asciiTheme="minorHAnsi" w:eastAsia="Times New Roman" w:hAnsiTheme="minorHAnsi" w:cstheme="minorHAnsi"/>
                <w:b/>
                <w:bCs/>
                <w:sz w:val="20"/>
                <w:szCs w:val="20"/>
                <w:lang w:eastAsia="en-AU"/>
              </w:rPr>
            </w:pPr>
            <w:r w:rsidRPr="00C40D54">
              <w:rPr>
                <w:rFonts w:asciiTheme="minorHAnsi" w:eastAsia="Times New Roman" w:hAnsiTheme="minorHAnsi" w:cstheme="minorHAnsi"/>
                <w:b/>
                <w:bCs/>
                <w:sz w:val="20"/>
                <w:szCs w:val="20"/>
                <w:lang w:eastAsia="en-AU"/>
              </w:rPr>
              <w:t>67.2</w:t>
            </w:r>
          </w:p>
        </w:tc>
        <w:tc>
          <w:tcPr>
            <w:tcW w:w="1106" w:type="dxa"/>
            <w:tcBorders>
              <w:top w:val="nil"/>
              <w:left w:val="nil"/>
              <w:bottom w:val="single" w:sz="8" w:space="0" w:color="4B0885" w:themeColor="text2"/>
              <w:right w:val="nil"/>
            </w:tcBorders>
            <w:shd w:val="clear" w:color="auto" w:fill="auto"/>
          </w:tcPr>
          <w:p w14:paraId="7FE614A7" w14:textId="77777777" w:rsidR="00630B99" w:rsidRPr="00C40D54" w:rsidRDefault="00630B99">
            <w:pPr>
              <w:keepNext/>
              <w:keepLines/>
              <w:spacing w:after="0" w:line="240" w:lineRule="auto"/>
              <w:jc w:val="center"/>
              <w:rPr>
                <w:rFonts w:asciiTheme="minorHAnsi" w:eastAsia="Times New Roman" w:hAnsiTheme="minorHAnsi" w:cstheme="minorHAnsi"/>
                <w:b/>
                <w:bCs/>
                <w:sz w:val="20"/>
                <w:szCs w:val="20"/>
                <w:lang w:eastAsia="en-AU"/>
              </w:rPr>
            </w:pPr>
            <w:r w:rsidRPr="00C40D54">
              <w:rPr>
                <w:rFonts w:asciiTheme="minorHAnsi" w:eastAsia="Times New Roman" w:hAnsiTheme="minorHAnsi" w:cstheme="minorHAnsi"/>
                <w:b/>
                <w:bCs/>
                <w:sz w:val="20"/>
                <w:szCs w:val="20"/>
                <w:lang w:eastAsia="en-AU"/>
              </w:rPr>
              <w:t>0.3</w:t>
            </w:r>
          </w:p>
        </w:tc>
      </w:tr>
    </w:tbl>
    <w:p w14:paraId="4E5820B2" w14:textId="77777777" w:rsidR="00630B99" w:rsidRPr="00C40D54" w:rsidRDefault="00630B99" w:rsidP="00866EAE">
      <w:pPr>
        <w:keepNext/>
        <w:keepLines/>
        <w:spacing w:before="240" w:after="120"/>
        <w:rPr>
          <w:rFonts w:eastAsia="Arial" w:cs="Times New Roman"/>
          <w:sz w:val="18"/>
          <w:szCs w:val="18"/>
        </w:rPr>
      </w:pPr>
      <w:r w:rsidRPr="00C40D54">
        <w:rPr>
          <w:rFonts w:eastAsia="Arial" w:cs="Times New Roman"/>
          <w:sz w:val="18"/>
          <w:szCs w:val="18"/>
        </w:rPr>
        <w:t>Source: ABS, Labour Force, Australia, September 2024, seasonally adjusted data.</w:t>
      </w:r>
    </w:p>
    <w:p w14:paraId="568EC6C2" w14:textId="28763595" w:rsidR="00325C15" w:rsidRDefault="00E73998" w:rsidP="00325C15">
      <w:pPr>
        <w:spacing w:before="240"/>
        <w:rPr>
          <w:rFonts w:eastAsia="Arial" w:cs="Times New Roman"/>
        </w:rPr>
      </w:pPr>
      <w:r>
        <w:rPr>
          <w:rFonts w:eastAsia="Arial" w:cs="Times New Roman"/>
        </w:rPr>
        <w:t>From a regional perspective, e</w:t>
      </w:r>
      <w:r w:rsidRPr="00AA59F1">
        <w:rPr>
          <w:rFonts w:eastAsia="Arial" w:cs="Times New Roman"/>
        </w:rPr>
        <w:t>mployment rose by 70,100 (or 0.7%) in capital cities and by 19,200 (or 0.4%) in rest of state areas over the September quarter 2024</w:t>
      </w:r>
      <w:r>
        <w:rPr>
          <w:rFonts w:eastAsia="Arial" w:cs="Times New Roman"/>
        </w:rPr>
        <w:t>.</w:t>
      </w:r>
      <w:r w:rsidR="00630B99" w:rsidRPr="58A895D0">
        <w:rPr>
          <w:rFonts w:eastAsia="Arial" w:cs="Times New Roman"/>
        </w:rPr>
        <w:t xml:space="preserve">Despite </w:t>
      </w:r>
      <w:r w:rsidRPr="58A895D0">
        <w:rPr>
          <w:rFonts w:eastAsia="Arial" w:cs="Times New Roman"/>
        </w:rPr>
        <w:t>the stronger backdrop</w:t>
      </w:r>
      <w:r w:rsidR="00006CD6" w:rsidRPr="58A895D0">
        <w:rPr>
          <w:rFonts w:eastAsia="Arial" w:cs="Times New Roman"/>
        </w:rPr>
        <w:t>,</w:t>
      </w:r>
      <w:r w:rsidR="00630B99" w:rsidRPr="58A895D0">
        <w:rPr>
          <w:rFonts w:eastAsia="Arial" w:cs="Times New Roman"/>
        </w:rPr>
        <w:t xml:space="preserve"> the unemployment rate remained steady in capital cities </w:t>
      </w:r>
      <w:r w:rsidRPr="58A895D0">
        <w:rPr>
          <w:rFonts w:eastAsia="Arial" w:cs="Times New Roman"/>
        </w:rPr>
        <w:t xml:space="preserve">and rest of state areas over the quarter, </w:t>
      </w:r>
      <w:r w:rsidR="00FD5EF4" w:rsidRPr="58A895D0">
        <w:rPr>
          <w:rFonts w:eastAsia="Arial" w:cs="Times New Roman"/>
        </w:rPr>
        <w:t xml:space="preserve">at 4.0% </w:t>
      </w:r>
      <w:r w:rsidR="00630B99" w:rsidRPr="58A895D0">
        <w:rPr>
          <w:rFonts w:eastAsia="Arial" w:cs="Times New Roman"/>
        </w:rPr>
        <w:t>and</w:t>
      </w:r>
      <w:r w:rsidR="00FD5EF4" w:rsidRPr="58A895D0">
        <w:rPr>
          <w:rFonts w:eastAsia="Arial" w:cs="Times New Roman"/>
        </w:rPr>
        <w:t xml:space="preserve"> 3.6</w:t>
      </w:r>
      <w:r w:rsidRPr="58A895D0">
        <w:rPr>
          <w:rFonts w:eastAsia="Arial" w:cs="Times New Roman"/>
        </w:rPr>
        <w:t>%, respectively.</w:t>
      </w:r>
      <w:r w:rsidR="00630B99" w:rsidRPr="58A895D0">
        <w:rPr>
          <w:rFonts w:eastAsia="Arial" w:cs="Times New Roman"/>
        </w:rPr>
        <w:t xml:space="preserve"> The participation rate decreased by 0.1</w:t>
      </w:r>
      <w:r w:rsidR="005A08A4" w:rsidRPr="58A895D0">
        <w:rPr>
          <w:rFonts w:eastAsia="Arial" w:cs="Times New Roman"/>
        </w:rPr>
        <w:t>pp</w:t>
      </w:r>
      <w:r w:rsidR="00630B99" w:rsidRPr="58A895D0">
        <w:rPr>
          <w:rFonts w:eastAsia="Arial" w:cs="Times New Roman"/>
        </w:rPr>
        <w:t xml:space="preserve"> in the capital cities </w:t>
      </w:r>
      <w:r w:rsidRPr="58A895D0">
        <w:rPr>
          <w:rFonts w:eastAsia="Arial" w:cs="Times New Roman"/>
        </w:rPr>
        <w:t xml:space="preserve">over the quarter, </w:t>
      </w:r>
      <w:r w:rsidR="00630B99" w:rsidRPr="58A895D0">
        <w:rPr>
          <w:rFonts w:eastAsia="Arial" w:cs="Times New Roman"/>
        </w:rPr>
        <w:t xml:space="preserve">to 68.5% </w:t>
      </w:r>
      <w:r w:rsidRPr="58A895D0">
        <w:rPr>
          <w:rFonts w:eastAsia="Arial" w:cs="Times New Roman"/>
        </w:rPr>
        <w:t xml:space="preserve">in September 2024, </w:t>
      </w:r>
      <w:r w:rsidR="00FD5EF4" w:rsidRPr="58A895D0">
        <w:rPr>
          <w:rFonts w:eastAsia="Arial" w:cs="Times New Roman"/>
        </w:rPr>
        <w:t>and</w:t>
      </w:r>
      <w:r w:rsidR="00630B99" w:rsidRPr="58A895D0">
        <w:rPr>
          <w:rFonts w:eastAsia="Arial" w:cs="Times New Roman"/>
        </w:rPr>
        <w:t xml:space="preserve"> </w:t>
      </w:r>
      <w:r w:rsidR="00FD5EF4" w:rsidRPr="58A895D0">
        <w:rPr>
          <w:rFonts w:eastAsia="Arial" w:cs="Times New Roman"/>
        </w:rPr>
        <w:t>remained unchanged</w:t>
      </w:r>
      <w:r w:rsidR="00630B99" w:rsidRPr="58A895D0">
        <w:rPr>
          <w:rFonts w:eastAsia="Arial" w:cs="Times New Roman"/>
        </w:rPr>
        <w:t xml:space="preserve"> </w:t>
      </w:r>
      <w:r w:rsidR="00FD5EF4" w:rsidRPr="58A895D0">
        <w:rPr>
          <w:rFonts w:eastAsia="Arial" w:cs="Times New Roman"/>
        </w:rPr>
        <w:t>in the</w:t>
      </w:r>
      <w:r w:rsidR="00006CD6" w:rsidRPr="58A895D0">
        <w:rPr>
          <w:rFonts w:eastAsia="Arial" w:cs="Times New Roman"/>
        </w:rPr>
        <w:t xml:space="preserve"> rest of state areas</w:t>
      </w:r>
      <w:r w:rsidR="00FD5EF4" w:rsidRPr="58A895D0">
        <w:rPr>
          <w:rFonts w:eastAsia="Arial" w:cs="Times New Roman"/>
        </w:rPr>
        <w:t xml:space="preserve"> </w:t>
      </w:r>
      <w:r w:rsidRPr="58A895D0">
        <w:rPr>
          <w:rFonts w:eastAsia="Arial" w:cs="Times New Roman"/>
        </w:rPr>
        <w:t xml:space="preserve">over the period, at 63.5% </w:t>
      </w:r>
      <w:r w:rsidR="00630B99" w:rsidRPr="58A895D0">
        <w:rPr>
          <w:rFonts w:eastAsia="Arial" w:cs="Times New Roman"/>
        </w:rPr>
        <w:t>(Table </w:t>
      </w:r>
      <w:r w:rsidRPr="58A895D0">
        <w:rPr>
          <w:rFonts w:eastAsia="Arial" w:cs="Times New Roman"/>
        </w:rPr>
        <w:t>3</w:t>
      </w:r>
      <w:r w:rsidR="00630B99" w:rsidRPr="58A895D0">
        <w:rPr>
          <w:rFonts w:eastAsia="Arial" w:cs="Times New Roman"/>
        </w:rPr>
        <w:t>).</w:t>
      </w:r>
    </w:p>
    <w:tbl>
      <w:tblPr>
        <w:tblpPr w:leftFromText="180" w:rightFromText="180" w:vertAnchor="text" w:horzAnchor="margin" w:tblpY="277"/>
        <w:tblW w:w="9072" w:type="dxa"/>
        <w:tblLayout w:type="fixed"/>
        <w:tblLook w:val="04A0" w:firstRow="1" w:lastRow="0" w:firstColumn="1" w:lastColumn="0" w:noHBand="0" w:noVBand="1"/>
      </w:tblPr>
      <w:tblGrid>
        <w:gridCol w:w="2410"/>
        <w:gridCol w:w="1134"/>
        <w:gridCol w:w="1134"/>
        <w:gridCol w:w="1135"/>
        <w:gridCol w:w="1133"/>
        <w:gridCol w:w="1134"/>
        <w:gridCol w:w="992"/>
      </w:tblGrid>
      <w:tr w:rsidR="00325C15" w:rsidRPr="00C40D54" w14:paraId="04708ABC" w14:textId="77777777" w:rsidTr="00325C15">
        <w:trPr>
          <w:trHeight w:val="300"/>
        </w:trPr>
        <w:tc>
          <w:tcPr>
            <w:tcW w:w="2410" w:type="dxa"/>
            <w:vMerge w:val="restart"/>
            <w:tcBorders>
              <w:top w:val="nil"/>
              <w:left w:val="nil"/>
              <w:bottom w:val="nil"/>
              <w:right w:val="nil"/>
            </w:tcBorders>
            <w:shd w:val="clear" w:color="000000" w:fill="012749"/>
            <w:vAlign w:val="center"/>
            <w:hideMark/>
          </w:tcPr>
          <w:p w14:paraId="09B41F7B" w14:textId="77777777" w:rsidR="00325C15" w:rsidRPr="00C40D54" w:rsidRDefault="00325C15" w:rsidP="00325C15">
            <w:pPr>
              <w:keepNext/>
              <w:keepLines/>
              <w:spacing w:after="0" w:line="240" w:lineRule="auto"/>
              <w:rPr>
                <w:rFonts w:eastAsia="Times New Roman" w:cs="Arial"/>
                <w:color w:val="000000"/>
                <w:sz w:val="20"/>
                <w:szCs w:val="20"/>
                <w:lang w:eastAsia="en-AU"/>
              </w:rPr>
            </w:pPr>
            <w:r w:rsidRPr="00C40D54">
              <w:rPr>
                <w:rFonts w:eastAsia="Times New Roman" w:cs="Arial"/>
                <w:color w:val="000000"/>
                <w:sz w:val="20"/>
                <w:szCs w:val="20"/>
                <w:lang w:eastAsia="en-AU"/>
              </w:rPr>
              <w:t> </w:t>
            </w:r>
          </w:p>
        </w:tc>
        <w:tc>
          <w:tcPr>
            <w:tcW w:w="3403" w:type="dxa"/>
            <w:gridSpan w:val="3"/>
            <w:tcBorders>
              <w:top w:val="nil"/>
              <w:left w:val="nil"/>
              <w:bottom w:val="nil"/>
              <w:right w:val="nil"/>
            </w:tcBorders>
            <w:shd w:val="clear" w:color="000000" w:fill="012749"/>
            <w:vAlign w:val="center"/>
            <w:hideMark/>
          </w:tcPr>
          <w:p w14:paraId="5E285BCB" w14:textId="77777777" w:rsidR="00325C15" w:rsidRPr="004D18CE" w:rsidRDefault="00325C15" w:rsidP="00325C15">
            <w:pPr>
              <w:keepNext/>
              <w:keepLines/>
              <w:spacing w:after="0" w:line="240" w:lineRule="auto"/>
              <w:jc w:val="center"/>
              <w:rPr>
                <w:rFonts w:eastAsia="Times New Roman" w:cs="Arial"/>
                <w:b/>
                <w:bCs/>
                <w:color w:val="FFFFFF"/>
                <w:sz w:val="20"/>
                <w:szCs w:val="20"/>
                <w:lang w:eastAsia="en-AU"/>
              </w:rPr>
            </w:pPr>
            <w:r w:rsidRPr="004D18CE">
              <w:rPr>
                <w:rFonts w:eastAsia="Times New Roman" w:cs="Arial"/>
                <w:b/>
                <w:bCs/>
                <w:color w:val="FFFFFF"/>
                <w:sz w:val="20"/>
                <w:szCs w:val="20"/>
                <w:lang w:eastAsia="en-AU"/>
              </w:rPr>
              <w:t>Capital cities</w:t>
            </w:r>
          </w:p>
        </w:tc>
        <w:tc>
          <w:tcPr>
            <w:tcW w:w="3259" w:type="dxa"/>
            <w:gridSpan w:val="3"/>
            <w:tcBorders>
              <w:top w:val="nil"/>
              <w:left w:val="nil"/>
              <w:bottom w:val="nil"/>
              <w:right w:val="nil"/>
            </w:tcBorders>
            <w:shd w:val="clear" w:color="000000" w:fill="012749"/>
            <w:vAlign w:val="center"/>
            <w:hideMark/>
          </w:tcPr>
          <w:p w14:paraId="4D5657BB" w14:textId="77777777" w:rsidR="00325C15" w:rsidRPr="004D18CE" w:rsidRDefault="00325C15" w:rsidP="00325C15">
            <w:pPr>
              <w:keepNext/>
              <w:keepLines/>
              <w:spacing w:after="0" w:line="240" w:lineRule="auto"/>
              <w:jc w:val="center"/>
              <w:rPr>
                <w:rFonts w:eastAsia="Times New Roman" w:cs="Arial"/>
                <w:b/>
                <w:bCs/>
                <w:color w:val="FFFFFF"/>
                <w:sz w:val="20"/>
                <w:szCs w:val="20"/>
                <w:lang w:eastAsia="en-AU"/>
              </w:rPr>
            </w:pPr>
            <w:r w:rsidRPr="004D18CE">
              <w:rPr>
                <w:rFonts w:eastAsia="Times New Roman" w:cs="Arial"/>
                <w:b/>
                <w:bCs/>
                <w:color w:val="FFFFFF"/>
                <w:sz w:val="20"/>
                <w:szCs w:val="20"/>
                <w:lang w:eastAsia="en-AU"/>
              </w:rPr>
              <w:t>Rest of state areas</w:t>
            </w:r>
          </w:p>
        </w:tc>
      </w:tr>
      <w:tr w:rsidR="00325C15" w:rsidRPr="00C40D54" w14:paraId="7E4A66E2" w14:textId="77777777" w:rsidTr="00325C15">
        <w:trPr>
          <w:trHeight w:val="315"/>
        </w:trPr>
        <w:tc>
          <w:tcPr>
            <w:tcW w:w="2410" w:type="dxa"/>
            <w:vMerge/>
            <w:tcBorders>
              <w:top w:val="nil"/>
              <w:left w:val="nil"/>
              <w:bottom w:val="nil"/>
              <w:right w:val="nil"/>
            </w:tcBorders>
            <w:vAlign w:val="center"/>
            <w:hideMark/>
          </w:tcPr>
          <w:p w14:paraId="6C87140D" w14:textId="77777777" w:rsidR="00325C15" w:rsidRPr="00C40D54" w:rsidRDefault="00325C15" w:rsidP="00325C15">
            <w:pPr>
              <w:keepNext/>
              <w:keepLines/>
              <w:spacing w:after="0" w:line="240" w:lineRule="auto"/>
              <w:rPr>
                <w:rFonts w:eastAsia="Times New Roman" w:cs="Arial"/>
                <w:color w:val="000000"/>
                <w:sz w:val="20"/>
                <w:szCs w:val="20"/>
                <w:lang w:eastAsia="en-AU"/>
              </w:rPr>
            </w:pPr>
          </w:p>
        </w:tc>
        <w:tc>
          <w:tcPr>
            <w:tcW w:w="1134" w:type="dxa"/>
            <w:vMerge w:val="restart"/>
            <w:tcBorders>
              <w:top w:val="nil"/>
              <w:left w:val="nil"/>
              <w:bottom w:val="nil"/>
              <w:right w:val="nil"/>
            </w:tcBorders>
            <w:shd w:val="clear" w:color="000000" w:fill="012749"/>
            <w:vAlign w:val="center"/>
            <w:hideMark/>
          </w:tcPr>
          <w:p w14:paraId="15193B0D" w14:textId="77777777" w:rsidR="00325C15" w:rsidRPr="00C40D54" w:rsidRDefault="00325C15" w:rsidP="00325C15">
            <w:pPr>
              <w:keepNext/>
              <w:keepLines/>
              <w:spacing w:after="0" w:line="240" w:lineRule="auto"/>
              <w:jc w:val="center"/>
              <w:rPr>
                <w:rFonts w:eastAsia="Times New Roman" w:cs="Arial"/>
                <w:color w:val="FFFFFF"/>
                <w:sz w:val="20"/>
                <w:szCs w:val="20"/>
                <w:lang w:eastAsia="en-AU"/>
              </w:rPr>
            </w:pPr>
            <w:r w:rsidRPr="00C40D54">
              <w:rPr>
                <w:rFonts w:eastAsia="Times New Roman" w:cs="Arial"/>
                <w:color w:val="FFFFFF"/>
                <w:sz w:val="20"/>
                <w:szCs w:val="20"/>
                <w:lang w:eastAsia="en-AU"/>
              </w:rPr>
              <w:t>Sep-24</w:t>
            </w:r>
          </w:p>
        </w:tc>
        <w:tc>
          <w:tcPr>
            <w:tcW w:w="2269" w:type="dxa"/>
            <w:gridSpan w:val="2"/>
            <w:tcBorders>
              <w:top w:val="nil"/>
              <w:left w:val="nil"/>
              <w:bottom w:val="single" w:sz="8" w:space="0" w:color="FFFFFF"/>
              <w:right w:val="nil"/>
            </w:tcBorders>
            <w:shd w:val="clear" w:color="000000" w:fill="012749"/>
            <w:vAlign w:val="center"/>
            <w:hideMark/>
          </w:tcPr>
          <w:p w14:paraId="03FB0CCF" w14:textId="77777777" w:rsidR="00325C15" w:rsidRPr="00C40D54" w:rsidRDefault="00325C15" w:rsidP="00325C15">
            <w:pPr>
              <w:keepNext/>
              <w:keepLines/>
              <w:spacing w:after="0" w:line="240" w:lineRule="auto"/>
              <w:jc w:val="center"/>
              <w:rPr>
                <w:rFonts w:eastAsia="Times New Roman" w:cs="Arial"/>
                <w:color w:val="FFFFFF"/>
                <w:sz w:val="20"/>
                <w:szCs w:val="20"/>
                <w:lang w:eastAsia="en-AU"/>
              </w:rPr>
            </w:pPr>
            <w:r w:rsidRPr="00C40D54">
              <w:rPr>
                <w:rFonts w:eastAsia="Times New Roman" w:cs="Arial"/>
                <w:color w:val="FFFFFF"/>
                <w:sz w:val="20"/>
                <w:szCs w:val="20"/>
                <w:lang w:eastAsia="en-AU"/>
              </w:rPr>
              <w:t>Quarterly change</w:t>
            </w:r>
          </w:p>
        </w:tc>
        <w:tc>
          <w:tcPr>
            <w:tcW w:w="1133" w:type="dxa"/>
            <w:vMerge w:val="restart"/>
            <w:tcBorders>
              <w:top w:val="nil"/>
              <w:left w:val="nil"/>
              <w:bottom w:val="nil"/>
              <w:right w:val="nil"/>
            </w:tcBorders>
            <w:shd w:val="clear" w:color="000000" w:fill="012749"/>
            <w:vAlign w:val="center"/>
            <w:hideMark/>
          </w:tcPr>
          <w:p w14:paraId="512725AF" w14:textId="77777777" w:rsidR="00325C15" w:rsidRPr="00C40D54" w:rsidRDefault="00325C15" w:rsidP="00325C15">
            <w:pPr>
              <w:keepNext/>
              <w:keepLines/>
              <w:spacing w:after="0" w:line="240" w:lineRule="auto"/>
              <w:jc w:val="center"/>
              <w:rPr>
                <w:rFonts w:eastAsia="Times New Roman" w:cs="Arial"/>
                <w:color w:val="FFFFFF"/>
                <w:sz w:val="20"/>
                <w:szCs w:val="20"/>
                <w:lang w:eastAsia="en-AU"/>
              </w:rPr>
            </w:pPr>
            <w:r w:rsidRPr="00C40D54">
              <w:rPr>
                <w:rFonts w:eastAsia="Times New Roman" w:cs="Arial"/>
                <w:color w:val="FFFFFF"/>
                <w:sz w:val="20"/>
                <w:szCs w:val="20"/>
                <w:lang w:eastAsia="en-AU"/>
              </w:rPr>
              <w:t>Sep-24</w:t>
            </w:r>
          </w:p>
        </w:tc>
        <w:tc>
          <w:tcPr>
            <w:tcW w:w="2126" w:type="dxa"/>
            <w:gridSpan w:val="2"/>
            <w:tcBorders>
              <w:top w:val="nil"/>
              <w:left w:val="nil"/>
              <w:bottom w:val="single" w:sz="8" w:space="0" w:color="FFFFFF"/>
              <w:right w:val="nil"/>
            </w:tcBorders>
            <w:shd w:val="clear" w:color="000000" w:fill="012749"/>
            <w:vAlign w:val="center"/>
            <w:hideMark/>
          </w:tcPr>
          <w:p w14:paraId="65DD8529" w14:textId="77777777" w:rsidR="00325C15" w:rsidRPr="00C40D54" w:rsidRDefault="00325C15" w:rsidP="00325C15">
            <w:pPr>
              <w:keepNext/>
              <w:keepLines/>
              <w:spacing w:after="0" w:line="240" w:lineRule="auto"/>
              <w:jc w:val="center"/>
              <w:rPr>
                <w:rFonts w:eastAsia="Times New Roman" w:cs="Arial"/>
                <w:color w:val="FFFFFF"/>
                <w:sz w:val="20"/>
                <w:szCs w:val="20"/>
                <w:lang w:eastAsia="en-AU"/>
              </w:rPr>
            </w:pPr>
            <w:r w:rsidRPr="00C40D54">
              <w:rPr>
                <w:rFonts w:eastAsia="Times New Roman" w:cs="Arial"/>
                <w:color w:val="FFFFFF"/>
                <w:sz w:val="20"/>
                <w:szCs w:val="20"/>
                <w:lang w:eastAsia="en-AU"/>
              </w:rPr>
              <w:t>Quarterly change</w:t>
            </w:r>
          </w:p>
        </w:tc>
      </w:tr>
      <w:tr w:rsidR="00325C15" w:rsidRPr="00C40D54" w14:paraId="6D9FA957" w14:textId="77777777" w:rsidTr="00325C15">
        <w:trPr>
          <w:trHeight w:val="300"/>
        </w:trPr>
        <w:tc>
          <w:tcPr>
            <w:tcW w:w="2410" w:type="dxa"/>
            <w:vMerge/>
            <w:tcBorders>
              <w:top w:val="nil"/>
              <w:left w:val="nil"/>
              <w:bottom w:val="nil"/>
              <w:right w:val="nil"/>
            </w:tcBorders>
            <w:vAlign w:val="center"/>
            <w:hideMark/>
          </w:tcPr>
          <w:p w14:paraId="0759E903" w14:textId="77777777" w:rsidR="00325C15" w:rsidRPr="00C40D54" w:rsidRDefault="00325C15" w:rsidP="00325C15">
            <w:pPr>
              <w:keepNext/>
              <w:keepLines/>
              <w:spacing w:after="0" w:line="240" w:lineRule="auto"/>
              <w:rPr>
                <w:rFonts w:eastAsia="Times New Roman" w:cs="Arial"/>
                <w:color w:val="000000"/>
                <w:sz w:val="20"/>
                <w:szCs w:val="20"/>
                <w:lang w:eastAsia="en-AU"/>
              </w:rPr>
            </w:pPr>
          </w:p>
        </w:tc>
        <w:tc>
          <w:tcPr>
            <w:tcW w:w="1134" w:type="dxa"/>
            <w:vMerge/>
            <w:tcBorders>
              <w:top w:val="nil"/>
              <w:left w:val="nil"/>
              <w:bottom w:val="nil"/>
              <w:right w:val="nil"/>
            </w:tcBorders>
            <w:vAlign w:val="center"/>
            <w:hideMark/>
          </w:tcPr>
          <w:p w14:paraId="1F4CC3C6" w14:textId="77777777" w:rsidR="00325C15" w:rsidRPr="00C40D54" w:rsidRDefault="00325C15" w:rsidP="00325C15">
            <w:pPr>
              <w:keepNext/>
              <w:keepLines/>
              <w:spacing w:after="0" w:line="240" w:lineRule="auto"/>
              <w:rPr>
                <w:rFonts w:eastAsia="Times New Roman" w:cs="Arial"/>
                <w:color w:val="FFFFFF"/>
                <w:sz w:val="20"/>
                <w:szCs w:val="20"/>
                <w:lang w:eastAsia="en-AU"/>
              </w:rPr>
            </w:pPr>
          </w:p>
        </w:tc>
        <w:tc>
          <w:tcPr>
            <w:tcW w:w="1134" w:type="dxa"/>
            <w:tcBorders>
              <w:top w:val="nil"/>
              <w:left w:val="nil"/>
              <w:bottom w:val="nil"/>
              <w:right w:val="nil"/>
            </w:tcBorders>
            <w:shd w:val="clear" w:color="000000" w:fill="012749"/>
            <w:vAlign w:val="center"/>
            <w:hideMark/>
          </w:tcPr>
          <w:p w14:paraId="5EFF58CC" w14:textId="77777777" w:rsidR="00325C15" w:rsidRPr="00C40D54" w:rsidRDefault="00325C15" w:rsidP="00325C15">
            <w:pPr>
              <w:keepNext/>
              <w:keepLines/>
              <w:spacing w:after="0" w:line="240" w:lineRule="auto"/>
              <w:jc w:val="center"/>
              <w:rPr>
                <w:rFonts w:eastAsia="Times New Roman" w:cs="Arial"/>
                <w:color w:val="FFFFFF"/>
                <w:sz w:val="20"/>
                <w:szCs w:val="20"/>
                <w:lang w:eastAsia="en-AU"/>
              </w:rPr>
            </w:pPr>
            <w:r w:rsidRPr="00C40D54">
              <w:rPr>
                <w:rFonts w:eastAsia="Times New Roman" w:cs="Arial"/>
                <w:color w:val="FFFFFF"/>
                <w:sz w:val="20"/>
                <w:szCs w:val="20"/>
                <w:lang w:eastAsia="en-AU"/>
              </w:rPr>
              <w:t>(‘000)</w:t>
            </w:r>
          </w:p>
        </w:tc>
        <w:tc>
          <w:tcPr>
            <w:tcW w:w="1135" w:type="dxa"/>
            <w:tcBorders>
              <w:top w:val="nil"/>
              <w:left w:val="nil"/>
              <w:bottom w:val="nil"/>
              <w:right w:val="nil"/>
            </w:tcBorders>
            <w:shd w:val="clear" w:color="000000" w:fill="012749"/>
            <w:vAlign w:val="center"/>
            <w:hideMark/>
          </w:tcPr>
          <w:p w14:paraId="04FE6A19" w14:textId="77777777" w:rsidR="00325C15" w:rsidRPr="00C40D54" w:rsidRDefault="00325C15" w:rsidP="00325C15">
            <w:pPr>
              <w:keepNext/>
              <w:keepLines/>
              <w:spacing w:after="0" w:line="240" w:lineRule="auto"/>
              <w:jc w:val="center"/>
              <w:rPr>
                <w:rFonts w:eastAsia="Times New Roman" w:cs="Arial"/>
                <w:color w:val="FFFFFF"/>
                <w:sz w:val="20"/>
                <w:szCs w:val="20"/>
                <w:lang w:eastAsia="en-AU"/>
              </w:rPr>
            </w:pPr>
            <w:r w:rsidRPr="00C40D54">
              <w:rPr>
                <w:rFonts w:eastAsia="Times New Roman" w:cs="Arial"/>
                <w:color w:val="FFFFFF"/>
                <w:sz w:val="20"/>
                <w:szCs w:val="20"/>
                <w:lang w:eastAsia="en-AU"/>
              </w:rPr>
              <w:t>(%)</w:t>
            </w:r>
          </w:p>
        </w:tc>
        <w:tc>
          <w:tcPr>
            <w:tcW w:w="1133" w:type="dxa"/>
            <w:vMerge/>
            <w:tcBorders>
              <w:top w:val="nil"/>
              <w:left w:val="nil"/>
              <w:bottom w:val="nil"/>
              <w:right w:val="nil"/>
            </w:tcBorders>
            <w:vAlign w:val="center"/>
            <w:hideMark/>
          </w:tcPr>
          <w:p w14:paraId="2F38E859" w14:textId="77777777" w:rsidR="00325C15" w:rsidRPr="00C40D54" w:rsidRDefault="00325C15" w:rsidP="00325C15">
            <w:pPr>
              <w:keepNext/>
              <w:keepLines/>
              <w:spacing w:after="0" w:line="240" w:lineRule="auto"/>
              <w:rPr>
                <w:rFonts w:eastAsia="Times New Roman" w:cs="Arial"/>
                <w:color w:val="FFFFFF"/>
                <w:sz w:val="20"/>
                <w:szCs w:val="20"/>
                <w:lang w:eastAsia="en-AU"/>
              </w:rPr>
            </w:pPr>
          </w:p>
        </w:tc>
        <w:tc>
          <w:tcPr>
            <w:tcW w:w="1134" w:type="dxa"/>
            <w:tcBorders>
              <w:top w:val="nil"/>
              <w:left w:val="nil"/>
              <w:bottom w:val="nil"/>
              <w:right w:val="nil"/>
            </w:tcBorders>
            <w:shd w:val="clear" w:color="000000" w:fill="012749"/>
            <w:vAlign w:val="center"/>
            <w:hideMark/>
          </w:tcPr>
          <w:p w14:paraId="353658B4" w14:textId="77777777" w:rsidR="00325C15" w:rsidRPr="00C40D54" w:rsidRDefault="00325C15" w:rsidP="00325C15">
            <w:pPr>
              <w:keepNext/>
              <w:keepLines/>
              <w:spacing w:after="0" w:line="240" w:lineRule="auto"/>
              <w:jc w:val="center"/>
              <w:rPr>
                <w:rFonts w:eastAsia="Times New Roman" w:cs="Arial"/>
                <w:color w:val="FFFFFF"/>
                <w:sz w:val="20"/>
                <w:szCs w:val="20"/>
                <w:lang w:eastAsia="en-AU"/>
              </w:rPr>
            </w:pPr>
            <w:r w:rsidRPr="00C40D54">
              <w:rPr>
                <w:rFonts w:eastAsia="Times New Roman" w:cs="Arial"/>
                <w:color w:val="FFFFFF"/>
                <w:sz w:val="20"/>
                <w:szCs w:val="20"/>
                <w:lang w:eastAsia="en-AU"/>
              </w:rPr>
              <w:t>(‘000)</w:t>
            </w:r>
          </w:p>
        </w:tc>
        <w:tc>
          <w:tcPr>
            <w:tcW w:w="992" w:type="dxa"/>
            <w:tcBorders>
              <w:top w:val="nil"/>
              <w:left w:val="nil"/>
              <w:bottom w:val="nil"/>
              <w:right w:val="nil"/>
            </w:tcBorders>
            <w:shd w:val="clear" w:color="000000" w:fill="012749"/>
            <w:vAlign w:val="center"/>
            <w:hideMark/>
          </w:tcPr>
          <w:p w14:paraId="00F5B7FA" w14:textId="77777777" w:rsidR="00325C15" w:rsidRPr="00C40D54" w:rsidRDefault="00325C15" w:rsidP="00325C15">
            <w:pPr>
              <w:keepNext/>
              <w:keepLines/>
              <w:spacing w:after="0" w:line="240" w:lineRule="auto"/>
              <w:jc w:val="center"/>
              <w:rPr>
                <w:rFonts w:eastAsia="Times New Roman" w:cs="Arial"/>
                <w:color w:val="FFFFFF"/>
                <w:sz w:val="20"/>
                <w:szCs w:val="20"/>
                <w:lang w:eastAsia="en-AU"/>
              </w:rPr>
            </w:pPr>
            <w:r w:rsidRPr="00C40D54">
              <w:rPr>
                <w:rFonts w:eastAsia="Times New Roman" w:cs="Arial"/>
                <w:color w:val="FFFFFF"/>
                <w:sz w:val="20"/>
                <w:szCs w:val="20"/>
                <w:lang w:eastAsia="en-AU"/>
              </w:rPr>
              <w:t>(%)</w:t>
            </w:r>
          </w:p>
        </w:tc>
      </w:tr>
      <w:tr w:rsidR="00325C15" w:rsidRPr="00C40D54" w14:paraId="6C6CCA09" w14:textId="77777777" w:rsidTr="00325C15">
        <w:trPr>
          <w:trHeight w:val="340"/>
        </w:trPr>
        <w:tc>
          <w:tcPr>
            <w:tcW w:w="2410" w:type="dxa"/>
            <w:tcBorders>
              <w:top w:val="nil"/>
              <w:left w:val="nil"/>
              <w:bottom w:val="nil"/>
              <w:right w:val="nil"/>
            </w:tcBorders>
            <w:shd w:val="clear" w:color="auto" w:fill="auto"/>
            <w:vAlign w:val="center"/>
            <w:hideMark/>
          </w:tcPr>
          <w:p w14:paraId="21305F4D" w14:textId="77777777" w:rsidR="00325C15" w:rsidRPr="00C40D54" w:rsidRDefault="00325C15" w:rsidP="00325C15">
            <w:pPr>
              <w:keepNext/>
              <w:keepLines/>
              <w:spacing w:after="0" w:line="240" w:lineRule="auto"/>
              <w:rPr>
                <w:rFonts w:eastAsia="Times New Roman" w:cs="Arial"/>
                <w:color w:val="000000"/>
                <w:sz w:val="20"/>
                <w:szCs w:val="20"/>
                <w:lang w:eastAsia="en-AU"/>
              </w:rPr>
            </w:pPr>
            <w:r w:rsidRPr="00C40D54">
              <w:rPr>
                <w:rFonts w:eastAsia="Times New Roman" w:cs="Arial"/>
                <w:color w:val="000000"/>
                <w:sz w:val="20"/>
                <w:szCs w:val="20"/>
                <w:lang w:eastAsia="en-AU"/>
              </w:rPr>
              <w:t>Employment (‘000)</w:t>
            </w:r>
          </w:p>
        </w:tc>
        <w:tc>
          <w:tcPr>
            <w:tcW w:w="1134" w:type="dxa"/>
            <w:tcBorders>
              <w:top w:val="nil"/>
              <w:left w:val="nil"/>
              <w:bottom w:val="nil"/>
              <w:right w:val="nil"/>
            </w:tcBorders>
            <w:shd w:val="clear" w:color="auto" w:fill="auto"/>
            <w:vAlign w:val="center"/>
            <w:hideMark/>
          </w:tcPr>
          <w:p w14:paraId="57C4D32E"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10,072.3</w:t>
            </w:r>
          </w:p>
        </w:tc>
        <w:tc>
          <w:tcPr>
            <w:tcW w:w="1134" w:type="dxa"/>
            <w:tcBorders>
              <w:top w:val="nil"/>
              <w:left w:val="nil"/>
              <w:bottom w:val="nil"/>
              <w:right w:val="nil"/>
            </w:tcBorders>
            <w:shd w:val="clear" w:color="auto" w:fill="auto"/>
            <w:vAlign w:val="center"/>
            <w:hideMark/>
          </w:tcPr>
          <w:p w14:paraId="34E66D1E"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70.1</w:t>
            </w:r>
          </w:p>
        </w:tc>
        <w:tc>
          <w:tcPr>
            <w:tcW w:w="1135" w:type="dxa"/>
            <w:tcBorders>
              <w:top w:val="nil"/>
              <w:left w:val="nil"/>
              <w:bottom w:val="nil"/>
              <w:right w:val="nil"/>
            </w:tcBorders>
            <w:shd w:val="clear" w:color="auto" w:fill="auto"/>
            <w:vAlign w:val="center"/>
            <w:hideMark/>
          </w:tcPr>
          <w:p w14:paraId="06F4F6D6"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0.7</w:t>
            </w:r>
          </w:p>
        </w:tc>
        <w:tc>
          <w:tcPr>
            <w:tcW w:w="1133" w:type="dxa"/>
            <w:tcBorders>
              <w:top w:val="nil"/>
              <w:left w:val="nil"/>
              <w:bottom w:val="nil"/>
              <w:right w:val="nil"/>
            </w:tcBorders>
            <w:shd w:val="clear" w:color="auto" w:fill="auto"/>
            <w:vAlign w:val="center"/>
            <w:hideMark/>
          </w:tcPr>
          <w:p w14:paraId="7EAE2889"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4,422.2</w:t>
            </w:r>
          </w:p>
        </w:tc>
        <w:tc>
          <w:tcPr>
            <w:tcW w:w="1134" w:type="dxa"/>
            <w:tcBorders>
              <w:top w:val="nil"/>
              <w:left w:val="nil"/>
              <w:bottom w:val="nil"/>
              <w:right w:val="nil"/>
            </w:tcBorders>
            <w:shd w:val="clear" w:color="auto" w:fill="auto"/>
            <w:vAlign w:val="center"/>
            <w:hideMark/>
          </w:tcPr>
          <w:p w14:paraId="7A5603D5"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19.2</w:t>
            </w:r>
          </w:p>
        </w:tc>
        <w:tc>
          <w:tcPr>
            <w:tcW w:w="992" w:type="dxa"/>
            <w:tcBorders>
              <w:top w:val="nil"/>
              <w:left w:val="nil"/>
              <w:bottom w:val="nil"/>
              <w:right w:val="nil"/>
            </w:tcBorders>
            <w:shd w:val="clear" w:color="auto" w:fill="auto"/>
            <w:vAlign w:val="center"/>
            <w:hideMark/>
          </w:tcPr>
          <w:p w14:paraId="50DDEA27"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0.4</w:t>
            </w:r>
          </w:p>
        </w:tc>
      </w:tr>
      <w:tr w:rsidR="00325C15" w:rsidRPr="00C40D54" w14:paraId="23AB923F" w14:textId="77777777" w:rsidTr="00325C15">
        <w:trPr>
          <w:trHeight w:val="340"/>
        </w:trPr>
        <w:tc>
          <w:tcPr>
            <w:tcW w:w="2410" w:type="dxa"/>
            <w:tcBorders>
              <w:top w:val="nil"/>
              <w:left w:val="nil"/>
              <w:right w:val="nil"/>
            </w:tcBorders>
            <w:shd w:val="clear" w:color="000000" w:fill="E6E6E6"/>
            <w:vAlign w:val="center"/>
            <w:hideMark/>
          </w:tcPr>
          <w:p w14:paraId="248F9C61" w14:textId="77777777" w:rsidR="00325C15" w:rsidRPr="00C40D54" w:rsidRDefault="00325C15" w:rsidP="00325C15">
            <w:pPr>
              <w:keepNext/>
              <w:keepLines/>
              <w:spacing w:after="0" w:line="240" w:lineRule="auto"/>
              <w:rPr>
                <w:rFonts w:eastAsia="Times New Roman" w:cs="Arial"/>
                <w:color w:val="000000"/>
                <w:sz w:val="20"/>
                <w:szCs w:val="20"/>
                <w:lang w:eastAsia="en-AU"/>
              </w:rPr>
            </w:pPr>
            <w:r w:rsidRPr="00C40D54">
              <w:rPr>
                <w:rFonts w:eastAsia="Times New Roman" w:cs="Arial"/>
                <w:sz w:val="20"/>
                <w:szCs w:val="20"/>
                <w:lang w:eastAsia="en-AU"/>
              </w:rPr>
              <w:t>Unemployment rate (%)</w:t>
            </w:r>
          </w:p>
        </w:tc>
        <w:tc>
          <w:tcPr>
            <w:tcW w:w="1134" w:type="dxa"/>
            <w:tcBorders>
              <w:top w:val="nil"/>
              <w:left w:val="nil"/>
              <w:bottom w:val="nil"/>
              <w:right w:val="nil"/>
            </w:tcBorders>
            <w:shd w:val="clear" w:color="000000" w:fill="E6E6E6"/>
            <w:vAlign w:val="center"/>
            <w:hideMark/>
          </w:tcPr>
          <w:p w14:paraId="346EF84D"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4.0</w:t>
            </w:r>
          </w:p>
        </w:tc>
        <w:tc>
          <w:tcPr>
            <w:tcW w:w="1134" w:type="dxa"/>
            <w:tcBorders>
              <w:top w:val="nil"/>
              <w:left w:val="nil"/>
              <w:bottom w:val="nil"/>
              <w:right w:val="nil"/>
            </w:tcBorders>
            <w:shd w:val="clear" w:color="000000" w:fill="E6E6E6"/>
            <w:vAlign w:val="center"/>
            <w:hideMark/>
          </w:tcPr>
          <w:p w14:paraId="20386B41"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w:t>
            </w:r>
          </w:p>
        </w:tc>
        <w:tc>
          <w:tcPr>
            <w:tcW w:w="1135" w:type="dxa"/>
            <w:tcBorders>
              <w:top w:val="nil"/>
              <w:left w:val="nil"/>
              <w:bottom w:val="nil"/>
              <w:right w:val="nil"/>
            </w:tcBorders>
            <w:shd w:val="clear" w:color="000000" w:fill="E6E6E6"/>
            <w:vAlign w:val="center"/>
            <w:hideMark/>
          </w:tcPr>
          <w:p w14:paraId="2F7768D1" w14:textId="12AA821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0.0</w:t>
            </w:r>
            <w:r>
              <w:rPr>
                <w:rFonts w:cs="Arial"/>
                <w:color w:val="000000"/>
                <w:sz w:val="20"/>
                <w:szCs w:val="20"/>
              </w:rPr>
              <w:t>pp</w:t>
            </w:r>
          </w:p>
        </w:tc>
        <w:tc>
          <w:tcPr>
            <w:tcW w:w="1133" w:type="dxa"/>
            <w:tcBorders>
              <w:top w:val="nil"/>
              <w:left w:val="nil"/>
              <w:bottom w:val="nil"/>
              <w:right w:val="nil"/>
            </w:tcBorders>
            <w:shd w:val="clear" w:color="000000" w:fill="E6E6E6"/>
            <w:vAlign w:val="center"/>
            <w:hideMark/>
          </w:tcPr>
          <w:p w14:paraId="12FCE95A"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3.6</w:t>
            </w:r>
          </w:p>
        </w:tc>
        <w:tc>
          <w:tcPr>
            <w:tcW w:w="1134" w:type="dxa"/>
            <w:tcBorders>
              <w:top w:val="nil"/>
              <w:left w:val="nil"/>
              <w:bottom w:val="nil"/>
              <w:right w:val="nil"/>
            </w:tcBorders>
            <w:shd w:val="clear" w:color="000000" w:fill="E6E6E6"/>
            <w:vAlign w:val="center"/>
            <w:hideMark/>
          </w:tcPr>
          <w:p w14:paraId="0B90E9DB"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w:t>
            </w:r>
          </w:p>
        </w:tc>
        <w:tc>
          <w:tcPr>
            <w:tcW w:w="992" w:type="dxa"/>
            <w:tcBorders>
              <w:top w:val="nil"/>
              <w:left w:val="nil"/>
              <w:bottom w:val="nil"/>
              <w:right w:val="nil"/>
            </w:tcBorders>
            <w:shd w:val="clear" w:color="000000" w:fill="E6E6E6"/>
            <w:vAlign w:val="center"/>
            <w:hideMark/>
          </w:tcPr>
          <w:p w14:paraId="516826F6" w14:textId="5C28EE25"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0.0</w:t>
            </w:r>
            <w:r>
              <w:rPr>
                <w:rFonts w:cs="Arial"/>
                <w:color w:val="000000"/>
                <w:sz w:val="20"/>
                <w:szCs w:val="20"/>
              </w:rPr>
              <w:t>pp</w:t>
            </w:r>
          </w:p>
        </w:tc>
      </w:tr>
      <w:tr w:rsidR="00325C15" w:rsidRPr="00C40D54" w14:paraId="5EDF7394" w14:textId="77777777" w:rsidTr="00325C15">
        <w:trPr>
          <w:trHeight w:val="340"/>
        </w:trPr>
        <w:tc>
          <w:tcPr>
            <w:tcW w:w="2410" w:type="dxa"/>
            <w:tcBorders>
              <w:top w:val="nil"/>
              <w:left w:val="nil"/>
              <w:bottom w:val="single" w:sz="4" w:space="0" w:color="auto"/>
              <w:right w:val="nil"/>
            </w:tcBorders>
            <w:shd w:val="clear" w:color="auto" w:fill="auto"/>
            <w:vAlign w:val="center"/>
            <w:hideMark/>
          </w:tcPr>
          <w:p w14:paraId="08163D6D" w14:textId="77777777" w:rsidR="00325C15" w:rsidRPr="00C40D54" w:rsidRDefault="00325C15" w:rsidP="00325C15">
            <w:pPr>
              <w:keepNext/>
              <w:keepLines/>
              <w:spacing w:after="0" w:line="240" w:lineRule="auto"/>
              <w:rPr>
                <w:rFonts w:eastAsia="Times New Roman" w:cs="Arial"/>
                <w:color w:val="000000"/>
                <w:sz w:val="20"/>
                <w:szCs w:val="20"/>
                <w:lang w:eastAsia="en-AU"/>
              </w:rPr>
            </w:pPr>
            <w:r w:rsidRPr="00C40D54">
              <w:rPr>
                <w:rFonts w:eastAsia="Times New Roman" w:cs="Arial"/>
                <w:color w:val="000000"/>
                <w:sz w:val="20"/>
                <w:szCs w:val="20"/>
                <w:lang w:eastAsia="en-AU"/>
              </w:rPr>
              <w:t>Participation rate (%)</w:t>
            </w:r>
          </w:p>
        </w:tc>
        <w:tc>
          <w:tcPr>
            <w:tcW w:w="1134" w:type="dxa"/>
            <w:tcBorders>
              <w:top w:val="nil"/>
              <w:left w:val="nil"/>
              <w:bottom w:val="single" w:sz="8" w:space="0" w:color="4B0885"/>
              <w:right w:val="nil"/>
            </w:tcBorders>
            <w:shd w:val="clear" w:color="auto" w:fill="auto"/>
            <w:vAlign w:val="center"/>
            <w:hideMark/>
          </w:tcPr>
          <w:p w14:paraId="583F3D76"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68.5</w:t>
            </w:r>
          </w:p>
        </w:tc>
        <w:tc>
          <w:tcPr>
            <w:tcW w:w="1134" w:type="dxa"/>
            <w:tcBorders>
              <w:top w:val="nil"/>
              <w:left w:val="nil"/>
              <w:bottom w:val="single" w:sz="8" w:space="0" w:color="4B0885"/>
              <w:right w:val="nil"/>
            </w:tcBorders>
            <w:shd w:val="clear" w:color="auto" w:fill="auto"/>
            <w:vAlign w:val="center"/>
            <w:hideMark/>
          </w:tcPr>
          <w:p w14:paraId="0D25C0EC"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 xml:space="preserve"> -</w:t>
            </w:r>
          </w:p>
        </w:tc>
        <w:tc>
          <w:tcPr>
            <w:tcW w:w="1135" w:type="dxa"/>
            <w:tcBorders>
              <w:top w:val="nil"/>
              <w:left w:val="nil"/>
              <w:bottom w:val="single" w:sz="8" w:space="0" w:color="4B0885"/>
              <w:right w:val="nil"/>
            </w:tcBorders>
            <w:shd w:val="clear" w:color="auto" w:fill="auto"/>
            <w:vAlign w:val="center"/>
            <w:hideMark/>
          </w:tcPr>
          <w:p w14:paraId="7C66C42B" w14:textId="559F5CA8"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-0.1</w:t>
            </w:r>
            <w:r>
              <w:rPr>
                <w:rFonts w:cs="Arial"/>
                <w:color w:val="000000"/>
                <w:sz w:val="20"/>
                <w:szCs w:val="20"/>
              </w:rPr>
              <w:t>pp</w:t>
            </w:r>
          </w:p>
        </w:tc>
        <w:tc>
          <w:tcPr>
            <w:tcW w:w="1133" w:type="dxa"/>
            <w:tcBorders>
              <w:top w:val="nil"/>
              <w:left w:val="nil"/>
              <w:bottom w:val="single" w:sz="8" w:space="0" w:color="4B0885"/>
              <w:right w:val="nil"/>
            </w:tcBorders>
            <w:shd w:val="clear" w:color="auto" w:fill="auto"/>
            <w:vAlign w:val="center"/>
            <w:hideMark/>
          </w:tcPr>
          <w:p w14:paraId="0D80ACCC"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63.5</w:t>
            </w:r>
          </w:p>
        </w:tc>
        <w:tc>
          <w:tcPr>
            <w:tcW w:w="1134" w:type="dxa"/>
            <w:tcBorders>
              <w:top w:val="nil"/>
              <w:left w:val="nil"/>
              <w:bottom w:val="single" w:sz="8" w:space="0" w:color="4B0885"/>
              <w:right w:val="nil"/>
            </w:tcBorders>
            <w:shd w:val="clear" w:color="auto" w:fill="auto"/>
            <w:vAlign w:val="center"/>
            <w:hideMark/>
          </w:tcPr>
          <w:p w14:paraId="1C71B54D" w14:textId="77777777"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 xml:space="preserve"> -</w:t>
            </w:r>
          </w:p>
        </w:tc>
        <w:tc>
          <w:tcPr>
            <w:tcW w:w="992" w:type="dxa"/>
            <w:tcBorders>
              <w:top w:val="nil"/>
              <w:left w:val="nil"/>
              <w:bottom w:val="single" w:sz="8" w:space="0" w:color="4B0885"/>
              <w:right w:val="nil"/>
            </w:tcBorders>
            <w:shd w:val="clear" w:color="auto" w:fill="auto"/>
            <w:vAlign w:val="center"/>
            <w:hideMark/>
          </w:tcPr>
          <w:p w14:paraId="5144FE5F" w14:textId="25999C65" w:rsidR="00325C15" w:rsidRPr="00C40D54" w:rsidRDefault="00325C15" w:rsidP="00325C15">
            <w:pPr>
              <w:keepNext/>
              <w:keepLines/>
              <w:spacing w:after="0" w:line="240" w:lineRule="auto"/>
              <w:jc w:val="center"/>
              <w:rPr>
                <w:rFonts w:eastAsia="Times New Roman" w:cs="Arial"/>
                <w:color w:val="000000"/>
                <w:sz w:val="20"/>
                <w:szCs w:val="20"/>
                <w:lang w:eastAsia="en-AU"/>
              </w:rPr>
            </w:pPr>
            <w:r w:rsidRPr="00C40D54">
              <w:rPr>
                <w:rFonts w:cs="Arial"/>
                <w:color w:val="000000"/>
                <w:sz w:val="20"/>
                <w:szCs w:val="20"/>
              </w:rPr>
              <w:t>0.0</w:t>
            </w:r>
            <w:r>
              <w:rPr>
                <w:rFonts w:cs="Arial"/>
                <w:color w:val="000000"/>
                <w:sz w:val="20"/>
                <w:szCs w:val="20"/>
              </w:rPr>
              <w:t>pp</w:t>
            </w:r>
          </w:p>
        </w:tc>
      </w:tr>
    </w:tbl>
    <w:p w14:paraId="5C3C73B1" w14:textId="77777777" w:rsidR="00325C15" w:rsidRDefault="00325C15" w:rsidP="00325C15">
      <w:pPr>
        <w:rPr>
          <w:rFonts w:eastAsia="Arial" w:cs="Times New Roman"/>
          <w:b/>
          <w:color w:val="000000"/>
          <w:sz w:val="18"/>
          <w:szCs w:val="20"/>
        </w:rPr>
      </w:pPr>
      <w:r w:rsidRPr="00C40D54">
        <w:rPr>
          <w:rFonts w:eastAsia="Arial" w:cs="Times New Roman"/>
          <w:b/>
          <w:color w:val="000000"/>
          <w:sz w:val="18"/>
          <w:szCs w:val="20"/>
        </w:rPr>
        <w:t>Table 3: Key labour market indicators by capital cities and rest of state areas, September 2024</w:t>
      </w:r>
      <w:r>
        <w:rPr>
          <w:rFonts w:eastAsia="Arial" w:cs="Times New Roman"/>
          <w:b/>
          <w:color w:val="000000"/>
          <w:sz w:val="18"/>
          <w:szCs w:val="20"/>
        </w:rPr>
        <w:t xml:space="preserve"> </w:t>
      </w:r>
    </w:p>
    <w:p w14:paraId="3D61D247" w14:textId="77777777" w:rsidR="00630B99" w:rsidRPr="00325C15" w:rsidRDefault="00630B99" w:rsidP="00325C15">
      <w:pPr>
        <w:spacing w:before="240"/>
        <w:rPr>
          <w:rFonts w:eastAsia="Arial" w:cs="Times New Roman"/>
          <w:b/>
          <w:color w:val="000000"/>
          <w:sz w:val="18"/>
          <w:szCs w:val="20"/>
        </w:rPr>
      </w:pPr>
      <w:r w:rsidRPr="0E44D082">
        <w:rPr>
          <w:rFonts w:eastAsia="Arial" w:cs="Times New Roman"/>
          <w:sz w:val="18"/>
          <w:szCs w:val="18"/>
        </w:rPr>
        <w:t>Source: ABS, Labour Force, Australia, Detailed, September 2024, table MRM1 - Modelled estimates of labour force status, by SA4.</w:t>
      </w:r>
    </w:p>
    <w:p w14:paraId="46154AC0" w14:textId="0D54D8CB" w:rsidR="00F348AA" w:rsidRPr="00FC6DA6" w:rsidRDefault="007502C1" w:rsidP="00F348AA">
      <w:pPr>
        <w:pStyle w:val="Heading2"/>
      </w:pPr>
      <w:bookmarkStart w:id="21" w:name="_Toc182561809"/>
      <w:r w:rsidRPr="00FC6DA6">
        <w:lastRenderedPageBreak/>
        <w:t xml:space="preserve">Employment outcomes have varied by </w:t>
      </w:r>
      <w:r w:rsidR="00775843" w:rsidRPr="00FC6DA6">
        <w:t>industry,</w:t>
      </w:r>
      <w:r w:rsidRPr="00FC6DA6">
        <w:t xml:space="preserve"> </w:t>
      </w:r>
      <w:r w:rsidR="00775843" w:rsidRPr="00FC6DA6">
        <w:t>occupation and skill level</w:t>
      </w:r>
      <w:r w:rsidR="000704FB" w:rsidRPr="00FC6DA6">
        <w:rPr>
          <w:rStyle w:val="FootnoteReference"/>
        </w:rPr>
        <w:footnoteReference w:id="2"/>
      </w:r>
      <w:bookmarkEnd w:id="21"/>
    </w:p>
    <w:p w14:paraId="17936016" w14:textId="49F79E44" w:rsidR="00FA01FC" w:rsidRPr="00FC6DA6" w:rsidRDefault="00FC6DA6" w:rsidP="00FC6DA6">
      <w:pPr>
        <w:rPr>
          <w:rFonts w:cs="Arial"/>
        </w:rPr>
      </w:pPr>
      <w:r w:rsidRPr="00FC6DA6">
        <w:rPr>
          <w:rFonts w:cs="Arial"/>
        </w:rPr>
        <w:t xml:space="preserve">Employment increased in 14 </w:t>
      </w:r>
      <w:r w:rsidR="00E325A5">
        <w:rPr>
          <w:rFonts w:cs="Arial"/>
        </w:rPr>
        <w:t xml:space="preserve">of the 19 </w:t>
      </w:r>
      <w:r w:rsidRPr="00FC6DA6">
        <w:rPr>
          <w:rFonts w:cs="Arial"/>
        </w:rPr>
        <w:t>industries and declined in 5 over the year to August 2024 (Figure 3).</w:t>
      </w:r>
      <w:r w:rsidR="00966CC1">
        <w:rPr>
          <w:rFonts w:cs="Arial"/>
        </w:rPr>
        <w:t xml:space="preserve"> Employment grew the most in the</w:t>
      </w:r>
      <w:r w:rsidRPr="00FC6DA6">
        <w:rPr>
          <w:rFonts w:cs="Arial"/>
        </w:rPr>
        <w:t xml:space="preserve"> </w:t>
      </w:r>
      <w:r w:rsidR="00006CD6">
        <w:rPr>
          <w:rFonts w:cs="Arial"/>
        </w:rPr>
        <w:t>H</w:t>
      </w:r>
      <w:r w:rsidR="00006CD6" w:rsidRPr="00FC6DA6">
        <w:rPr>
          <w:rFonts w:cs="Arial"/>
        </w:rPr>
        <w:t xml:space="preserve">ealth </w:t>
      </w:r>
      <w:r w:rsidR="00006CD6">
        <w:rPr>
          <w:rFonts w:cs="Arial"/>
        </w:rPr>
        <w:t>C</w:t>
      </w:r>
      <w:r w:rsidR="00006CD6" w:rsidRPr="00FC6DA6">
        <w:rPr>
          <w:rFonts w:cs="Arial"/>
        </w:rPr>
        <w:t xml:space="preserve">are and </w:t>
      </w:r>
      <w:r w:rsidR="00006CD6">
        <w:rPr>
          <w:rFonts w:cs="Arial"/>
        </w:rPr>
        <w:t>S</w:t>
      </w:r>
      <w:r w:rsidR="00006CD6" w:rsidRPr="00FC6DA6">
        <w:rPr>
          <w:rFonts w:cs="Arial"/>
        </w:rPr>
        <w:t xml:space="preserve">ocial </w:t>
      </w:r>
      <w:r w:rsidR="00006CD6">
        <w:rPr>
          <w:rFonts w:cs="Arial"/>
        </w:rPr>
        <w:t>A</w:t>
      </w:r>
      <w:r w:rsidR="00006CD6" w:rsidRPr="00FC6DA6">
        <w:rPr>
          <w:rFonts w:cs="Arial"/>
        </w:rPr>
        <w:t>ssistance</w:t>
      </w:r>
      <w:r w:rsidR="00006CD6">
        <w:rPr>
          <w:rFonts w:cs="Arial"/>
        </w:rPr>
        <w:t>,</w:t>
      </w:r>
      <w:r w:rsidR="00006CD6" w:rsidRPr="00FC6DA6">
        <w:rPr>
          <w:rFonts w:cs="Arial"/>
        </w:rPr>
        <w:t xml:space="preserve"> </w:t>
      </w:r>
      <w:r w:rsidR="00006CD6">
        <w:rPr>
          <w:rFonts w:cs="Arial"/>
        </w:rPr>
        <w:t>P</w:t>
      </w:r>
      <w:r w:rsidR="00006CD6" w:rsidRPr="00FC6DA6">
        <w:rPr>
          <w:rFonts w:cs="Arial"/>
        </w:rPr>
        <w:t xml:space="preserve">ublic </w:t>
      </w:r>
      <w:r w:rsidR="00006CD6">
        <w:rPr>
          <w:rFonts w:cs="Arial"/>
        </w:rPr>
        <w:t>A</w:t>
      </w:r>
      <w:r w:rsidR="00006CD6" w:rsidRPr="00FC6DA6">
        <w:rPr>
          <w:rFonts w:cs="Arial"/>
        </w:rPr>
        <w:t xml:space="preserve">dministration and </w:t>
      </w:r>
      <w:r w:rsidR="00006CD6">
        <w:rPr>
          <w:rFonts w:cs="Arial"/>
        </w:rPr>
        <w:t>S</w:t>
      </w:r>
      <w:r w:rsidR="00006CD6" w:rsidRPr="00FC6DA6">
        <w:rPr>
          <w:rFonts w:cs="Arial"/>
        </w:rPr>
        <w:t>afety</w:t>
      </w:r>
      <w:r w:rsidR="00006CD6">
        <w:rPr>
          <w:rFonts w:cs="Arial"/>
        </w:rPr>
        <w:t xml:space="preserve"> </w:t>
      </w:r>
      <w:r w:rsidR="00006CD6" w:rsidRPr="00FC6DA6">
        <w:rPr>
          <w:rFonts w:cs="Arial"/>
        </w:rPr>
        <w:t xml:space="preserve">and </w:t>
      </w:r>
      <w:r w:rsidR="00006CD6">
        <w:rPr>
          <w:rFonts w:cs="Arial"/>
        </w:rPr>
        <w:t>E</w:t>
      </w:r>
      <w:r w:rsidR="00006CD6" w:rsidRPr="00FC6DA6">
        <w:rPr>
          <w:rFonts w:cs="Arial"/>
        </w:rPr>
        <w:t xml:space="preserve">ducation and </w:t>
      </w:r>
      <w:r w:rsidR="00006CD6">
        <w:rPr>
          <w:rFonts w:cs="Arial"/>
        </w:rPr>
        <w:t>T</w:t>
      </w:r>
      <w:r w:rsidR="00006CD6" w:rsidRPr="00FC6DA6">
        <w:rPr>
          <w:rFonts w:cs="Arial"/>
        </w:rPr>
        <w:t>raining</w:t>
      </w:r>
      <w:r w:rsidR="00006CD6">
        <w:rPr>
          <w:rFonts w:cs="Arial"/>
        </w:rPr>
        <w:t xml:space="preserve"> </w:t>
      </w:r>
      <w:r w:rsidR="00966CC1">
        <w:rPr>
          <w:rFonts w:cs="Arial"/>
        </w:rPr>
        <w:t>industries</w:t>
      </w:r>
      <w:r w:rsidRPr="00FC6DA6">
        <w:rPr>
          <w:rFonts w:cs="Arial"/>
        </w:rPr>
        <w:t xml:space="preserve"> over the year</w:t>
      </w:r>
      <w:r w:rsidR="00966CC1">
        <w:rPr>
          <w:rFonts w:cs="Arial"/>
        </w:rPr>
        <w:t xml:space="preserve"> to August 2024</w:t>
      </w:r>
      <w:r w:rsidRPr="00FC6DA6">
        <w:rPr>
          <w:rFonts w:cs="Arial"/>
        </w:rPr>
        <w:t>. The largest falls in employment were in</w:t>
      </w:r>
      <w:r w:rsidR="00966CC1">
        <w:rPr>
          <w:rFonts w:cs="Arial"/>
        </w:rPr>
        <w:t xml:space="preserve"> the</w:t>
      </w:r>
      <w:r w:rsidRPr="00FC6DA6">
        <w:rPr>
          <w:rFonts w:cs="Arial"/>
        </w:rPr>
        <w:t xml:space="preserve"> </w:t>
      </w:r>
      <w:r w:rsidR="00006CD6">
        <w:rPr>
          <w:rFonts w:cs="Arial"/>
        </w:rPr>
        <w:t>F</w:t>
      </w:r>
      <w:r w:rsidR="00006CD6" w:rsidRPr="00FC6DA6">
        <w:rPr>
          <w:rFonts w:cs="Arial"/>
        </w:rPr>
        <w:t xml:space="preserve">inancial and </w:t>
      </w:r>
      <w:r w:rsidR="00006CD6">
        <w:rPr>
          <w:rFonts w:cs="Arial"/>
        </w:rPr>
        <w:t>I</w:t>
      </w:r>
      <w:r w:rsidR="00006CD6" w:rsidRPr="00FC6DA6">
        <w:rPr>
          <w:rFonts w:cs="Arial"/>
        </w:rPr>
        <w:t xml:space="preserve">nsurance services and </w:t>
      </w:r>
      <w:r w:rsidR="00006CD6">
        <w:rPr>
          <w:rFonts w:cs="Arial"/>
        </w:rPr>
        <w:t>M</w:t>
      </w:r>
      <w:r w:rsidR="00006CD6" w:rsidRPr="00FC6DA6">
        <w:rPr>
          <w:rFonts w:cs="Arial"/>
        </w:rPr>
        <w:t>anufacturin</w:t>
      </w:r>
      <w:r w:rsidRPr="00FC6DA6">
        <w:rPr>
          <w:rFonts w:cs="Arial"/>
        </w:rPr>
        <w:t>g</w:t>
      </w:r>
      <w:r w:rsidR="00966CC1">
        <w:rPr>
          <w:rFonts w:cs="Arial"/>
        </w:rPr>
        <w:t xml:space="preserve"> industries.</w:t>
      </w:r>
    </w:p>
    <w:p w14:paraId="18760F58" w14:textId="77777777" w:rsidR="00FC6DA6" w:rsidRPr="002A6BE4" w:rsidRDefault="00FC6DA6" w:rsidP="002A6BE4">
      <w:pPr>
        <w:spacing w:before="240"/>
        <w:rPr>
          <w:rFonts w:cs="Arial"/>
          <w:b/>
          <w:sz w:val="18"/>
          <w:szCs w:val="18"/>
        </w:rPr>
      </w:pPr>
      <w:r w:rsidRPr="002A6BE4">
        <w:rPr>
          <w:rFonts w:cs="Arial"/>
          <w:b/>
          <w:sz w:val="18"/>
          <w:szCs w:val="18"/>
        </w:rPr>
        <w:t>Figure 3: Employment change by industry (Jobs and Skills Australia trend series), August 2023 to August 2024</w:t>
      </w:r>
    </w:p>
    <w:p w14:paraId="043754BA" w14:textId="77777777" w:rsidR="00FC6DA6" w:rsidRPr="00FC6DA6" w:rsidRDefault="00FC6DA6" w:rsidP="00FA01FC">
      <w:pPr>
        <w:spacing w:before="240"/>
        <w:rPr>
          <w:rFonts w:cs="Arial"/>
        </w:rPr>
      </w:pPr>
      <w:r w:rsidRPr="00FC6DA6">
        <w:rPr>
          <w:rFonts w:cs="Arial"/>
          <w:noProof/>
        </w:rPr>
        <w:drawing>
          <wp:inline distT="0" distB="0" distL="0" distR="0" wp14:anchorId="6C268114" wp14:editId="6F6AD5E2">
            <wp:extent cx="5731510" cy="4257675"/>
            <wp:effectExtent l="0" t="0" r="2540" b="0"/>
            <wp:docPr id="1785281904" name="Chart 1" descr="Figure 3 A bar graph displaying employment change from August 2023 to August 2024 for 19 industries. The Health Care and Social Assistance, Public Administration and Safety and Education and Training industries recorded the largest increases in employment. Declines in employment were recorded in the Financial and Insurance Services, Manufacturing, Information Media and Telecommunications and Mining industries.">
              <a:extLst xmlns:a="http://schemas.openxmlformats.org/drawingml/2006/main">
                <a:ext uri="{FF2B5EF4-FFF2-40B4-BE49-F238E27FC236}">
                  <a16:creationId xmlns:a16="http://schemas.microsoft.com/office/drawing/2014/main" id="{D0C6AB58-6DBF-4B99-A2D0-A4E6BBF5A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C6B75D3" w14:textId="1111A337" w:rsidR="00757417" w:rsidRPr="00866EAE" w:rsidRDefault="00757417" w:rsidP="00866EAE">
      <w:pPr>
        <w:rPr>
          <w:rFonts w:cs="Arial"/>
          <w:sz w:val="18"/>
          <w:szCs w:val="18"/>
        </w:rPr>
      </w:pPr>
      <w:r w:rsidRPr="00866EAE">
        <w:rPr>
          <w:sz w:val="18"/>
          <w:szCs w:val="18"/>
        </w:rPr>
        <w:t xml:space="preserve">Source: ABS, Labour Force, Australia, </w:t>
      </w:r>
      <w:r>
        <w:rPr>
          <w:sz w:val="18"/>
          <w:szCs w:val="18"/>
        </w:rPr>
        <w:t xml:space="preserve">Detailed, </w:t>
      </w:r>
      <w:r w:rsidR="00132FBF">
        <w:rPr>
          <w:sz w:val="18"/>
          <w:szCs w:val="18"/>
        </w:rPr>
        <w:t>August</w:t>
      </w:r>
      <w:r w:rsidR="00132FBF" w:rsidRPr="00866EAE">
        <w:rPr>
          <w:sz w:val="18"/>
          <w:szCs w:val="18"/>
        </w:rPr>
        <w:t xml:space="preserve"> </w:t>
      </w:r>
      <w:r w:rsidRPr="00866EAE">
        <w:rPr>
          <w:sz w:val="18"/>
          <w:szCs w:val="18"/>
        </w:rPr>
        <w:t xml:space="preserve">2024, </w:t>
      </w:r>
      <w:r>
        <w:rPr>
          <w:sz w:val="18"/>
          <w:szCs w:val="18"/>
        </w:rPr>
        <w:t>trended</w:t>
      </w:r>
      <w:r w:rsidRPr="00866EAE">
        <w:rPr>
          <w:sz w:val="18"/>
          <w:szCs w:val="18"/>
        </w:rPr>
        <w:t xml:space="preserve"> data; </w:t>
      </w:r>
      <w:r w:rsidR="00623868">
        <w:rPr>
          <w:sz w:val="18"/>
          <w:szCs w:val="18"/>
        </w:rPr>
        <w:t>Jobs and Skills Australia (</w:t>
      </w:r>
      <w:r w:rsidRPr="00866EAE">
        <w:rPr>
          <w:sz w:val="18"/>
          <w:szCs w:val="18"/>
        </w:rPr>
        <w:t>JSA</w:t>
      </w:r>
      <w:r w:rsidR="00623868">
        <w:rPr>
          <w:sz w:val="18"/>
          <w:szCs w:val="18"/>
        </w:rPr>
        <w:t>)</w:t>
      </w:r>
    </w:p>
    <w:p w14:paraId="50D412E5" w14:textId="4EF4AB04" w:rsidR="00FC6DA6" w:rsidRPr="00FC6DA6" w:rsidRDefault="00FC6DA6" w:rsidP="00A953D0">
      <w:pPr>
        <w:spacing w:before="240"/>
        <w:rPr>
          <w:rFonts w:cs="Arial"/>
        </w:rPr>
      </w:pPr>
      <w:r w:rsidRPr="00FC6DA6">
        <w:rPr>
          <w:rFonts w:cs="Arial"/>
        </w:rPr>
        <w:t xml:space="preserve">Employment increased in all 8 major occupation groups over the year to August 2024. </w:t>
      </w:r>
      <w:r w:rsidR="00966CC1">
        <w:rPr>
          <w:rFonts w:cs="Arial"/>
        </w:rPr>
        <w:t>However, e</w:t>
      </w:r>
      <w:r w:rsidRPr="00FC6DA6">
        <w:rPr>
          <w:rFonts w:cs="Arial"/>
        </w:rPr>
        <w:t xml:space="preserve">mployment rose in 7 major occupation groups and declined in one </w:t>
      </w:r>
      <w:r w:rsidR="00966CC1">
        <w:rPr>
          <w:rFonts w:cs="Arial"/>
        </w:rPr>
        <w:t>o</w:t>
      </w:r>
      <w:r w:rsidR="00966CC1" w:rsidRPr="00FC6DA6">
        <w:rPr>
          <w:rFonts w:cs="Arial"/>
        </w:rPr>
        <w:t xml:space="preserve">ver the 5 years to August 2024 </w:t>
      </w:r>
      <w:r w:rsidRPr="00FC6DA6">
        <w:rPr>
          <w:rFonts w:cs="Arial"/>
        </w:rPr>
        <w:t>(Table 4)</w:t>
      </w:r>
      <w:r w:rsidR="00EB0EAA">
        <w:rPr>
          <w:rFonts w:cs="Arial"/>
        </w:rPr>
        <w:t>.</w:t>
      </w:r>
    </w:p>
    <w:p w14:paraId="72E5C729" w14:textId="08249E4A" w:rsidR="00FC6DA6" w:rsidRPr="00FC6DA6" w:rsidRDefault="00FC6DA6" w:rsidP="00FC6DA6">
      <w:pPr>
        <w:rPr>
          <w:rFonts w:cs="Arial"/>
        </w:rPr>
      </w:pPr>
      <w:r w:rsidRPr="00FC6DA6">
        <w:rPr>
          <w:rFonts w:cs="Arial"/>
        </w:rPr>
        <w:t>Over the year to August 2024 the largest increases in employment were Professionals (up by 120,200 or 3.3%), Community and Personal Services Workers (up by 75,200 or 4.7%) and Technicians and Trades Workers (up by 57,800 or 3.0%).</w:t>
      </w:r>
    </w:p>
    <w:p w14:paraId="74166647" w14:textId="7FD9312E" w:rsidR="00FC6DA6" w:rsidRDefault="00FC6DA6" w:rsidP="00FC6DA6">
      <w:pPr>
        <w:rPr>
          <w:rFonts w:cs="Arial"/>
        </w:rPr>
      </w:pPr>
      <w:r w:rsidRPr="00FC6DA6">
        <w:rPr>
          <w:rFonts w:cs="Arial"/>
        </w:rPr>
        <w:t>Over the 5 years to August 2024 the largest increases in employment were Professionals (up by 686,800 or 21.9%), Managers (up by 337,900 or 22.0%) and Community and Personal Service Workers (up by 268,600 or 19.2%).</w:t>
      </w:r>
    </w:p>
    <w:p w14:paraId="5AC6B299" w14:textId="77777777" w:rsidR="00330F63" w:rsidRPr="002A6BE4" w:rsidRDefault="00330F63" w:rsidP="00330F63">
      <w:pPr>
        <w:spacing w:before="240"/>
        <w:rPr>
          <w:rFonts w:cs="Arial"/>
          <w:b/>
          <w:sz w:val="18"/>
          <w:szCs w:val="18"/>
        </w:rPr>
      </w:pPr>
      <w:r w:rsidRPr="002A6BE4">
        <w:rPr>
          <w:rFonts w:cs="Arial"/>
          <w:b/>
          <w:sz w:val="18"/>
          <w:szCs w:val="18"/>
        </w:rPr>
        <w:lastRenderedPageBreak/>
        <w:t>Table 4: Employment by major occupation group</w:t>
      </w:r>
      <w:r w:rsidRPr="002A6BE4">
        <w:rPr>
          <w:rFonts w:cs="Arial"/>
          <w:b/>
          <w:sz w:val="18"/>
          <w:szCs w:val="18"/>
          <w:vertAlign w:val="superscript"/>
        </w:rPr>
        <w:footnoteReference w:id="3"/>
      </w:r>
    </w:p>
    <w:tbl>
      <w:tblPr>
        <w:tblW w:w="9356" w:type="dxa"/>
        <w:tblLayout w:type="fixed"/>
        <w:tblLook w:val="04A0" w:firstRow="1" w:lastRow="0" w:firstColumn="1" w:lastColumn="0" w:noHBand="0" w:noVBand="1"/>
      </w:tblPr>
      <w:tblGrid>
        <w:gridCol w:w="2694"/>
        <w:gridCol w:w="1275"/>
        <w:gridCol w:w="1276"/>
        <w:gridCol w:w="992"/>
        <w:gridCol w:w="993"/>
        <w:gridCol w:w="1134"/>
        <w:gridCol w:w="992"/>
      </w:tblGrid>
      <w:tr w:rsidR="00330F63" w:rsidRPr="002A6BE4" w14:paraId="3E704CA7" w14:textId="77777777">
        <w:trPr>
          <w:trHeight w:val="340"/>
        </w:trPr>
        <w:tc>
          <w:tcPr>
            <w:tcW w:w="2694" w:type="dxa"/>
            <w:vMerge w:val="restart"/>
            <w:shd w:val="clear" w:color="auto" w:fill="012749"/>
            <w:vAlign w:val="center"/>
          </w:tcPr>
          <w:p w14:paraId="13BE8548"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Occupation</w:t>
            </w:r>
          </w:p>
        </w:tc>
        <w:tc>
          <w:tcPr>
            <w:tcW w:w="2551" w:type="dxa"/>
            <w:gridSpan w:val="2"/>
            <w:tcBorders>
              <w:bottom w:val="single" w:sz="4" w:space="0" w:color="FFFFFF" w:themeColor="background1"/>
            </w:tcBorders>
            <w:shd w:val="clear" w:color="auto" w:fill="012749"/>
            <w:vAlign w:val="center"/>
          </w:tcPr>
          <w:p w14:paraId="0F0BCBA3" w14:textId="77777777" w:rsidR="00330F63" w:rsidRPr="002A6BE4" w:rsidRDefault="00330F63">
            <w:pPr>
              <w:rPr>
                <w:rFonts w:asciiTheme="minorHAnsi" w:hAnsiTheme="minorHAnsi" w:cstheme="minorHAnsi"/>
                <w:b/>
                <w:bCs/>
                <w:sz w:val="20"/>
                <w:szCs w:val="20"/>
              </w:rPr>
            </w:pPr>
            <w:r w:rsidRPr="002A6BE4">
              <w:rPr>
                <w:rFonts w:asciiTheme="minorHAnsi" w:hAnsiTheme="minorHAnsi" w:cstheme="minorHAnsi"/>
                <w:b/>
                <w:bCs/>
                <w:sz w:val="20"/>
                <w:szCs w:val="20"/>
              </w:rPr>
              <w:t>Employment</w:t>
            </w:r>
          </w:p>
        </w:tc>
        <w:tc>
          <w:tcPr>
            <w:tcW w:w="1985" w:type="dxa"/>
            <w:gridSpan w:val="2"/>
            <w:vMerge w:val="restart"/>
            <w:shd w:val="clear" w:color="auto" w:fill="012749"/>
            <w:vAlign w:val="center"/>
          </w:tcPr>
          <w:p w14:paraId="528FF3B2"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Annual change to Aug-24</w:t>
            </w:r>
          </w:p>
        </w:tc>
        <w:tc>
          <w:tcPr>
            <w:tcW w:w="2126" w:type="dxa"/>
            <w:gridSpan w:val="2"/>
            <w:vMerge w:val="restart"/>
            <w:shd w:val="clear" w:color="auto" w:fill="012749"/>
            <w:vAlign w:val="center"/>
          </w:tcPr>
          <w:p w14:paraId="7784D871"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5-year change to Aug-24</w:t>
            </w:r>
          </w:p>
        </w:tc>
      </w:tr>
      <w:tr w:rsidR="00330F63" w:rsidRPr="002A6BE4" w14:paraId="624ED6E8" w14:textId="77777777">
        <w:trPr>
          <w:trHeight w:val="340"/>
        </w:trPr>
        <w:tc>
          <w:tcPr>
            <w:tcW w:w="2694" w:type="dxa"/>
            <w:vMerge/>
            <w:shd w:val="clear" w:color="auto" w:fill="012749"/>
            <w:vAlign w:val="center"/>
            <w:hideMark/>
          </w:tcPr>
          <w:p w14:paraId="75398831" w14:textId="77777777" w:rsidR="00330F63" w:rsidRPr="002A6BE4" w:rsidRDefault="00330F63">
            <w:pPr>
              <w:rPr>
                <w:rFonts w:asciiTheme="minorHAnsi" w:hAnsiTheme="minorHAnsi" w:cstheme="minorHAnsi"/>
                <w:sz w:val="20"/>
                <w:szCs w:val="20"/>
              </w:rPr>
            </w:pPr>
          </w:p>
        </w:tc>
        <w:tc>
          <w:tcPr>
            <w:tcW w:w="1275" w:type="dxa"/>
            <w:tcBorders>
              <w:top w:val="single" w:sz="4" w:space="0" w:color="FFFFFF" w:themeColor="background1"/>
            </w:tcBorders>
            <w:shd w:val="clear" w:color="auto" w:fill="012749"/>
            <w:vAlign w:val="center"/>
            <w:hideMark/>
          </w:tcPr>
          <w:p w14:paraId="3B2AC4B9"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Aug-24</w:t>
            </w:r>
          </w:p>
        </w:tc>
        <w:tc>
          <w:tcPr>
            <w:tcW w:w="1276" w:type="dxa"/>
            <w:tcBorders>
              <w:top w:val="single" w:sz="4" w:space="0" w:color="FFFFFF" w:themeColor="background1"/>
            </w:tcBorders>
            <w:shd w:val="clear" w:color="auto" w:fill="012749"/>
            <w:vAlign w:val="center"/>
            <w:hideMark/>
          </w:tcPr>
          <w:p w14:paraId="72C9D009"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Aug-23</w:t>
            </w:r>
          </w:p>
        </w:tc>
        <w:tc>
          <w:tcPr>
            <w:tcW w:w="1985" w:type="dxa"/>
            <w:gridSpan w:val="2"/>
            <w:vMerge/>
            <w:shd w:val="clear" w:color="auto" w:fill="012749"/>
            <w:vAlign w:val="center"/>
            <w:hideMark/>
          </w:tcPr>
          <w:p w14:paraId="433ED983" w14:textId="77777777" w:rsidR="00330F63" w:rsidRPr="002A6BE4" w:rsidRDefault="00330F63">
            <w:pPr>
              <w:rPr>
                <w:rFonts w:asciiTheme="minorHAnsi" w:hAnsiTheme="minorHAnsi" w:cstheme="minorHAnsi"/>
                <w:sz w:val="20"/>
                <w:szCs w:val="20"/>
              </w:rPr>
            </w:pPr>
          </w:p>
        </w:tc>
        <w:tc>
          <w:tcPr>
            <w:tcW w:w="2126" w:type="dxa"/>
            <w:gridSpan w:val="2"/>
            <w:vMerge/>
            <w:shd w:val="clear" w:color="auto" w:fill="012749"/>
            <w:vAlign w:val="center"/>
            <w:hideMark/>
          </w:tcPr>
          <w:p w14:paraId="5D2B5453" w14:textId="77777777" w:rsidR="00330F63" w:rsidRPr="002A6BE4" w:rsidRDefault="00330F63">
            <w:pPr>
              <w:rPr>
                <w:rFonts w:asciiTheme="minorHAnsi" w:hAnsiTheme="minorHAnsi" w:cstheme="minorHAnsi"/>
                <w:sz w:val="20"/>
                <w:szCs w:val="20"/>
              </w:rPr>
            </w:pPr>
          </w:p>
        </w:tc>
      </w:tr>
      <w:tr w:rsidR="00330F63" w:rsidRPr="002A6BE4" w14:paraId="71E5732E" w14:textId="77777777">
        <w:trPr>
          <w:trHeight w:val="340"/>
        </w:trPr>
        <w:tc>
          <w:tcPr>
            <w:tcW w:w="2694" w:type="dxa"/>
            <w:vMerge/>
            <w:shd w:val="clear" w:color="auto" w:fill="012749"/>
            <w:vAlign w:val="center"/>
          </w:tcPr>
          <w:p w14:paraId="05976B8F" w14:textId="77777777" w:rsidR="00330F63" w:rsidRPr="002A6BE4" w:rsidRDefault="00330F63">
            <w:pPr>
              <w:rPr>
                <w:rFonts w:asciiTheme="minorHAnsi" w:hAnsiTheme="minorHAnsi" w:cstheme="minorHAnsi"/>
                <w:sz w:val="20"/>
                <w:szCs w:val="20"/>
              </w:rPr>
            </w:pPr>
          </w:p>
        </w:tc>
        <w:tc>
          <w:tcPr>
            <w:tcW w:w="1275" w:type="dxa"/>
            <w:shd w:val="clear" w:color="auto" w:fill="012749"/>
            <w:vAlign w:val="center"/>
          </w:tcPr>
          <w:p w14:paraId="1D06084B"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(‘000)</w:t>
            </w:r>
          </w:p>
        </w:tc>
        <w:tc>
          <w:tcPr>
            <w:tcW w:w="1276" w:type="dxa"/>
            <w:shd w:val="clear" w:color="auto" w:fill="012749"/>
            <w:vAlign w:val="center"/>
          </w:tcPr>
          <w:p w14:paraId="0B78F9B2"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(‘000)</w:t>
            </w:r>
          </w:p>
        </w:tc>
        <w:tc>
          <w:tcPr>
            <w:tcW w:w="992" w:type="dxa"/>
            <w:shd w:val="clear" w:color="auto" w:fill="012749"/>
            <w:vAlign w:val="center"/>
          </w:tcPr>
          <w:p w14:paraId="3B0FC9FA"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(‘000)</w:t>
            </w:r>
          </w:p>
        </w:tc>
        <w:tc>
          <w:tcPr>
            <w:tcW w:w="993" w:type="dxa"/>
            <w:shd w:val="clear" w:color="auto" w:fill="012749"/>
            <w:vAlign w:val="center"/>
          </w:tcPr>
          <w:p w14:paraId="67C44B04"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w:t>
            </w:r>
          </w:p>
        </w:tc>
        <w:tc>
          <w:tcPr>
            <w:tcW w:w="1134" w:type="dxa"/>
            <w:shd w:val="clear" w:color="auto" w:fill="012749"/>
            <w:vAlign w:val="center"/>
          </w:tcPr>
          <w:p w14:paraId="707ED86E"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(‘000)</w:t>
            </w:r>
          </w:p>
        </w:tc>
        <w:tc>
          <w:tcPr>
            <w:tcW w:w="992" w:type="dxa"/>
            <w:shd w:val="clear" w:color="auto" w:fill="012749"/>
            <w:vAlign w:val="center"/>
          </w:tcPr>
          <w:p w14:paraId="4D41D717"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w:t>
            </w:r>
          </w:p>
        </w:tc>
      </w:tr>
      <w:tr w:rsidR="00330F63" w:rsidRPr="002A6BE4" w14:paraId="3CFDFAD5" w14:textId="77777777">
        <w:trPr>
          <w:trHeight w:val="278"/>
        </w:trPr>
        <w:tc>
          <w:tcPr>
            <w:tcW w:w="2694" w:type="dxa"/>
            <w:tcBorders>
              <w:top w:val="nil"/>
              <w:left w:val="nil"/>
              <w:bottom w:val="nil"/>
              <w:right w:val="nil"/>
            </w:tcBorders>
            <w:shd w:val="clear" w:color="auto" w:fill="FFFFFF" w:themeFill="background1"/>
            <w:noWrap/>
            <w:vAlign w:val="center"/>
            <w:hideMark/>
          </w:tcPr>
          <w:p w14:paraId="0A80A626"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Managers</w:t>
            </w:r>
          </w:p>
        </w:tc>
        <w:tc>
          <w:tcPr>
            <w:tcW w:w="1275" w:type="dxa"/>
            <w:tcBorders>
              <w:top w:val="nil"/>
              <w:left w:val="nil"/>
              <w:bottom w:val="nil"/>
              <w:right w:val="nil"/>
            </w:tcBorders>
            <w:shd w:val="clear" w:color="auto" w:fill="FFFFFF" w:themeFill="background1"/>
            <w:noWrap/>
            <w:vAlign w:val="center"/>
            <w:hideMark/>
          </w:tcPr>
          <w:p w14:paraId="0472ABCB"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1,871.3</w:t>
            </w:r>
          </w:p>
        </w:tc>
        <w:tc>
          <w:tcPr>
            <w:tcW w:w="1276" w:type="dxa"/>
            <w:tcBorders>
              <w:top w:val="nil"/>
              <w:left w:val="nil"/>
              <w:bottom w:val="nil"/>
              <w:right w:val="nil"/>
            </w:tcBorders>
            <w:shd w:val="clear" w:color="auto" w:fill="FFFFFF" w:themeFill="background1"/>
            <w:noWrap/>
            <w:vAlign w:val="center"/>
            <w:hideMark/>
          </w:tcPr>
          <w:p w14:paraId="3E352FC3"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1,829.9</w:t>
            </w:r>
          </w:p>
        </w:tc>
        <w:tc>
          <w:tcPr>
            <w:tcW w:w="992" w:type="dxa"/>
            <w:tcBorders>
              <w:top w:val="nil"/>
              <w:left w:val="nil"/>
              <w:bottom w:val="nil"/>
              <w:right w:val="nil"/>
            </w:tcBorders>
            <w:shd w:val="clear" w:color="auto" w:fill="FFFFFF" w:themeFill="background1"/>
            <w:noWrap/>
            <w:vAlign w:val="center"/>
            <w:hideMark/>
          </w:tcPr>
          <w:p w14:paraId="19761B57"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41.4</w:t>
            </w:r>
          </w:p>
        </w:tc>
        <w:tc>
          <w:tcPr>
            <w:tcW w:w="993" w:type="dxa"/>
            <w:tcBorders>
              <w:top w:val="nil"/>
              <w:left w:val="nil"/>
              <w:bottom w:val="nil"/>
              <w:right w:val="nil"/>
            </w:tcBorders>
            <w:shd w:val="clear" w:color="auto" w:fill="FFFFFF" w:themeFill="background1"/>
            <w:noWrap/>
            <w:vAlign w:val="center"/>
            <w:hideMark/>
          </w:tcPr>
          <w:p w14:paraId="6303A7BA"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2.3</w:t>
            </w:r>
          </w:p>
        </w:tc>
        <w:tc>
          <w:tcPr>
            <w:tcW w:w="1134" w:type="dxa"/>
            <w:tcBorders>
              <w:top w:val="nil"/>
              <w:left w:val="nil"/>
              <w:bottom w:val="nil"/>
              <w:right w:val="nil"/>
            </w:tcBorders>
            <w:shd w:val="clear" w:color="auto" w:fill="FFFFFF" w:themeFill="background1"/>
            <w:noWrap/>
            <w:vAlign w:val="center"/>
            <w:hideMark/>
          </w:tcPr>
          <w:p w14:paraId="1E468395"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337.9</w:t>
            </w:r>
          </w:p>
        </w:tc>
        <w:tc>
          <w:tcPr>
            <w:tcW w:w="992" w:type="dxa"/>
            <w:tcBorders>
              <w:top w:val="nil"/>
              <w:left w:val="nil"/>
              <w:bottom w:val="nil"/>
              <w:right w:val="nil"/>
            </w:tcBorders>
            <w:shd w:val="clear" w:color="auto" w:fill="FFFFFF" w:themeFill="background1"/>
            <w:noWrap/>
            <w:vAlign w:val="center"/>
            <w:hideMark/>
          </w:tcPr>
          <w:p w14:paraId="1232AC05"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22.0</w:t>
            </w:r>
          </w:p>
        </w:tc>
      </w:tr>
      <w:tr w:rsidR="00330F63" w:rsidRPr="002A6BE4" w14:paraId="42010A5D" w14:textId="77777777">
        <w:trPr>
          <w:trHeight w:val="278"/>
        </w:trPr>
        <w:tc>
          <w:tcPr>
            <w:tcW w:w="2694" w:type="dxa"/>
            <w:tcBorders>
              <w:top w:val="nil"/>
              <w:left w:val="nil"/>
              <w:bottom w:val="nil"/>
              <w:right w:val="nil"/>
            </w:tcBorders>
            <w:shd w:val="clear" w:color="auto" w:fill="D9D9D9" w:themeFill="background1" w:themeFillShade="D9"/>
            <w:noWrap/>
            <w:vAlign w:val="center"/>
            <w:hideMark/>
          </w:tcPr>
          <w:p w14:paraId="768C8E00"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Professionals</w:t>
            </w:r>
          </w:p>
        </w:tc>
        <w:tc>
          <w:tcPr>
            <w:tcW w:w="1275" w:type="dxa"/>
            <w:tcBorders>
              <w:top w:val="nil"/>
              <w:left w:val="nil"/>
              <w:bottom w:val="nil"/>
              <w:right w:val="nil"/>
            </w:tcBorders>
            <w:shd w:val="clear" w:color="auto" w:fill="D9D9D9" w:themeFill="background1" w:themeFillShade="D9"/>
            <w:noWrap/>
            <w:vAlign w:val="center"/>
            <w:hideMark/>
          </w:tcPr>
          <w:p w14:paraId="093080ED"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3,819.5</w:t>
            </w:r>
          </w:p>
        </w:tc>
        <w:tc>
          <w:tcPr>
            <w:tcW w:w="1276" w:type="dxa"/>
            <w:tcBorders>
              <w:top w:val="nil"/>
              <w:left w:val="nil"/>
              <w:bottom w:val="nil"/>
              <w:right w:val="nil"/>
            </w:tcBorders>
            <w:shd w:val="clear" w:color="auto" w:fill="D9D9D9" w:themeFill="background1" w:themeFillShade="D9"/>
            <w:noWrap/>
            <w:vAlign w:val="center"/>
            <w:hideMark/>
          </w:tcPr>
          <w:p w14:paraId="24CEBF5E"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3,699.2</w:t>
            </w:r>
          </w:p>
        </w:tc>
        <w:tc>
          <w:tcPr>
            <w:tcW w:w="992" w:type="dxa"/>
            <w:tcBorders>
              <w:top w:val="nil"/>
              <w:left w:val="nil"/>
              <w:bottom w:val="nil"/>
              <w:right w:val="nil"/>
            </w:tcBorders>
            <w:shd w:val="clear" w:color="auto" w:fill="D9D9D9" w:themeFill="background1" w:themeFillShade="D9"/>
            <w:noWrap/>
            <w:vAlign w:val="center"/>
            <w:hideMark/>
          </w:tcPr>
          <w:p w14:paraId="2A9046A0"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120.2</w:t>
            </w:r>
          </w:p>
        </w:tc>
        <w:tc>
          <w:tcPr>
            <w:tcW w:w="993" w:type="dxa"/>
            <w:tcBorders>
              <w:top w:val="nil"/>
              <w:left w:val="nil"/>
              <w:bottom w:val="nil"/>
              <w:right w:val="nil"/>
            </w:tcBorders>
            <w:shd w:val="clear" w:color="auto" w:fill="D9D9D9" w:themeFill="background1" w:themeFillShade="D9"/>
            <w:noWrap/>
            <w:vAlign w:val="center"/>
            <w:hideMark/>
          </w:tcPr>
          <w:p w14:paraId="7BF23AEB"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3.3</w:t>
            </w:r>
          </w:p>
        </w:tc>
        <w:tc>
          <w:tcPr>
            <w:tcW w:w="1134" w:type="dxa"/>
            <w:tcBorders>
              <w:top w:val="nil"/>
              <w:left w:val="nil"/>
              <w:bottom w:val="nil"/>
              <w:right w:val="nil"/>
            </w:tcBorders>
            <w:shd w:val="clear" w:color="auto" w:fill="D9D9D9" w:themeFill="background1" w:themeFillShade="D9"/>
            <w:noWrap/>
            <w:vAlign w:val="center"/>
            <w:hideMark/>
          </w:tcPr>
          <w:p w14:paraId="16CB3E90"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686.8</w:t>
            </w:r>
          </w:p>
        </w:tc>
        <w:tc>
          <w:tcPr>
            <w:tcW w:w="992" w:type="dxa"/>
            <w:tcBorders>
              <w:top w:val="nil"/>
              <w:left w:val="nil"/>
              <w:bottom w:val="nil"/>
              <w:right w:val="nil"/>
            </w:tcBorders>
            <w:shd w:val="clear" w:color="auto" w:fill="D9D9D9" w:themeFill="background1" w:themeFillShade="D9"/>
            <w:noWrap/>
            <w:vAlign w:val="center"/>
            <w:hideMark/>
          </w:tcPr>
          <w:p w14:paraId="0E2BD117"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21.9</w:t>
            </w:r>
          </w:p>
        </w:tc>
      </w:tr>
      <w:tr w:rsidR="00330F63" w:rsidRPr="002A6BE4" w14:paraId="7547BC98" w14:textId="77777777">
        <w:trPr>
          <w:trHeight w:val="278"/>
        </w:trPr>
        <w:tc>
          <w:tcPr>
            <w:tcW w:w="2694" w:type="dxa"/>
            <w:tcBorders>
              <w:top w:val="nil"/>
              <w:left w:val="nil"/>
              <w:bottom w:val="nil"/>
              <w:right w:val="nil"/>
            </w:tcBorders>
            <w:shd w:val="clear" w:color="auto" w:fill="FFFFFF" w:themeFill="background1"/>
            <w:noWrap/>
            <w:vAlign w:val="center"/>
            <w:hideMark/>
          </w:tcPr>
          <w:p w14:paraId="3CF775AA"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Technicians and Trades Workers</w:t>
            </w:r>
          </w:p>
        </w:tc>
        <w:tc>
          <w:tcPr>
            <w:tcW w:w="1275" w:type="dxa"/>
            <w:tcBorders>
              <w:top w:val="nil"/>
              <w:left w:val="nil"/>
              <w:bottom w:val="nil"/>
              <w:right w:val="nil"/>
            </w:tcBorders>
            <w:shd w:val="clear" w:color="auto" w:fill="FFFFFF" w:themeFill="background1"/>
            <w:noWrap/>
            <w:vAlign w:val="center"/>
            <w:hideMark/>
          </w:tcPr>
          <w:p w14:paraId="7C69D977"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1,971.3</w:t>
            </w:r>
          </w:p>
        </w:tc>
        <w:tc>
          <w:tcPr>
            <w:tcW w:w="1276" w:type="dxa"/>
            <w:tcBorders>
              <w:top w:val="nil"/>
              <w:left w:val="nil"/>
              <w:bottom w:val="nil"/>
              <w:right w:val="nil"/>
            </w:tcBorders>
            <w:shd w:val="clear" w:color="auto" w:fill="FFFFFF" w:themeFill="background1"/>
            <w:noWrap/>
            <w:vAlign w:val="center"/>
            <w:hideMark/>
          </w:tcPr>
          <w:p w14:paraId="03C89ADA"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1,913.5</w:t>
            </w:r>
          </w:p>
        </w:tc>
        <w:tc>
          <w:tcPr>
            <w:tcW w:w="992" w:type="dxa"/>
            <w:tcBorders>
              <w:top w:val="nil"/>
              <w:left w:val="nil"/>
              <w:bottom w:val="nil"/>
              <w:right w:val="nil"/>
            </w:tcBorders>
            <w:shd w:val="clear" w:color="auto" w:fill="FFFFFF" w:themeFill="background1"/>
            <w:noWrap/>
            <w:vAlign w:val="center"/>
            <w:hideMark/>
          </w:tcPr>
          <w:p w14:paraId="41E950F9"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57.8</w:t>
            </w:r>
          </w:p>
        </w:tc>
        <w:tc>
          <w:tcPr>
            <w:tcW w:w="993" w:type="dxa"/>
            <w:tcBorders>
              <w:top w:val="nil"/>
              <w:left w:val="nil"/>
              <w:bottom w:val="nil"/>
              <w:right w:val="nil"/>
            </w:tcBorders>
            <w:shd w:val="clear" w:color="auto" w:fill="FFFFFF" w:themeFill="background1"/>
            <w:noWrap/>
            <w:vAlign w:val="center"/>
            <w:hideMark/>
          </w:tcPr>
          <w:p w14:paraId="2ED427A4"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3.0</w:t>
            </w:r>
          </w:p>
        </w:tc>
        <w:tc>
          <w:tcPr>
            <w:tcW w:w="1134" w:type="dxa"/>
            <w:tcBorders>
              <w:top w:val="nil"/>
              <w:left w:val="nil"/>
              <w:bottom w:val="nil"/>
              <w:right w:val="nil"/>
            </w:tcBorders>
            <w:shd w:val="clear" w:color="auto" w:fill="FFFFFF" w:themeFill="background1"/>
            <w:noWrap/>
            <w:vAlign w:val="center"/>
            <w:hideMark/>
          </w:tcPr>
          <w:p w14:paraId="1C01877C"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159.8</w:t>
            </w:r>
          </w:p>
        </w:tc>
        <w:tc>
          <w:tcPr>
            <w:tcW w:w="992" w:type="dxa"/>
            <w:tcBorders>
              <w:top w:val="nil"/>
              <w:left w:val="nil"/>
              <w:bottom w:val="nil"/>
              <w:right w:val="nil"/>
            </w:tcBorders>
            <w:shd w:val="clear" w:color="auto" w:fill="FFFFFF" w:themeFill="background1"/>
            <w:noWrap/>
            <w:vAlign w:val="center"/>
            <w:hideMark/>
          </w:tcPr>
          <w:p w14:paraId="01B76FC6"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8.8</w:t>
            </w:r>
          </w:p>
        </w:tc>
      </w:tr>
      <w:tr w:rsidR="00330F63" w:rsidRPr="002A6BE4" w14:paraId="5322FBE8" w14:textId="77777777">
        <w:trPr>
          <w:trHeight w:val="278"/>
        </w:trPr>
        <w:tc>
          <w:tcPr>
            <w:tcW w:w="2694" w:type="dxa"/>
            <w:tcBorders>
              <w:top w:val="nil"/>
              <w:left w:val="nil"/>
              <w:bottom w:val="nil"/>
              <w:right w:val="nil"/>
            </w:tcBorders>
            <w:shd w:val="clear" w:color="auto" w:fill="D9D9D9" w:themeFill="background1" w:themeFillShade="D9"/>
            <w:noWrap/>
            <w:vAlign w:val="center"/>
            <w:hideMark/>
          </w:tcPr>
          <w:p w14:paraId="5C1AFFDE"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Community and Personal Service Workers</w:t>
            </w:r>
          </w:p>
        </w:tc>
        <w:tc>
          <w:tcPr>
            <w:tcW w:w="1275" w:type="dxa"/>
            <w:tcBorders>
              <w:top w:val="nil"/>
              <w:left w:val="nil"/>
              <w:bottom w:val="nil"/>
              <w:right w:val="nil"/>
            </w:tcBorders>
            <w:shd w:val="clear" w:color="auto" w:fill="D9D9D9" w:themeFill="background1" w:themeFillShade="D9"/>
            <w:noWrap/>
            <w:vAlign w:val="center"/>
            <w:hideMark/>
          </w:tcPr>
          <w:p w14:paraId="12D6C0BE"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1,667.4</w:t>
            </w:r>
          </w:p>
        </w:tc>
        <w:tc>
          <w:tcPr>
            <w:tcW w:w="1276" w:type="dxa"/>
            <w:tcBorders>
              <w:top w:val="nil"/>
              <w:left w:val="nil"/>
              <w:bottom w:val="nil"/>
              <w:right w:val="nil"/>
            </w:tcBorders>
            <w:shd w:val="clear" w:color="auto" w:fill="D9D9D9" w:themeFill="background1" w:themeFillShade="D9"/>
            <w:noWrap/>
            <w:vAlign w:val="center"/>
            <w:hideMark/>
          </w:tcPr>
          <w:p w14:paraId="53ACEB60"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1,592.2</w:t>
            </w:r>
          </w:p>
        </w:tc>
        <w:tc>
          <w:tcPr>
            <w:tcW w:w="992" w:type="dxa"/>
            <w:tcBorders>
              <w:top w:val="nil"/>
              <w:left w:val="nil"/>
              <w:bottom w:val="nil"/>
              <w:right w:val="nil"/>
            </w:tcBorders>
            <w:shd w:val="clear" w:color="auto" w:fill="D9D9D9" w:themeFill="background1" w:themeFillShade="D9"/>
            <w:noWrap/>
            <w:vAlign w:val="center"/>
            <w:hideMark/>
          </w:tcPr>
          <w:p w14:paraId="2BCE9E1D"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75.2</w:t>
            </w:r>
          </w:p>
        </w:tc>
        <w:tc>
          <w:tcPr>
            <w:tcW w:w="993" w:type="dxa"/>
            <w:tcBorders>
              <w:top w:val="nil"/>
              <w:left w:val="nil"/>
              <w:bottom w:val="nil"/>
              <w:right w:val="nil"/>
            </w:tcBorders>
            <w:shd w:val="clear" w:color="auto" w:fill="D9D9D9" w:themeFill="background1" w:themeFillShade="D9"/>
            <w:noWrap/>
            <w:vAlign w:val="center"/>
            <w:hideMark/>
          </w:tcPr>
          <w:p w14:paraId="30948904"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4.7</w:t>
            </w:r>
          </w:p>
        </w:tc>
        <w:tc>
          <w:tcPr>
            <w:tcW w:w="1134" w:type="dxa"/>
            <w:tcBorders>
              <w:top w:val="nil"/>
              <w:left w:val="nil"/>
              <w:bottom w:val="nil"/>
              <w:right w:val="nil"/>
            </w:tcBorders>
            <w:shd w:val="clear" w:color="auto" w:fill="D9D9D9" w:themeFill="background1" w:themeFillShade="D9"/>
            <w:noWrap/>
            <w:vAlign w:val="center"/>
            <w:hideMark/>
          </w:tcPr>
          <w:p w14:paraId="4D59270F"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268.6</w:t>
            </w:r>
          </w:p>
        </w:tc>
        <w:tc>
          <w:tcPr>
            <w:tcW w:w="992" w:type="dxa"/>
            <w:tcBorders>
              <w:top w:val="nil"/>
              <w:left w:val="nil"/>
              <w:bottom w:val="nil"/>
              <w:right w:val="nil"/>
            </w:tcBorders>
            <w:shd w:val="clear" w:color="auto" w:fill="D9D9D9" w:themeFill="background1" w:themeFillShade="D9"/>
            <w:noWrap/>
            <w:vAlign w:val="center"/>
            <w:hideMark/>
          </w:tcPr>
          <w:p w14:paraId="703C44A9"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19.2</w:t>
            </w:r>
          </w:p>
        </w:tc>
      </w:tr>
      <w:tr w:rsidR="00330F63" w:rsidRPr="002A6BE4" w14:paraId="62658632" w14:textId="77777777">
        <w:trPr>
          <w:trHeight w:val="278"/>
        </w:trPr>
        <w:tc>
          <w:tcPr>
            <w:tcW w:w="2694" w:type="dxa"/>
            <w:tcBorders>
              <w:top w:val="nil"/>
              <w:left w:val="nil"/>
              <w:bottom w:val="nil"/>
              <w:right w:val="nil"/>
            </w:tcBorders>
            <w:shd w:val="clear" w:color="auto" w:fill="FFFFFF" w:themeFill="background1"/>
            <w:noWrap/>
            <w:vAlign w:val="center"/>
            <w:hideMark/>
          </w:tcPr>
          <w:p w14:paraId="0026DE82"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Clerical and Administrative Workers</w:t>
            </w:r>
          </w:p>
        </w:tc>
        <w:tc>
          <w:tcPr>
            <w:tcW w:w="1275" w:type="dxa"/>
            <w:tcBorders>
              <w:top w:val="nil"/>
              <w:left w:val="nil"/>
              <w:bottom w:val="nil"/>
              <w:right w:val="nil"/>
            </w:tcBorders>
            <w:shd w:val="clear" w:color="auto" w:fill="FFFFFF" w:themeFill="background1"/>
            <w:noWrap/>
            <w:vAlign w:val="center"/>
            <w:hideMark/>
          </w:tcPr>
          <w:p w14:paraId="6E32D1ED"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1,862.5</w:t>
            </w:r>
          </w:p>
        </w:tc>
        <w:tc>
          <w:tcPr>
            <w:tcW w:w="1276" w:type="dxa"/>
            <w:tcBorders>
              <w:top w:val="nil"/>
              <w:left w:val="nil"/>
              <w:bottom w:val="nil"/>
              <w:right w:val="nil"/>
            </w:tcBorders>
            <w:shd w:val="clear" w:color="auto" w:fill="FFFFFF" w:themeFill="background1"/>
            <w:noWrap/>
            <w:vAlign w:val="center"/>
            <w:hideMark/>
          </w:tcPr>
          <w:p w14:paraId="2EAC73DA"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1,841.3</w:t>
            </w:r>
          </w:p>
        </w:tc>
        <w:tc>
          <w:tcPr>
            <w:tcW w:w="992" w:type="dxa"/>
            <w:tcBorders>
              <w:top w:val="nil"/>
              <w:left w:val="nil"/>
              <w:bottom w:val="nil"/>
              <w:right w:val="nil"/>
            </w:tcBorders>
            <w:shd w:val="clear" w:color="auto" w:fill="FFFFFF" w:themeFill="background1"/>
            <w:noWrap/>
            <w:vAlign w:val="center"/>
            <w:hideMark/>
          </w:tcPr>
          <w:p w14:paraId="28E532B6"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21.2</w:t>
            </w:r>
          </w:p>
        </w:tc>
        <w:tc>
          <w:tcPr>
            <w:tcW w:w="993" w:type="dxa"/>
            <w:tcBorders>
              <w:top w:val="nil"/>
              <w:left w:val="nil"/>
              <w:bottom w:val="nil"/>
              <w:right w:val="nil"/>
            </w:tcBorders>
            <w:shd w:val="clear" w:color="auto" w:fill="FFFFFF" w:themeFill="background1"/>
            <w:noWrap/>
            <w:vAlign w:val="center"/>
            <w:hideMark/>
          </w:tcPr>
          <w:p w14:paraId="7BD732A6"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1.2</w:t>
            </w:r>
          </w:p>
        </w:tc>
        <w:tc>
          <w:tcPr>
            <w:tcW w:w="1134" w:type="dxa"/>
            <w:tcBorders>
              <w:top w:val="nil"/>
              <w:left w:val="nil"/>
              <w:bottom w:val="nil"/>
              <w:right w:val="nil"/>
            </w:tcBorders>
            <w:shd w:val="clear" w:color="auto" w:fill="FFFFFF" w:themeFill="background1"/>
            <w:noWrap/>
            <w:vAlign w:val="center"/>
            <w:hideMark/>
          </w:tcPr>
          <w:p w14:paraId="09BF15E6"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95.3</w:t>
            </w:r>
          </w:p>
        </w:tc>
        <w:tc>
          <w:tcPr>
            <w:tcW w:w="992" w:type="dxa"/>
            <w:tcBorders>
              <w:top w:val="nil"/>
              <w:left w:val="nil"/>
              <w:bottom w:val="nil"/>
              <w:right w:val="nil"/>
            </w:tcBorders>
            <w:shd w:val="clear" w:color="auto" w:fill="FFFFFF" w:themeFill="background1"/>
            <w:noWrap/>
            <w:vAlign w:val="center"/>
            <w:hideMark/>
          </w:tcPr>
          <w:p w14:paraId="02B7DB52"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5.4</w:t>
            </w:r>
          </w:p>
        </w:tc>
      </w:tr>
      <w:tr w:rsidR="00330F63" w:rsidRPr="002A6BE4" w14:paraId="2C829414" w14:textId="77777777">
        <w:trPr>
          <w:trHeight w:val="278"/>
        </w:trPr>
        <w:tc>
          <w:tcPr>
            <w:tcW w:w="2694" w:type="dxa"/>
            <w:tcBorders>
              <w:top w:val="nil"/>
              <w:left w:val="nil"/>
              <w:bottom w:val="nil"/>
              <w:right w:val="nil"/>
            </w:tcBorders>
            <w:shd w:val="clear" w:color="auto" w:fill="D9D9D9" w:themeFill="background1" w:themeFillShade="D9"/>
            <w:noWrap/>
            <w:vAlign w:val="center"/>
            <w:hideMark/>
          </w:tcPr>
          <w:p w14:paraId="6BDA08DA"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Sales Workers</w:t>
            </w:r>
          </w:p>
        </w:tc>
        <w:tc>
          <w:tcPr>
            <w:tcW w:w="1275" w:type="dxa"/>
            <w:tcBorders>
              <w:top w:val="nil"/>
              <w:left w:val="nil"/>
              <w:bottom w:val="nil"/>
              <w:right w:val="nil"/>
            </w:tcBorders>
            <w:shd w:val="clear" w:color="auto" w:fill="D9D9D9" w:themeFill="background1" w:themeFillShade="D9"/>
            <w:noWrap/>
            <w:vAlign w:val="center"/>
            <w:hideMark/>
          </w:tcPr>
          <w:p w14:paraId="26927820"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1,132.1</w:t>
            </w:r>
          </w:p>
        </w:tc>
        <w:tc>
          <w:tcPr>
            <w:tcW w:w="1276" w:type="dxa"/>
            <w:tcBorders>
              <w:top w:val="nil"/>
              <w:left w:val="nil"/>
              <w:bottom w:val="nil"/>
              <w:right w:val="nil"/>
            </w:tcBorders>
            <w:shd w:val="clear" w:color="auto" w:fill="D9D9D9" w:themeFill="background1" w:themeFillShade="D9"/>
            <w:noWrap/>
            <w:vAlign w:val="center"/>
            <w:hideMark/>
          </w:tcPr>
          <w:p w14:paraId="5C1730E0"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1,119.7</w:t>
            </w:r>
          </w:p>
        </w:tc>
        <w:tc>
          <w:tcPr>
            <w:tcW w:w="992" w:type="dxa"/>
            <w:tcBorders>
              <w:top w:val="nil"/>
              <w:left w:val="nil"/>
              <w:bottom w:val="nil"/>
              <w:right w:val="nil"/>
            </w:tcBorders>
            <w:shd w:val="clear" w:color="auto" w:fill="D9D9D9" w:themeFill="background1" w:themeFillShade="D9"/>
            <w:noWrap/>
            <w:vAlign w:val="center"/>
            <w:hideMark/>
          </w:tcPr>
          <w:p w14:paraId="00BAE5A2"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12.3</w:t>
            </w:r>
          </w:p>
        </w:tc>
        <w:tc>
          <w:tcPr>
            <w:tcW w:w="993" w:type="dxa"/>
            <w:tcBorders>
              <w:top w:val="nil"/>
              <w:left w:val="nil"/>
              <w:bottom w:val="nil"/>
              <w:right w:val="nil"/>
            </w:tcBorders>
            <w:shd w:val="clear" w:color="auto" w:fill="D9D9D9" w:themeFill="background1" w:themeFillShade="D9"/>
            <w:noWrap/>
            <w:vAlign w:val="center"/>
            <w:hideMark/>
          </w:tcPr>
          <w:p w14:paraId="1D082CAE"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1.1</w:t>
            </w:r>
          </w:p>
        </w:tc>
        <w:tc>
          <w:tcPr>
            <w:tcW w:w="1134" w:type="dxa"/>
            <w:tcBorders>
              <w:top w:val="nil"/>
              <w:left w:val="nil"/>
              <w:bottom w:val="nil"/>
              <w:right w:val="nil"/>
            </w:tcBorders>
            <w:shd w:val="clear" w:color="auto" w:fill="D9D9D9" w:themeFill="background1" w:themeFillShade="D9"/>
            <w:noWrap/>
            <w:vAlign w:val="center"/>
            <w:hideMark/>
          </w:tcPr>
          <w:p w14:paraId="5DA6C4DC"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29.6</w:t>
            </w:r>
          </w:p>
        </w:tc>
        <w:tc>
          <w:tcPr>
            <w:tcW w:w="992" w:type="dxa"/>
            <w:tcBorders>
              <w:top w:val="nil"/>
              <w:left w:val="nil"/>
              <w:bottom w:val="nil"/>
              <w:right w:val="nil"/>
            </w:tcBorders>
            <w:shd w:val="clear" w:color="auto" w:fill="D9D9D9" w:themeFill="background1" w:themeFillShade="D9"/>
            <w:noWrap/>
            <w:vAlign w:val="center"/>
            <w:hideMark/>
          </w:tcPr>
          <w:p w14:paraId="61DB135C"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2.7</w:t>
            </w:r>
          </w:p>
        </w:tc>
      </w:tr>
      <w:tr w:rsidR="00330F63" w:rsidRPr="002A6BE4" w14:paraId="3D3F3839" w14:textId="77777777">
        <w:trPr>
          <w:trHeight w:val="278"/>
        </w:trPr>
        <w:tc>
          <w:tcPr>
            <w:tcW w:w="2694" w:type="dxa"/>
            <w:tcBorders>
              <w:top w:val="nil"/>
              <w:left w:val="nil"/>
              <w:bottom w:val="nil"/>
              <w:right w:val="nil"/>
            </w:tcBorders>
            <w:shd w:val="clear" w:color="auto" w:fill="FFFFFF" w:themeFill="background1"/>
            <w:noWrap/>
            <w:vAlign w:val="center"/>
            <w:hideMark/>
          </w:tcPr>
          <w:p w14:paraId="28778D12"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Machinery Operators and Drivers</w:t>
            </w:r>
          </w:p>
        </w:tc>
        <w:tc>
          <w:tcPr>
            <w:tcW w:w="1275" w:type="dxa"/>
            <w:tcBorders>
              <w:top w:val="nil"/>
              <w:left w:val="nil"/>
              <w:bottom w:val="nil"/>
              <w:right w:val="nil"/>
            </w:tcBorders>
            <w:shd w:val="clear" w:color="auto" w:fill="FFFFFF" w:themeFill="background1"/>
            <w:noWrap/>
            <w:vAlign w:val="center"/>
            <w:hideMark/>
          </w:tcPr>
          <w:p w14:paraId="0D6BC229"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905.5</w:t>
            </w:r>
          </w:p>
        </w:tc>
        <w:tc>
          <w:tcPr>
            <w:tcW w:w="1276" w:type="dxa"/>
            <w:tcBorders>
              <w:top w:val="nil"/>
              <w:left w:val="nil"/>
              <w:bottom w:val="nil"/>
              <w:right w:val="nil"/>
            </w:tcBorders>
            <w:shd w:val="clear" w:color="auto" w:fill="FFFFFF" w:themeFill="background1"/>
            <w:noWrap/>
            <w:vAlign w:val="center"/>
            <w:hideMark/>
          </w:tcPr>
          <w:p w14:paraId="7A045178"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901.7</w:t>
            </w:r>
          </w:p>
        </w:tc>
        <w:tc>
          <w:tcPr>
            <w:tcW w:w="992" w:type="dxa"/>
            <w:tcBorders>
              <w:top w:val="nil"/>
              <w:left w:val="nil"/>
              <w:bottom w:val="nil"/>
              <w:right w:val="nil"/>
            </w:tcBorders>
            <w:shd w:val="clear" w:color="auto" w:fill="FFFFFF" w:themeFill="background1"/>
            <w:noWrap/>
            <w:vAlign w:val="center"/>
            <w:hideMark/>
          </w:tcPr>
          <w:p w14:paraId="12B659BD"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3.9</w:t>
            </w:r>
          </w:p>
        </w:tc>
        <w:tc>
          <w:tcPr>
            <w:tcW w:w="993" w:type="dxa"/>
            <w:tcBorders>
              <w:top w:val="nil"/>
              <w:left w:val="nil"/>
              <w:bottom w:val="nil"/>
              <w:right w:val="nil"/>
            </w:tcBorders>
            <w:shd w:val="clear" w:color="auto" w:fill="FFFFFF" w:themeFill="background1"/>
            <w:noWrap/>
            <w:vAlign w:val="center"/>
            <w:hideMark/>
          </w:tcPr>
          <w:p w14:paraId="789D65EC"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0.4</w:t>
            </w:r>
          </w:p>
        </w:tc>
        <w:tc>
          <w:tcPr>
            <w:tcW w:w="1134" w:type="dxa"/>
            <w:tcBorders>
              <w:top w:val="nil"/>
              <w:left w:val="nil"/>
              <w:bottom w:val="nil"/>
              <w:right w:val="nil"/>
            </w:tcBorders>
            <w:shd w:val="clear" w:color="auto" w:fill="FFFFFF" w:themeFill="background1"/>
            <w:noWrap/>
            <w:vAlign w:val="center"/>
            <w:hideMark/>
          </w:tcPr>
          <w:p w14:paraId="495C0CC3"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41.3</w:t>
            </w:r>
          </w:p>
        </w:tc>
        <w:tc>
          <w:tcPr>
            <w:tcW w:w="992" w:type="dxa"/>
            <w:tcBorders>
              <w:top w:val="nil"/>
              <w:left w:val="nil"/>
              <w:bottom w:val="nil"/>
              <w:right w:val="nil"/>
            </w:tcBorders>
            <w:shd w:val="clear" w:color="auto" w:fill="FFFFFF" w:themeFill="background1"/>
            <w:noWrap/>
            <w:vAlign w:val="center"/>
            <w:hideMark/>
          </w:tcPr>
          <w:p w14:paraId="6B6282C2"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4.8</w:t>
            </w:r>
          </w:p>
        </w:tc>
      </w:tr>
      <w:tr w:rsidR="00330F63" w:rsidRPr="002A6BE4" w14:paraId="311918E5" w14:textId="77777777">
        <w:trPr>
          <w:trHeight w:val="278"/>
        </w:trPr>
        <w:tc>
          <w:tcPr>
            <w:tcW w:w="2694" w:type="dxa"/>
            <w:tcBorders>
              <w:top w:val="nil"/>
              <w:left w:val="nil"/>
              <w:right w:val="nil"/>
            </w:tcBorders>
            <w:shd w:val="clear" w:color="auto" w:fill="D9D9D9" w:themeFill="background1" w:themeFillShade="D9"/>
            <w:noWrap/>
            <w:vAlign w:val="center"/>
            <w:hideMark/>
          </w:tcPr>
          <w:p w14:paraId="3D5CC457"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Labourers</w:t>
            </w:r>
          </w:p>
        </w:tc>
        <w:tc>
          <w:tcPr>
            <w:tcW w:w="1275" w:type="dxa"/>
            <w:tcBorders>
              <w:top w:val="nil"/>
              <w:left w:val="nil"/>
              <w:right w:val="nil"/>
            </w:tcBorders>
            <w:shd w:val="clear" w:color="auto" w:fill="D9D9D9" w:themeFill="background1" w:themeFillShade="D9"/>
            <w:noWrap/>
            <w:vAlign w:val="center"/>
            <w:hideMark/>
          </w:tcPr>
          <w:p w14:paraId="2AE50B15"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1,224.1</w:t>
            </w:r>
          </w:p>
        </w:tc>
        <w:tc>
          <w:tcPr>
            <w:tcW w:w="1276" w:type="dxa"/>
            <w:tcBorders>
              <w:top w:val="nil"/>
              <w:left w:val="nil"/>
              <w:right w:val="nil"/>
            </w:tcBorders>
            <w:shd w:val="clear" w:color="auto" w:fill="D9D9D9" w:themeFill="background1" w:themeFillShade="D9"/>
            <w:noWrap/>
            <w:vAlign w:val="center"/>
            <w:hideMark/>
          </w:tcPr>
          <w:p w14:paraId="2FE6F76D"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1,207.2</w:t>
            </w:r>
          </w:p>
        </w:tc>
        <w:tc>
          <w:tcPr>
            <w:tcW w:w="992" w:type="dxa"/>
            <w:tcBorders>
              <w:top w:val="nil"/>
              <w:left w:val="nil"/>
              <w:right w:val="nil"/>
            </w:tcBorders>
            <w:shd w:val="clear" w:color="auto" w:fill="D9D9D9" w:themeFill="background1" w:themeFillShade="D9"/>
            <w:noWrap/>
            <w:vAlign w:val="center"/>
            <w:hideMark/>
          </w:tcPr>
          <w:p w14:paraId="4AAEDF6C"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16.9</w:t>
            </w:r>
          </w:p>
        </w:tc>
        <w:tc>
          <w:tcPr>
            <w:tcW w:w="993" w:type="dxa"/>
            <w:tcBorders>
              <w:top w:val="nil"/>
              <w:left w:val="nil"/>
              <w:right w:val="nil"/>
            </w:tcBorders>
            <w:shd w:val="clear" w:color="auto" w:fill="D9D9D9" w:themeFill="background1" w:themeFillShade="D9"/>
            <w:noWrap/>
            <w:vAlign w:val="center"/>
            <w:hideMark/>
          </w:tcPr>
          <w:p w14:paraId="31BE0F5F"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1.4</w:t>
            </w:r>
          </w:p>
        </w:tc>
        <w:tc>
          <w:tcPr>
            <w:tcW w:w="1134" w:type="dxa"/>
            <w:tcBorders>
              <w:top w:val="nil"/>
              <w:left w:val="nil"/>
              <w:right w:val="nil"/>
            </w:tcBorders>
            <w:shd w:val="clear" w:color="auto" w:fill="D9D9D9" w:themeFill="background1" w:themeFillShade="D9"/>
            <w:noWrap/>
            <w:vAlign w:val="center"/>
            <w:hideMark/>
          </w:tcPr>
          <w:p w14:paraId="636080E2"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-4.3</w:t>
            </w:r>
          </w:p>
        </w:tc>
        <w:tc>
          <w:tcPr>
            <w:tcW w:w="992" w:type="dxa"/>
            <w:tcBorders>
              <w:top w:val="nil"/>
              <w:left w:val="nil"/>
              <w:right w:val="nil"/>
            </w:tcBorders>
            <w:shd w:val="clear" w:color="auto" w:fill="D9D9D9" w:themeFill="background1" w:themeFillShade="D9"/>
            <w:noWrap/>
            <w:vAlign w:val="center"/>
            <w:hideMark/>
          </w:tcPr>
          <w:p w14:paraId="083D41FC"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sz w:val="20"/>
                <w:szCs w:val="20"/>
              </w:rPr>
              <w:t>-0.3</w:t>
            </w:r>
          </w:p>
        </w:tc>
      </w:tr>
      <w:tr w:rsidR="00330F63" w:rsidRPr="002A6BE4" w14:paraId="1C7398DD" w14:textId="77777777">
        <w:trPr>
          <w:trHeight w:val="299"/>
        </w:trPr>
        <w:tc>
          <w:tcPr>
            <w:tcW w:w="2694" w:type="dxa"/>
            <w:tcBorders>
              <w:top w:val="nil"/>
              <w:left w:val="nil"/>
              <w:bottom w:val="single" w:sz="4" w:space="0" w:color="auto"/>
              <w:right w:val="nil"/>
            </w:tcBorders>
            <w:shd w:val="clear" w:color="auto" w:fill="FFFFFF" w:themeFill="background1"/>
            <w:noWrap/>
            <w:vAlign w:val="center"/>
          </w:tcPr>
          <w:p w14:paraId="2ADCD372" w14:textId="77777777" w:rsidR="00330F63" w:rsidRPr="002A6BE4" w:rsidRDefault="00330F63">
            <w:pPr>
              <w:rPr>
                <w:rFonts w:asciiTheme="minorHAnsi" w:hAnsiTheme="minorHAnsi" w:cstheme="minorHAnsi"/>
                <w:sz w:val="20"/>
                <w:szCs w:val="20"/>
              </w:rPr>
            </w:pPr>
            <w:r w:rsidRPr="002A6BE4">
              <w:rPr>
                <w:rFonts w:asciiTheme="minorHAnsi" w:hAnsiTheme="minorHAnsi" w:cstheme="minorHAnsi"/>
                <w:b/>
                <w:bCs/>
                <w:sz w:val="20"/>
                <w:szCs w:val="20"/>
              </w:rPr>
              <w:t>TOTAL EMPLOYMENT</w:t>
            </w:r>
          </w:p>
        </w:tc>
        <w:tc>
          <w:tcPr>
            <w:tcW w:w="1275" w:type="dxa"/>
            <w:tcBorders>
              <w:top w:val="nil"/>
              <w:left w:val="nil"/>
              <w:bottom w:val="single" w:sz="4" w:space="0" w:color="auto"/>
              <w:right w:val="nil"/>
            </w:tcBorders>
            <w:shd w:val="clear" w:color="auto" w:fill="FFFFFF" w:themeFill="background1"/>
            <w:noWrap/>
            <w:vAlign w:val="center"/>
          </w:tcPr>
          <w:p w14:paraId="74A8967A" w14:textId="77777777" w:rsidR="00330F63" w:rsidRPr="002A6BE4" w:rsidRDefault="00330F63">
            <w:pPr>
              <w:rPr>
                <w:rFonts w:asciiTheme="minorHAnsi" w:hAnsiTheme="minorHAnsi" w:cstheme="minorHAnsi"/>
                <w:b/>
                <w:bCs/>
                <w:sz w:val="20"/>
                <w:szCs w:val="20"/>
              </w:rPr>
            </w:pPr>
            <w:r w:rsidRPr="002A6BE4">
              <w:rPr>
                <w:rFonts w:asciiTheme="minorHAnsi" w:hAnsiTheme="minorHAnsi" w:cstheme="minorHAnsi"/>
                <w:b/>
                <w:bCs/>
                <w:sz w:val="20"/>
                <w:szCs w:val="20"/>
              </w:rPr>
              <w:t>14,486.9</w:t>
            </w:r>
          </w:p>
        </w:tc>
        <w:tc>
          <w:tcPr>
            <w:tcW w:w="1276" w:type="dxa"/>
            <w:tcBorders>
              <w:top w:val="nil"/>
              <w:left w:val="nil"/>
              <w:bottom w:val="single" w:sz="4" w:space="0" w:color="auto"/>
              <w:right w:val="nil"/>
            </w:tcBorders>
            <w:shd w:val="clear" w:color="auto" w:fill="FFFFFF" w:themeFill="background1"/>
            <w:noWrap/>
            <w:vAlign w:val="center"/>
          </w:tcPr>
          <w:p w14:paraId="02A1ACE7" w14:textId="77777777" w:rsidR="00330F63" w:rsidRPr="002A6BE4" w:rsidRDefault="00330F63">
            <w:pPr>
              <w:rPr>
                <w:rFonts w:asciiTheme="minorHAnsi" w:hAnsiTheme="minorHAnsi" w:cstheme="minorHAnsi"/>
                <w:b/>
                <w:bCs/>
                <w:sz w:val="20"/>
                <w:szCs w:val="20"/>
              </w:rPr>
            </w:pPr>
            <w:r w:rsidRPr="002A6BE4">
              <w:rPr>
                <w:rFonts w:asciiTheme="minorHAnsi" w:hAnsiTheme="minorHAnsi" w:cstheme="minorHAnsi"/>
                <w:b/>
                <w:bCs/>
                <w:sz w:val="20"/>
                <w:szCs w:val="20"/>
              </w:rPr>
              <w:t>14,116.7</w:t>
            </w:r>
          </w:p>
        </w:tc>
        <w:tc>
          <w:tcPr>
            <w:tcW w:w="992" w:type="dxa"/>
            <w:tcBorders>
              <w:top w:val="nil"/>
              <w:left w:val="nil"/>
              <w:bottom w:val="single" w:sz="4" w:space="0" w:color="auto"/>
              <w:right w:val="nil"/>
            </w:tcBorders>
            <w:shd w:val="clear" w:color="auto" w:fill="FFFFFF" w:themeFill="background1"/>
            <w:noWrap/>
            <w:vAlign w:val="center"/>
          </w:tcPr>
          <w:p w14:paraId="0F72C0A9" w14:textId="77777777" w:rsidR="00330F63" w:rsidRPr="002A6BE4" w:rsidRDefault="00330F63">
            <w:pPr>
              <w:rPr>
                <w:rFonts w:asciiTheme="minorHAnsi" w:hAnsiTheme="minorHAnsi" w:cstheme="minorHAnsi"/>
                <w:b/>
                <w:bCs/>
                <w:sz w:val="20"/>
                <w:szCs w:val="20"/>
              </w:rPr>
            </w:pPr>
            <w:r w:rsidRPr="002A6BE4">
              <w:rPr>
                <w:rFonts w:asciiTheme="minorHAnsi" w:hAnsiTheme="minorHAnsi" w:cstheme="minorHAnsi"/>
                <w:b/>
                <w:bCs/>
                <w:sz w:val="20"/>
                <w:szCs w:val="20"/>
              </w:rPr>
              <w:t>370.2</w:t>
            </w:r>
          </w:p>
        </w:tc>
        <w:tc>
          <w:tcPr>
            <w:tcW w:w="993" w:type="dxa"/>
            <w:tcBorders>
              <w:top w:val="nil"/>
              <w:left w:val="nil"/>
              <w:bottom w:val="single" w:sz="4" w:space="0" w:color="auto"/>
              <w:right w:val="nil"/>
            </w:tcBorders>
            <w:shd w:val="clear" w:color="auto" w:fill="FFFFFF" w:themeFill="background1"/>
            <w:noWrap/>
            <w:vAlign w:val="center"/>
          </w:tcPr>
          <w:p w14:paraId="4055C35A" w14:textId="77777777" w:rsidR="00330F63" w:rsidRPr="002A6BE4" w:rsidRDefault="00330F63">
            <w:pPr>
              <w:rPr>
                <w:rFonts w:asciiTheme="minorHAnsi" w:hAnsiTheme="minorHAnsi" w:cstheme="minorHAnsi"/>
                <w:b/>
                <w:bCs/>
                <w:sz w:val="20"/>
                <w:szCs w:val="20"/>
              </w:rPr>
            </w:pPr>
            <w:r w:rsidRPr="002A6BE4">
              <w:rPr>
                <w:rFonts w:asciiTheme="minorHAnsi" w:hAnsiTheme="minorHAnsi" w:cstheme="minorHAnsi"/>
                <w:b/>
                <w:bCs/>
                <w:sz w:val="20"/>
                <w:szCs w:val="20"/>
              </w:rPr>
              <w:t>2.6</w:t>
            </w:r>
          </w:p>
        </w:tc>
        <w:tc>
          <w:tcPr>
            <w:tcW w:w="1134" w:type="dxa"/>
            <w:tcBorders>
              <w:top w:val="nil"/>
              <w:left w:val="nil"/>
              <w:bottom w:val="single" w:sz="4" w:space="0" w:color="auto"/>
              <w:right w:val="nil"/>
            </w:tcBorders>
            <w:shd w:val="clear" w:color="auto" w:fill="FFFFFF" w:themeFill="background1"/>
            <w:noWrap/>
            <w:vAlign w:val="center"/>
          </w:tcPr>
          <w:p w14:paraId="353427C4" w14:textId="77777777" w:rsidR="00330F63" w:rsidRPr="002A6BE4" w:rsidRDefault="00330F63">
            <w:pPr>
              <w:rPr>
                <w:rFonts w:asciiTheme="minorHAnsi" w:hAnsiTheme="minorHAnsi" w:cstheme="minorHAnsi"/>
                <w:b/>
                <w:bCs/>
                <w:sz w:val="20"/>
                <w:szCs w:val="20"/>
              </w:rPr>
            </w:pPr>
            <w:r w:rsidRPr="002A6BE4">
              <w:rPr>
                <w:rFonts w:asciiTheme="minorHAnsi" w:hAnsiTheme="minorHAnsi" w:cstheme="minorHAnsi"/>
                <w:b/>
                <w:bCs/>
                <w:sz w:val="20"/>
                <w:szCs w:val="20"/>
              </w:rPr>
              <w:t>1,597.7</w:t>
            </w:r>
          </w:p>
        </w:tc>
        <w:tc>
          <w:tcPr>
            <w:tcW w:w="992" w:type="dxa"/>
            <w:tcBorders>
              <w:top w:val="nil"/>
              <w:left w:val="nil"/>
              <w:bottom w:val="single" w:sz="4" w:space="0" w:color="auto"/>
              <w:right w:val="nil"/>
            </w:tcBorders>
            <w:shd w:val="clear" w:color="auto" w:fill="FFFFFF" w:themeFill="background1"/>
            <w:noWrap/>
            <w:vAlign w:val="center"/>
          </w:tcPr>
          <w:p w14:paraId="2CE65C67" w14:textId="77777777" w:rsidR="00330F63" w:rsidRPr="002A6BE4" w:rsidRDefault="00330F63">
            <w:pPr>
              <w:rPr>
                <w:rFonts w:asciiTheme="minorHAnsi" w:hAnsiTheme="minorHAnsi" w:cstheme="minorHAnsi"/>
                <w:b/>
                <w:bCs/>
                <w:sz w:val="20"/>
                <w:szCs w:val="20"/>
              </w:rPr>
            </w:pPr>
            <w:r w:rsidRPr="002A6BE4">
              <w:rPr>
                <w:rFonts w:asciiTheme="minorHAnsi" w:hAnsiTheme="minorHAnsi" w:cstheme="minorHAnsi"/>
                <w:b/>
                <w:bCs/>
                <w:sz w:val="20"/>
                <w:szCs w:val="20"/>
              </w:rPr>
              <w:t>12.4</w:t>
            </w:r>
          </w:p>
        </w:tc>
      </w:tr>
    </w:tbl>
    <w:p w14:paraId="2D697293" w14:textId="6CAF2442" w:rsidR="00757417" w:rsidRPr="00856BE8" w:rsidRDefault="00757417" w:rsidP="00866EAE">
      <w:pPr>
        <w:spacing w:before="240"/>
        <w:rPr>
          <w:rFonts w:cs="Arial"/>
          <w:sz w:val="18"/>
          <w:szCs w:val="18"/>
        </w:rPr>
      </w:pPr>
      <w:r w:rsidRPr="00856BE8">
        <w:rPr>
          <w:sz w:val="18"/>
          <w:szCs w:val="18"/>
        </w:rPr>
        <w:t xml:space="preserve">Source: ABS, Labour Force, Australia, </w:t>
      </w:r>
      <w:r>
        <w:rPr>
          <w:sz w:val="18"/>
          <w:szCs w:val="18"/>
        </w:rPr>
        <w:t xml:space="preserve">Detailed, </w:t>
      </w:r>
      <w:r w:rsidR="0059451C">
        <w:rPr>
          <w:sz w:val="18"/>
          <w:szCs w:val="18"/>
        </w:rPr>
        <w:t>August</w:t>
      </w:r>
      <w:r w:rsidR="0059451C" w:rsidRPr="00856BE8">
        <w:rPr>
          <w:sz w:val="18"/>
          <w:szCs w:val="18"/>
        </w:rPr>
        <w:t xml:space="preserve"> </w:t>
      </w:r>
      <w:r w:rsidRPr="00856BE8">
        <w:rPr>
          <w:sz w:val="18"/>
          <w:szCs w:val="18"/>
        </w:rPr>
        <w:t xml:space="preserve">2024, </w:t>
      </w:r>
      <w:r>
        <w:rPr>
          <w:sz w:val="18"/>
          <w:szCs w:val="18"/>
        </w:rPr>
        <w:t>trended</w:t>
      </w:r>
      <w:r w:rsidRPr="00856BE8">
        <w:rPr>
          <w:sz w:val="18"/>
          <w:szCs w:val="18"/>
        </w:rPr>
        <w:t xml:space="preserve"> data; JSA</w:t>
      </w:r>
    </w:p>
    <w:p w14:paraId="1A5EB1B3" w14:textId="1B519CDC" w:rsidR="00FC6DA6" w:rsidRPr="00FC6DA6" w:rsidRDefault="00FC6DA6" w:rsidP="004B28D5">
      <w:pPr>
        <w:spacing w:before="240"/>
        <w:rPr>
          <w:rFonts w:cs="Arial"/>
        </w:rPr>
      </w:pPr>
      <w:r w:rsidRPr="58A895D0">
        <w:rPr>
          <w:rFonts w:cs="Arial"/>
        </w:rPr>
        <w:t>Employment increased in 4 of the 5 Skill Level groups over the year to August 2024 (Table</w:t>
      </w:r>
      <w:r w:rsidR="004D744B" w:rsidRPr="58A895D0">
        <w:rPr>
          <w:rFonts w:cs="Arial"/>
        </w:rPr>
        <w:t> </w:t>
      </w:r>
      <w:r w:rsidRPr="58A895D0">
        <w:rPr>
          <w:rFonts w:cs="Arial"/>
        </w:rPr>
        <w:t xml:space="preserve">5). Skill Level 1 occupations (commensurate with a </w:t>
      </w:r>
      <w:bookmarkStart w:id="22" w:name="_Int_lccaKUDp"/>
      <w:r w:rsidRPr="58A895D0">
        <w:rPr>
          <w:rFonts w:cs="Arial"/>
        </w:rPr>
        <w:t>Bachelor</w:t>
      </w:r>
      <w:bookmarkEnd w:id="22"/>
      <w:r w:rsidRPr="58A895D0">
        <w:rPr>
          <w:rFonts w:cs="Arial"/>
        </w:rPr>
        <w:t xml:space="preserve"> degree or higher qualification) </w:t>
      </w:r>
      <w:r w:rsidR="001D7936" w:rsidRPr="58A895D0">
        <w:rPr>
          <w:rFonts w:cs="Arial"/>
        </w:rPr>
        <w:t>recorded</w:t>
      </w:r>
      <w:r w:rsidRPr="58A895D0">
        <w:rPr>
          <w:rFonts w:cs="Arial"/>
        </w:rPr>
        <w:t xml:space="preserve"> the largest increase (up by 155,000 or 3.2%). Skill Level 4 occupations (commensurate with a Certificate II or III) recorded the second largest increase (up by 119,100 or 3.5%), followed by Skill Level 2 occupations (commensurate with an Advanced Diploma or Diploma) (up by 51,100 or 3.0%) and Skill Level 3 occupations (commensurate with a Certificate IV or III (including at least 2 years’ on-the-job training)) (up by 25,200 or 1.2%). Skill Level 5 occupations (commensurate with a Certificate I or secondary education) recorded a slight decrease in employment over the past year (down by 3,100 or 0.2%).</w:t>
      </w:r>
    </w:p>
    <w:p w14:paraId="02C1C967" w14:textId="37DBFF8C" w:rsidR="00FC6DA6" w:rsidRPr="00FC6DA6" w:rsidRDefault="00FC6DA6" w:rsidP="00FC6DA6">
      <w:pPr>
        <w:rPr>
          <w:rFonts w:cs="Arial"/>
        </w:rPr>
      </w:pPr>
      <w:r w:rsidRPr="00FC6DA6">
        <w:rPr>
          <w:rFonts w:cs="Arial"/>
        </w:rPr>
        <w:t xml:space="preserve">Net employment growth over the past year is fully attributable to Skill Level 1 to 4 occupations </w:t>
      </w:r>
      <w:r w:rsidR="00966CC1">
        <w:rPr>
          <w:rFonts w:cs="Arial"/>
        </w:rPr>
        <w:t>(</w:t>
      </w:r>
      <w:r w:rsidRPr="00FC6DA6">
        <w:rPr>
          <w:rFonts w:cs="Arial"/>
        </w:rPr>
        <w:t>occupations typically associated with a post-secondary school qualification</w:t>
      </w:r>
      <w:r w:rsidR="00966CC1">
        <w:rPr>
          <w:rFonts w:cs="Arial"/>
        </w:rPr>
        <w:t>)</w:t>
      </w:r>
      <w:r w:rsidRPr="00FC6DA6">
        <w:rPr>
          <w:rFonts w:cs="Arial"/>
        </w:rPr>
        <w:t>. More than half of this employment growth was in to Skill Level 2 to 4 occupations which are typically associated with a Vocational Educational Training pathway.</w:t>
      </w:r>
    </w:p>
    <w:p w14:paraId="64D28C19" w14:textId="01FA52F8" w:rsidR="00FC6DA6" w:rsidRDefault="00FC6DA6" w:rsidP="00B1705A">
      <w:r>
        <w:t>The shift towards higher skill levels in recent years is a continuation of a long-term trend</w:t>
      </w:r>
      <w:r w:rsidR="00966CC1">
        <w:t>. The</w:t>
      </w:r>
      <w:r>
        <w:t xml:space="preserve"> workforce has become more highly educated and employment has transitioned towards services-based industries. Over the 5 years to August 2024, the share of total employment accounted for by Skill Level 1 occupations increased by 3.0</w:t>
      </w:r>
      <w:r w:rsidR="005A08A4">
        <w:t>pp</w:t>
      </w:r>
      <w:r>
        <w:t xml:space="preserve"> to 35.0% in August 2024</w:t>
      </w:r>
      <w:r w:rsidR="00966CC1">
        <w:t>. T</w:t>
      </w:r>
      <w:r>
        <w:t>he share of total employment accounted for by Skill Level 5 occupations fell by 1.7</w:t>
      </w:r>
      <w:r w:rsidR="005A08A4">
        <w:t>pp</w:t>
      </w:r>
      <w:r>
        <w:t xml:space="preserve"> to 13.8%.</w:t>
      </w:r>
    </w:p>
    <w:p w14:paraId="52437EB0" w14:textId="50F7D0F3" w:rsidR="58A895D0" w:rsidRDefault="58A895D0"/>
    <w:p w14:paraId="73D3E454" w14:textId="64B1EDEB" w:rsidR="58A895D0" w:rsidRDefault="58A895D0"/>
    <w:p w14:paraId="637A3718" w14:textId="2E198FC0" w:rsidR="58A895D0" w:rsidRDefault="58A895D0"/>
    <w:p w14:paraId="33D86B39" w14:textId="78690B30" w:rsidR="58A895D0" w:rsidRDefault="58A895D0"/>
    <w:p w14:paraId="646BE2B3" w14:textId="41F71E89" w:rsidR="00FC6DA6" w:rsidRPr="002A6BE4" w:rsidRDefault="00FC6DA6" w:rsidP="0E44D082">
      <w:pPr>
        <w:spacing w:before="240"/>
        <w:rPr>
          <w:rFonts w:cs="Arial"/>
          <w:b/>
          <w:bCs/>
          <w:sz w:val="18"/>
          <w:szCs w:val="18"/>
        </w:rPr>
      </w:pPr>
      <w:r w:rsidRPr="0E44D082">
        <w:rPr>
          <w:rFonts w:cs="Arial"/>
          <w:b/>
          <w:bCs/>
          <w:sz w:val="18"/>
          <w:szCs w:val="18"/>
        </w:rPr>
        <w:lastRenderedPageBreak/>
        <w:t>Table 5: Employment by skill levels</w:t>
      </w:r>
      <w:r w:rsidRPr="0E44D082">
        <w:rPr>
          <w:rFonts w:cs="Arial"/>
          <w:b/>
          <w:bCs/>
          <w:sz w:val="18"/>
          <w:szCs w:val="18"/>
          <w:vertAlign w:val="superscript"/>
        </w:rPr>
        <w:footnoteReference w:id="4"/>
      </w:r>
    </w:p>
    <w:tbl>
      <w:tblPr>
        <w:tblW w:w="8931" w:type="dxa"/>
        <w:tblLayout w:type="fixed"/>
        <w:tblLook w:val="04A0" w:firstRow="1" w:lastRow="0" w:firstColumn="1" w:lastColumn="0" w:noHBand="0" w:noVBand="1"/>
      </w:tblPr>
      <w:tblGrid>
        <w:gridCol w:w="2268"/>
        <w:gridCol w:w="1276"/>
        <w:gridCol w:w="1276"/>
        <w:gridCol w:w="992"/>
        <w:gridCol w:w="992"/>
        <w:gridCol w:w="1134"/>
        <w:gridCol w:w="993"/>
      </w:tblGrid>
      <w:tr w:rsidR="00FC6DA6" w:rsidRPr="002A6BE4" w14:paraId="7BF02451" w14:textId="77777777">
        <w:trPr>
          <w:trHeight w:val="340"/>
        </w:trPr>
        <w:tc>
          <w:tcPr>
            <w:tcW w:w="2268" w:type="dxa"/>
            <w:vMerge w:val="restart"/>
            <w:shd w:val="clear" w:color="auto" w:fill="012749"/>
            <w:vAlign w:val="center"/>
          </w:tcPr>
          <w:p w14:paraId="19E4C898"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Skill Levels</w:t>
            </w:r>
          </w:p>
        </w:tc>
        <w:tc>
          <w:tcPr>
            <w:tcW w:w="2552" w:type="dxa"/>
            <w:gridSpan w:val="2"/>
            <w:tcBorders>
              <w:bottom w:val="single" w:sz="4" w:space="0" w:color="FFFFFF" w:themeColor="background1"/>
            </w:tcBorders>
            <w:shd w:val="clear" w:color="auto" w:fill="012749"/>
            <w:vAlign w:val="center"/>
          </w:tcPr>
          <w:p w14:paraId="78F02CCF" w14:textId="77777777" w:rsidR="00FC6DA6" w:rsidRPr="002A6BE4" w:rsidRDefault="00FC6DA6" w:rsidP="00FC6DA6">
            <w:pPr>
              <w:rPr>
                <w:rFonts w:asciiTheme="minorHAnsi" w:hAnsiTheme="minorHAnsi" w:cstheme="minorHAnsi"/>
                <w:b/>
                <w:bCs/>
                <w:sz w:val="20"/>
                <w:szCs w:val="20"/>
              </w:rPr>
            </w:pPr>
            <w:r w:rsidRPr="002A6BE4">
              <w:rPr>
                <w:rFonts w:asciiTheme="minorHAnsi" w:hAnsiTheme="minorHAnsi" w:cstheme="minorHAnsi"/>
                <w:b/>
                <w:bCs/>
                <w:sz w:val="20"/>
                <w:szCs w:val="20"/>
              </w:rPr>
              <w:t>Employment</w:t>
            </w:r>
          </w:p>
        </w:tc>
        <w:tc>
          <w:tcPr>
            <w:tcW w:w="1984" w:type="dxa"/>
            <w:gridSpan w:val="2"/>
            <w:vMerge w:val="restart"/>
            <w:shd w:val="clear" w:color="auto" w:fill="012749"/>
            <w:vAlign w:val="center"/>
          </w:tcPr>
          <w:p w14:paraId="30F3E6E1"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Annual change to Aug-24</w:t>
            </w:r>
          </w:p>
        </w:tc>
        <w:tc>
          <w:tcPr>
            <w:tcW w:w="2127" w:type="dxa"/>
            <w:gridSpan w:val="2"/>
            <w:vMerge w:val="restart"/>
            <w:shd w:val="clear" w:color="auto" w:fill="012749"/>
            <w:vAlign w:val="center"/>
          </w:tcPr>
          <w:p w14:paraId="17ED0BF3"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5-year change to Aug 24</w:t>
            </w:r>
          </w:p>
        </w:tc>
      </w:tr>
      <w:tr w:rsidR="00FC6DA6" w:rsidRPr="002A6BE4" w14:paraId="2FB84E10" w14:textId="77777777">
        <w:trPr>
          <w:trHeight w:val="340"/>
        </w:trPr>
        <w:tc>
          <w:tcPr>
            <w:tcW w:w="2268" w:type="dxa"/>
            <w:vMerge/>
            <w:shd w:val="clear" w:color="auto" w:fill="012749"/>
            <w:vAlign w:val="center"/>
            <w:hideMark/>
          </w:tcPr>
          <w:p w14:paraId="46AE3CB9" w14:textId="77777777" w:rsidR="00FC6DA6" w:rsidRPr="002A6BE4" w:rsidRDefault="00FC6DA6" w:rsidP="00FC6DA6">
            <w:pPr>
              <w:rPr>
                <w:rFonts w:asciiTheme="minorHAnsi" w:hAnsiTheme="minorHAnsi" w:cstheme="minorHAnsi"/>
                <w:sz w:val="20"/>
                <w:szCs w:val="20"/>
              </w:rPr>
            </w:pPr>
          </w:p>
        </w:tc>
        <w:tc>
          <w:tcPr>
            <w:tcW w:w="1276" w:type="dxa"/>
            <w:tcBorders>
              <w:top w:val="single" w:sz="4" w:space="0" w:color="FFFFFF" w:themeColor="background1"/>
            </w:tcBorders>
            <w:shd w:val="clear" w:color="auto" w:fill="012749"/>
            <w:vAlign w:val="center"/>
            <w:hideMark/>
          </w:tcPr>
          <w:p w14:paraId="255C6471"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Aug-24</w:t>
            </w:r>
          </w:p>
        </w:tc>
        <w:tc>
          <w:tcPr>
            <w:tcW w:w="1276" w:type="dxa"/>
            <w:tcBorders>
              <w:top w:val="single" w:sz="4" w:space="0" w:color="FFFFFF" w:themeColor="background1"/>
            </w:tcBorders>
            <w:shd w:val="clear" w:color="auto" w:fill="012749"/>
            <w:vAlign w:val="center"/>
            <w:hideMark/>
          </w:tcPr>
          <w:p w14:paraId="648617B8"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Aug-23</w:t>
            </w:r>
          </w:p>
        </w:tc>
        <w:tc>
          <w:tcPr>
            <w:tcW w:w="1984" w:type="dxa"/>
            <w:gridSpan w:val="2"/>
            <w:vMerge/>
            <w:shd w:val="clear" w:color="auto" w:fill="012749"/>
            <w:vAlign w:val="center"/>
            <w:hideMark/>
          </w:tcPr>
          <w:p w14:paraId="0748D16D" w14:textId="77777777" w:rsidR="00FC6DA6" w:rsidRPr="002A6BE4" w:rsidRDefault="00FC6DA6" w:rsidP="00FC6DA6">
            <w:pPr>
              <w:rPr>
                <w:rFonts w:asciiTheme="minorHAnsi" w:hAnsiTheme="minorHAnsi" w:cstheme="minorHAnsi"/>
                <w:sz w:val="20"/>
                <w:szCs w:val="20"/>
              </w:rPr>
            </w:pPr>
          </w:p>
        </w:tc>
        <w:tc>
          <w:tcPr>
            <w:tcW w:w="2127" w:type="dxa"/>
            <w:gridSpan w:val="2"/>
            <w:vMerge/>
            <w:shd w:val="clear" w:color="auto" w:fill="012749"/>
            <w:vAlign w:val="center"/>
            <w:hideMark/>
          </w:tcPr>
          <w:p w14:paraId="0F970570" w14:textId="77777777" w:rsidR="00FC6DA6" w:rsidRPr="002A6BE4" w:rsidRDefault="00FC6DA6" w:rsidP="00FC6DA6">
            <w:pPr>
              <w:rPr>
                <w:rFonts w:asciiTheme="minorHAnsi" w:hAnsiTheme="minorHAnsi" w:cstheme="minorHAnsi"/>
                <w:sz w:val="20"/>
                <w:szCs w:val="20"/>
              </w:rPr>
            </w:pPr>
          </w:p>
        </w:tc>
      </w:tr>
      <w:tr w:rsidR="00FC6DA6" w:rsidRPr="002A6BE4" w14:paraId="034FD19E" w14:textId="77777777">
        <w:trPr>
          <w:trHeight w:val="340"/>
        </w:trPr>
        <w:tc>
          <w:tcPr>
            <w:tcW w:w="2268" w:type="dxa"/>
            <w:vMerge/>
            <w:shd w:val="clear" w:color="auto" w:fill="012749"/>
            <w:vAlign w:val="center"/>
          </w:tcPr>
          <w:p w14:paraId="4C979461" w14:textId="77777777" w:rsidR="00FC6DA6" w:rsidRPr="002A6BE4" w:rsidRDefault="00FC6DA6" w:rsidP="00FC6DA6">
            <w:pPr>
              <w:rPr>
                <w:rFonts w:asciiTheme="minorHAnsi" w:hAnsiTheme="minorHAnsi" w:cstheme="minorHAnsi"/>
                <w:sz w:val="20"/>
                <w:szCs w:val="20"/>
              </w:rPr>
            </w:pPr>
          </w:p>
        </w:tc>
        <w:tc>
          <w:tcPr>
            <w:tcW w:w="1276" w:type="dxa"/>
            <w:shd w:val="clear" w:color="auto" w:fill="012749"/>
            <w:vAlign w:val="center"/>
          </w:tcPr>
          <w:p w14:paraId="6E241B89"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(‘000)</w:t>
            </w:r>
          </w:p>
        </w:tc>
        <w:tc>
          <w:tcPr>
            <w:tcW w:w="1276" w:type="dxa"/>
            <w:shd w:val="clear" w:color="auto" w:fill="012749"/>
            <w:vAlign w:val="center"/>
          </w:tcPr>
          <w:p w14:paraId="7A414FDA"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(‘000)</w:t>
            </w:r>
          </w:p>
        </w:tc>
        <w:tc>
          <w:tcPr>
            <w:tcW w:w="992" w:type="dxa"/>
            <w:shd w:val="clear" w:color="auto" w:fill="012749"/>
            <w:vAlign w:val="center"/>
          </w:tcPr>
          <w:p w14:paraId="36A14C6A"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(‘000)</w:t>
            </w:r>
          </w:p>
        </w:tc>
        <w:tc>
          <w:tcPr>
            <w:tcW w:w="992" w:type="dxa"/>
            <w:shd w:val="clear" w:color="auto" w:fill="012749"/>
            <w:vAlign w:val="center"/>
          </w:tcPr>
          <w:p w14:paraId="64FD5FD6"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w:t>
            </w:r>
          </w:p>
        </w:tc>
        <w:tc>
          <w:tcPr>
            <w:tcW w:w="1134" w:type="dxa"/>
            <w:shd w:val="clear" w:color="auto" w:fill="012749"/>
            <w:vAlign w:val="center"/>
          </w:tcPr>
          <w:p w14:paraId="67529312"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(‘000)</w:t>
            </w:r>
          </w:p>
        </w:tc>
        <w:tc>
          <w:tcPr>
            <w:tcW w:w="993" w:type="dxa"/>
            <w:shd w:val="clear" w:color="auto" w:fill="012749"/>
            <w:vAlign w:val="center"/>
          </w:tcPr>
          <w:p w14:paraId="65E0FCD1"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w:t>
            </w:r>
          </w:p>
        </w:tc>
      </w:tr>
      <w:tr w:rsidR="00FC6DA6" w:rsidRPr="002A6BE4" w14:paraId="0D358318" w14:textId="77777777">
        <w:trPr>
          <w:trHeight w:val="290"/>
        </w:trPr>
        <w:tc>
          <w:tcPr>
            <w:tcW w:w="2268" w:type="dxa"/>
            <w:tcBorders>
              <w:top w:val="nil"/>
              <w:left w:val="nil"/>
              <w:bottom w:val="nil"/>
              <w:right w:val="nil"/>
            </w:tcBorders>
            <w:shd w:val="clear" w:color="auto" w:fill="FFFFFF" w:themeFill="background1"/>
            <w:noWrap/>
            <w:hideMark/>
          </w:tcPr>
          <w:p w14:paraId="28295F42"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Skill Level 1 Occupations</w:t>
            </w:r>
          </w:p>
        </w:tc>
        <w:tc>
          <w:tcPr>
            <w:tcW w:w="1276" w:type="dxa"/>
            <w:tcBorders>
              <w:top w:val="nil"/>
              <w:left w:val="nil"/>
              <w:bottom w:val="nil"/>
              <w:right w:val="nil"/>
            </w:tcBorders>
            <w:shd w:val="clear" w:color="auto" w:fill="FFFFFF" w:themeFill="background1"/>
            <w:noWrap/>
            <w:hideMark/>
          </w:tcPr>
          <w:p w14:paraId="56383E0B"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5059.4</w:t>
            </w:r>
          </w:p>
        </w:tc>
        <w:tc>
          <w:tcPr>
            <w:tcW w:w="1276" w:type="dxa"/>
            <w:tcBorders>
              <w:top w:val="nil"/>
              <w:left w:val="nil"/>
              <w:bottom w:val="nil"/>
              <w:right w:val="nil"/>
            </w:tcBorders>
            <w:shd w:val="clear" w:color="auto" w:fill="FFFFFF" w:themeFill="background1"/>
            <w:noWrap/>
            <w:hideMark/>
          </w:tcPr>
          <w:p w14:paraId="46B11F63"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4904.4</w:t>
            </w:r>
          </w:p>
        </w:tc>
        <w:tc>
          <w:tcPr>
            <w:tcW w:w="992" w:type="dxa"/>
            <w:tcBorders>
              <w:top w:val="nil"/>
              <w:left w:val="nil"/>
              <w:bottom w:val="nil"/>
              <w:right w:val="nil"/>
            </w:tcBorders>
            <w:shd w:val="clear" w:color="auto" w:fill="FFFFFF" w:themeFill="background1"/>
            <w:noWrap/>
            <w:hideMark/>
          </w:tcPr>
          <w:p w14:paraId="140DE851"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155.0</w:t>
            </w:r>
          </w:p>
        </w:tc>
        <w:tc>
          <w:tcPr>
            <w:tcW w:w="992" w:type="dxa"/>
            <w:tcBorders>
              <w:top w:val="nil"/>
              <w:left w:val="nil"/>
              <w:bottom w:val="nil"/>
              <w:right w:val="nil"/>
            </w:tcBorders>
            <w:shd w:val="clear" w:color="auto" w:fill="FFFFFF" w:themeFill="background1"/>
            <w:noWrap/>
            <w:hideMark/>
          </w:tcPr>
          <w:p w14:paraId="74962C9C"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3.2</w:t>
            </w:r>
          </w:p>
        </w:tc>
        <w:tc>
          <w:tcPr>
            <w:tcW w:w="1134" w:type="dxa"/>
            <w:tcBorders>
              <w:top w:val="nil"/>
              <w:left w:val="nil"/>
              <w:bottom w:val="nil"/>
              <w:right w:val="nil"/>
            </w:tcBorders>
            <w:shd w:val="clear" w:color="auto" w:fill="FFFFFF" w:themeFill="background1"/>
            <w:noWrap/>
            <w:hideMark/>
          </w:tcPr>
          <w:p w14:paraId="403A5DEC"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957.9</w:t>
            </w:r>
          </w:p>
        </w:tc>
        <w:tc>
          <w:tcPr>
            <w:tcW w:w="993" w:type="dxa"/>
            <w:tcBorders>
              <w:top w:val="nil"/>
              <w:left w:val="nil"/>
              <w:bottom w:val="nil"/>
              <w:right w:val="nil"/>
            </w:tcBorders>
            <w:shd w:val="clear" w:color="auto" w:fill="FFFFFF" w:themeFill="background1"/>
            <w:noWrap/>
            <w:hideMark/>
          </w:tcPr>
          <w:p w14:paraId="1A320D50"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23.4</w:t>
            </w:r>
          </w:p>
        </w:tc>
      </w:tr>
      <w:tr w:rsidR="00FC6DA6" w:rsidRPr="002A6BE4" w14:paraId="2F0784A5" w14:textId="77777777">
        <w:trPr>
          <w:trHeight w:val="290"/>
        </w:trPr>
        <w:tc>
          <w:tcPr>
            <w:tcW w:w="2268" w:type="dxa"/>
            <w:tcBorders>
              <w:top w:val="nil"/>
              <w:left w:val="nil"/>
              <w:bottom w:val="nil"/>
              <w:right w:val="nil"/>
            </w:tcBorders>
            <w:shd w:val="clear" w:color="auto" w:fill="D9D9D9" w:themeFill="background1" w:themeFillShade="D9"/>
            <w:noWrap/>
            <w:hideMark/>
          </w:tcPr>
          <w:p w14:paraId="58F2D8B4"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Skill Level 2 Occupations</w:t>
            </w:r>
          </w:p>
        </w:tc>
        <w:tc>
          <w:tcPr>
            <w:tcW w:w="1276" w:type="dxa"/>
            <w:tcBorders>
              <w:top w:val="nil"/>
              <w:left w:val="nil"/>
              <w:bottom w:val="nil"/>
              <w:right w:val="nil"/>
            </w:tcBorders>
            <w:shd w:val="clear" w:color="auto" w:fill="D9D9D9" w:themeFill="background1" w:themeFillShade="D9"/>
            <w:noWrap/>
            <w:hideMark/>
          </w:tcPr>
          <w:p w14:paraId="777058F0"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1777.5</w:t>
            </w:r>
          </w:p>
        </w:tc>
        <w:tc>
          <w:tcPr>
            <w:tcW w:w="1276" w:type="dxa"/>
            <w:tcBorders>
              <w:top w:val="nil"/>
              <w:left w:val="nil"/>
              <w:bottom w:val="nil"/>
              <w:right w:val="nil"/>
            </w:tcBorders>
            <w:shd w:val="clear" w:color="auto" w:fill="D9D9D9" w:themeFill="background1" w:themeFillShade="D9"/>
            <w:noWrap/>
            <w:hideMark/>
          </w:tcPr>
          <w:p w14:paraId="2C10F071"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1726.4</w:t>
            </w:r>
          </w:p>
        </w:tc>
        <w:tc>
          <w:tcPr>
            <w:tcW w:w="992" w:type="dxa"/>
            <w:tcBorders>
              <w:top w:val="nil"/>
              <w:left w:val="nil"/>
              <w:bottom w:val="nil"/>
              <w:right w:val="nil"/>
            </w:tcBorders>
            <w:shd w:val="clear" w:color="auto" w:fill="D9D9D9" w:themeFill="background1" w:themeFillShade="D9"/>
            <w:noWrap/>
            <w:hideMark/>
          </w:tcPr>
          <w:p w14:paraId="20E4DF44"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51.1</w:t>
            </w:r>
          </w:p>
        </w:tc>
        <w:tc>
          <w:tcPr>
            <w:tcW w:w="992" w:type="dxa"/>
            <w:tcBorders>
              <w:top w:val="nil"/>
              <w:left w:val="nil"/>
              <w:bottom w:val="nil"/>
              <w:right w:val="nil"/>
            </w:tcBorders>
            <w:shd w:val="clear" w:color="auto" w:fill="D9D9D9" w:themeFill="background1" w:themeFillShade="D9"/>
            <w:noWrap/>
            <w:hideMark/>
          </w:tcPr>
          <w:p w14:paraId="075600BC"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3.0</w:t>
            </w:r>
          </w:p>
        </w:tc>
        <w:tc>
          <w:tcPr>
            <w:tcW w:w="1134" w:type="dxa"/>
            <w:tcBorders>
              <w:top w:val="nil"/>
              <w:left w:val="nil"/>
              <w:bottom w:val="nil"/>
              <w:right w:val="nil"/>
            </w:tcBorders>
            <w:shd w:val="clear" w:color="auto" w:fill="D9D9D9" w:themeFill="background1" w:themeFillShade="D9"/>
            <w:noWrap/>
            <w:hideMark/>
          </w:tcPr>
          <w:p w14:paraId="0966D549"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194.3</w:t>
            </w:r>
          </w:p>
        </w:tc>
        <w:tc>
          <w:tcPr>
            <w:tcW w:w="993" w:type="dxa"/>
            <w:tcBorders>
              <w:top w:val="nil"/>
              <w:left w:val="nil"/>
              <w:bottom w:val="nil"/>
              <w:right w:val="nil"/>
            </w:tcBorders>
            <w:shd w:val="clear" w:color="auto" w:fill="D9D9D9" w:themeFill="background1" w:themeFillShade="D9"/>
            <w:noWrap/>
            <w:hideMark/>
          </w:tcPr>
          <w:p w14:paraId="491112B5"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12.3</w:t>
            </w:r>
          </w:p>
        </w:tc>
      </w:tr>
      <w:tr w:rsidR="00FC6DA6" w:rsidRPr="002A6BE4" w14:paraId="62FDE6DF" w14:textId="77777777">
        <w:trPr>
          <w:trHeight w:val="290"/>
        </w:trPr>
        <w:tc>
          <w:tcPr>
            <w:tcW w:w="2268" w:type="dxa"/>
            <w:tcBorders>
              <w:top w:val="nil"/>
              <w:left w:val="nil"/>
              <w:bottom w:val="nil"/>
              <w:right w:val="nil"/>
            </w:tcBorders>
            <w:shd w:val="clear" w:color="auto" w:fill="FFFFFF" w:themeFill="background1"/>
            <w:noWrap/>
            <w:hideMark/>
          </w:tcPr>
          <w:p w14:paraId="4E786E14"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Skill Level 3 Occupations</w:t>
            </w:r>
          </w:p>
        </w:tc>
        <w:tc>
          <w:tcPr>
            <w:tcW w:w="1276" w:type="dxa"/>
            <w:tcBorders>
              <w:top w:val="nil"/>
              <w:left w:val="nil"/>
              <w:bottom w:val="nil"/>
              <w:right w:val="nil"/>
            </w:tcBorders>
            <w:shd w:val="clear" w:color="auto" w:fill="FFFFFF" w:themeFill="background1"/>
            <w:noWrap/>
            <w:hideMark/>
          </w:tcPr>
          <w:p w14:paraId="7D23E1AF"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2111.5</w:t>
            </w:r>
          </w:p>
        </w:tc>
        <w:tc>
          <w:tcPr>
            <w:tcW w:w="1276" w:type="dxa"/>
            <w:tcBorders>
              <w:top w:val="nil"/>
              <w:left w:val="nil"/>
              <w:bottom w:val="nil"/>
              <w:right w:val="nil"/>
            </w:tcBorders>
            <w:shd w:val="clear" w:color="auto" w:fill="FFFFFF" w:themeFill="background1"/>
            <w:noWrap/>
            <w:hideMark/>
          </w:tcPr>
          <w:p w14:paraId="6495F068"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2086.3</w:t>
            </w:r>
          </w:p>
        </w:tc>
        <w:tc>
          <w:tcPr>
            <w:tcW w:w="992" w:type="dxa"/>
            <w:tcBorders>
              <w:top w:val="nil"/>
              <w:left w:val="nil"/>
              <w:bottom w:val="nil"/>
              <w:right w:val="nil"/>
            </w:tcBorders>
            <w:shd w:val="clear" w:color="auto" w:fill="FFFFFF" w:themeFill="background1"/>
            <w:noWrap/>
            <w:hideMark/>
          </w:tcPr>
          <w:p w14:paraId="6734AD1B"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25.2</w:t>
            </w:r>
          </w:p>
        </w:tc>
        <w:tc>
          <w:tcPr>
            <w:tcW w:w="992" w:type="dxa"/>
            <w:tcBorders>
              <w:top w:val="nil"/>
              <w:left w:val="nil"/>
              <w:bottom w:val="nil"/>
              <w:right w:val="nil"/>
            </w:tcBorders>
            <w:shd w:val="clear" w:color="auto" w:fill="FFFFFF" w:themeFill="background1"/>
            <w:noWrap/>
            <w:hideMark/>
          </w:tcPr>
          <w:p w14:paraId="6AE1D127"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1.2</w:t>
            </w:r>
          </w:p>
        </w:tc>
        <w:tc>
          <w:tcPr>
            <w:tcW w:w="1134" w:type="dxa"/>
            <w:tcBorders>
              <w:top w:val="nil"/>
              <w:left w:val="nil"/>
              <w:bottom w:val="nil"/>
              <w:right w:val="nil"/>
            </w:tcBorders>
            <w:shd w:val="clear" w:color="auto" w:fill="FFFFFF" w:themeFill="background1"/>
            <w:noWrap/>
            <w:hideMark/>
          </w:tcPr>
          <w:p w14:paraId="7421B808"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118.6</w:t>
            </w:r>
          </w:p>
        </w:tc>
        <w:tc>
          <w:tcPr>
            <w:tcW w:w="993" w:type="dxa"/>
            <w:tcBorders>
              <w:top w:val="nil"/>
              <w:left w:val="nil"/>
              <w:bottom w:val="nil"/>
              <w:right w:val="nil"/>
            </w:tcBorders>
            <w:shd w:val="clear" w:color="auto" w:fill="FFFFFF" w:themeFill="background1"/>
            <w:noWrap/>
            <w:hideMark/>
          </w:tcPr>
          <w:p w14:paraId="4C9DF647"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5.9</w:t>
            </w:r>
          </w:p>
        </w:tc>
      </w:tr>
      <w:tr w:rsidR="00FC6DA6" w:rsidRPr="002A6BE4" w14:paraId="20C33AFC" w14:textId="77777777">
        <w:trPr>
          <w:trHeight w:val="290"/>
        </w:trPr>
        <w:tc>
          <w:tcPr>
            <w:tcW w:w="2268" w:type="dxa"/>
            <w:tcBorders>
              <w:top w:val="nil"/>
              <w:left w:val="nil"/>
              <w:bottom w:val="nil"/>
              <w:right w:val="nil"/>
            </w:tcBorders>
            <w:shd w:val="clear" w:color="auto" w:fill="D9D9D9" w:themeFill="background1" w:themeFillShade="D9"/>
            <w:noWrap/>
            <w:hideMark/>
          </w:tcPr>
          <w:p w14:paraId="418ED420"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Skill Level 4 Occupations</w:t>
            </w:r>
          </w:p>
        </w:tc>
        <w:tc>
          <w:tcPr>
            <w:tcW w:w="1276" w:type="dxa"/>
            <w:tcBorders>
              <w:top w:val="nil"/>
              <w:left w:val="nil"/>
              <w:bottom w:val="nil"/>
              <w:right w:val="nil"/>
            </w:tcBorders>
            <w:shd w:val="clear" w:color="auto" w:fill="D9D9D9" w:themeFill="background1" w:themeFillShade="D9"/>
            <w:noWrap/>
            <w:hideMark/>
          </w:tcPr>
          <w:p w14:paraId="1F6CA4AC"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3522.5</w:t>
            </w:r>
          </w:p>
        </w:tc>
        <w:tc>
          <w:tcPr>
            <w:tcW w:w="1276" w:type="dxa"/>
            <w:tcBorders>
              <w:top w:val="nil"/>
              <w:left w:val="nil"/>
              <w:bottom w:val="nil"/>
              <w:right w:val="nil"/>
            </w:tcBorders>
            <w:shd w:val="clear" w:color="auto" w:fill="D9D9D9" w:themeFill="background1" w:themeFillShade="D9"/>
            <w:noWrap/>
            <w:hideMark/>
          </w:tcPr>
          <w:p w14:paraId="25F6142E"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3403.4</w:t>
            </w:r>
          </w:p>
        </w:tc>
        <w:tc>
          <w:tcPr>
            <w:tcW w:w="992" w:type="dxa"/>
            <w:tcBorders>
              <w:top w:val="nil"/>
              <w:left w:val="nil"/>
              <w:bottom w:val="nil"/>
              <w:right w:val="nil"/>
            </w:tcBorders>
            <w:shd w:val="clear" w:color="auto" w:fill="D9D9D9" w:themeFill="background1" w:themeFillShade="D9"/>
            <w:noWrap/>
            <w:hideMark/>
          </w:tcPr>
          <w:p w14:paraId="6C70FD4D"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119.1</w:t>
            </w:r>
          </w:p>
        </w:tc>
        <w:tc>
          <w:tcPr>
            <w:tcW w:w="992" w:type="dxa"/>
            <w:tcBorders>
              <w:top w:val="nil"/>
              <w:left w:val="nil"/>
              <w:bottom w:val="nil"/>
              <w:right w:val="nil"/>
            </w:tcBorders>
            <w:shd w:val="clear" w:color="auto" w:fill="D9D9D9" w:themeFill="background1" w:themeFillShade="D9"/>
            <w:noWrap/>
            <w:hideMark/>
          </w:tcPr>
          <w:p w14:paraId="45B275F3"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3.5</w:t>
            </w:r>
          </w:p>
        </w:tc>
        <w:tc>
          <w:tcPr>
            <w:tcW w:w="1134" w:type="dxa"/>
            <w:tcBorders>
              <w:top w:val="nil"/>
              <w:left w:val="nil"/>
              <w:bottom w:val="nil"/>
              <w:right w:val="nil"/>
            </w:tcBorders>
            <w:shd w:val="clear" w:color="auto" w:fill="D9D9D9" w:themeFill="background1" w:themeFillShade="D9"/>
            <w:noWrap/>
            <w:hideMark/>
          </w:tcPr>
          <w:p w14:paraId="6A63B23B"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350.7</w:t>
            </w:r>
          </w:p>
        </w:tc>
        <w:tc>
          <w:tcPr>
            <w:tcW w:w="993" w:type="dxa"/>
            <w:tcBorders>
              <w:top w:val="nil"/>
              <w:left w:val="nil"/>
              <w:bottom w:val="nil"/>
              <w:right w:val="nil"/>
            </w:tcBorders>
            <w:shd w:val="clear" w:color="auto" w:fill="D9D9D9" w:themeFill="background1" w:themeFillShade="D9"/>
            <w:noWrap/>
            <w:hideMark/>
          </w:tcPr>
          <w:p w14:paraId="0DB9822A"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11.1</w:t>
            </w:r>
          </w:p>
        </w:tc>
      </w:tr>
      <w:tr w:rsidR="00FC6DA6" w:rsidRPr="002A6BE4" w14:paraId="67EDE3E7" w14:textId="77777777">
        <w:trPr>
          <w:trHeight w:val="290"/>
        </w:trPr>
        <w:tc>
          <w:tcPr>
            <w:tcW w:w="2268" w:type="dxa"/>
            <w:tcBorders>
              <w:top w:val="nil"/>
              <w:left w:val="nil"/>
              <w:right w:val="nil"/>
            </w:tcBorders>
            <w:shd w:val="clear" w:color="auto" w:fill="FFFFFF" w:themeFill="background1"/>
            <w:noWrap/>
            <w:hideMark/>
          </w:tcPr>
          <w:p w14:paraId="7CBA9216"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Skill Level 5 Occupations</w:t>
            </w:r>
          </w:p>
        </w:tc>
        <w:tc>
          <w:tcPr>
            <w:tcW w:w="1276" w:type="dxa"/>
            <w:tcBorders>
              <w:top w:val="nil"/>
              <w:left w:val="nil"/>
              <w:right w:val="nil"/>
            </w:tcBorders>
            <w:shd w:val="clear" w:color="auto" w:fill="FFFFFF" w:themeFill="background1"/>
            <w:noWrap/>
            <w:hideMark/>
          </w:tcPr>
          <w:p w14:paraId="1C834D35"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1999.5</w:t>
            </w:r>
          </w:p>
        </w:tc>
        <w:tc>
          <w:tcPr>
            <w:tcW w:w="1276" w:type="dxa"/>
            <w:tcBorders>
              <w:top w:val="nil"/>
              <w:left w:val="nil"/>
              <w:right w:val="nil"/>
            </w:tcBorders>
            <w:shd w:val="clear" w:color="auto" w:fill="FFFFFF" w:themeFill="background1"/>
            <w:noWrap/>
            <w:hideMark/>
          </w:tcPr>
          <w:p w14:paraId="74359D6D"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2002.5</w:t>
            </w:r>
          </w:p>
        </w:tc>
        <w:tc>
          <w:tcPr>
            <w:tcW w:w="992" w:type="dxa"/>
            <w:tcBorders>
              <w:top w:val="nil"/>
              <w:left w:val="nil"/>
              <w:right w:val="nil"/>
            </w:tcBorders>
            <w:shd w:val="clear" w:color="auto" w:fill="FFFFFF" w:themeFill="background1"/>
            <w:noWrap/>
            <w:hideMark/>
          </w:tcPr>
          <w:p w14:paraId="47E5611F"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-3.1</w:t>
            </w:r>
          </w:p>
        </w:tc>
        <w:tc>
          <w:tcPr>
            <w:tcW w:w="992" w:type="dxa"/>
            <w:tcBorders>
              <w:top w:val="nil"/>
              <w:left w:val="nil"/>
              <w:right w:val="nil"/>
            </w:tcBorders>
            <w:shd w:val="clear" w:color="auto" w:fill="FFFFFF" w:themeFill="background1"/>
            <w:noWrap/>
            <w:hideMark/>
          </w:tcPr>
          <w:p w14:paraId="45CBCC49"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-0.2</w:t>
            </w:r>
          </w:p>
        </w:tc>
        <w:tc>
          <w:tcPr>
            <w:tcW w:w="1134" w:type="dxa"/>
            <w:tcBorders>
              <w:top w:val="nil"/>
              <w:left w:val="nil"/>
              <w:right w:val="nil"/>
            </w:tcBorders>
            <w:shd w:val="clear" w:color="auto" w:fill="FFFFFF" w:themeFill="background1"/>
            <w:noWrap/>
            <w:hideMark/>
          </w:tcPr>
          <w:p w14:paraId="3668E72F"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-0.5</w:t>
            </w:r>
          </w:p>
        </w:tc>
        <w:tc>
          <w:tcPr>
            <w:tcW w:w="993" w:type="dxa"/>
            <w:tcBorders>
              <w:top w:val="nil"/>
              <w:left w:val="nil"/>
              <w:right w:val="nil"/>
            </w:tcBorders>
            <w:shd w:val="clear" w:color="auto" w:fill="FFFFFF" w:themeFill="background1"/>
            <w:noWrap/>
            <w:hideMark/>
          </w:tcPr>
          <w:p w14:paraId="7179C7AB"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sz w:val="20"/>
                <w:szCs w:val="20"/>
              </w:rPr>
              <w:t>0.0</w:t>
            </w:r>
          </w:p>
        </w:tc>
      </w:tr>
      <w:tr w:rsidR="00FC6DA6" w:rsidRPr="002A6BE4" w14:paraId="686E57AD" w14:textId="77777777">
        <w:trPr>
          <w:trHeight w:val="349"/>
        </w:trPr>
        <w:tc>
          <w:tcPr>
            <w:tcW w:w="2268" w:type="dxa"/>
            <w:tcBorders>
              <w:top w:val="nil"/>
              <w:left w:val="nil"/>
              <w:bottom w:val="single" w:sz="4" w:space="0" w:color="auto"/>
              <w:right w:val="nil"/>
            </w:tcBorders>
            <w:shd w:val="clear" w:color="auto" w:fill="D9D9D9" w:themeFill="background1" w:themeFillShade="D9"/>
            <w:noWrap/>
            <w:vAlign w:val="center"/>
          </w:tcPr>
          <w:p w14:paraId="2C4D0DA1" w14:textId="77777777" w:rsidR="00FC6DA6" w:rsidRPr="002A6BE4" w:rsidRDefault="00FC6DA6" w:rsidP="00FC6DA6">
            <w:pPr>
              <w:rPr>
                <w:rFonts w:asciiTheme="minorHAnsi" w:hAnsiTheme="minorHAnsi" w:cstheme="minorHAnsi"/>
                <w:sz w:val="20"/>
                <w:szCs w:val="20"/>
              </w:rPr>
            </w:pPr>
            <w:r w:rsidRPr="002A6BE4">
              <w:rPr>
                <w:rFonts w:asciiTheme="minorHAnsi" w:hAnsiTheme="minorHAnsi" w:cstheme="minorHAnsi"/>
                <w:b/>
                <w:bCs/>
                <w:sz w:val="20"/>
                <w:szCs w:val="20"/>
              </w:rPr>
              <w:t>TOTAL EMPLOYMENT</w:t>
            </w:r>
          </w:p>
        </w:tc>
        <w:tc>
          <w:tcPr>
            <w:tcW w:w="1276" w:type="dxa"/>
            <w:tcBorders>
              <w:top w:val="nil"/>
              <w:left w:val="nil"/>
              <w:bottom w:val="single" w:sz="4" w:space="0" w:color="auto"/>
              <w:right w:val="nil"/>
            </w:tcBorders>
            <w:shd w:val="clear" w:color="auto" w:fill="D9D9D9" w:themeFill="background1" w:themeFillShade="D9"/>
            <w:noWrap/>
            <w:vAlign w:val="center"/>
          </w:tcPr>
          <w:p w14:paraId="2310A4DE" w14:textId="77777777" w:rsidR="00FC6DA6" w:rsidRPr="002A6BE4" w:rsidRDefault="00FC6DA6" w:rsidP="00FC6DA6">
            <w:pPr>
              <w:rPr>
                <w:rFonts w:asciiTheme="minorHAnsi" w:hAnsiTheme="minorHAnsi" w:cstheme="minorHAnsi"/>
                <w:b/>
                <w:bCs/>
                <w:sz w:val="20"/>
                <w:szCs w:val="20"/>
              </w:rPr>
            </w:pPr>
            <w:r w:rsidRPr="002A6BE4">
              <w:rPr>
                <w:rFonts w:asciiTheme="minorHAnsi" w:hAnsiTheme="minorHAnsi" w:cstheme="minorHAnsi"/>
                <w:b/>
                <w:bCs/>
                <w:sz w:val="20"/>
                <w:szCs w:val="20"/>
              </w:rPr>
              <w:t>14,486.9</w:t>
            </w:r>
          </w:p>
        </w:tc>
        <w:tc>
          <w:tcPr>
            <w:tcW w:w="1276" w:type="dxa"/>
            <w:tcBorders>
              <w:top w:val="nil"/>
              <w:left w:val="nil"/>
              <w:bottom w:val="single" w:sz="4" w:space="0" w:color="auto"/>
              <w:right w:val="nil"/>
            </w:tcBorders>
            <w:shd w:val="clear" w:color="auto" w:fill="D9D9D9" w:themeFill="background1" w:themeFillShade="D9"/>
            <w:noWrap/>
            <w:vAlign w:val="center"/>
          </w:tcPr>
          <w:p w14:paraId="5091A826" w14:textId="77777777" w:rsidR="00FC6DA6" w:rsidRPr="002A6BE4" w:rsidRDefault="00FC6DA6" w:rsidP="00FC6DA6">
            <w:pPr>
              <w:rPr>
                <w:rFonts w:asciiTheme="minorHAnsi" w:hAnsiTheme="minorHAnsi" w:cstheme="minorHAnsi"/>
                <w:b/>
                <w:bCs/>
                <w:sz w:val="20"/>
                <w:szCs w:val="20"/>
              </w:rPr>
            </w:pPr>
            <w:r w:rsidRPr="002A6BE4">
              <w:rPr>
                <w:rFonts w:asciiTheme="minorHAnsi" w:hAnsiTheme="minorHAnsi" w:cstheme="minorHAnsi"/>
                <w:b/>
                <w:bCs/>
                <w:sz w:val="20"/>
                <w:szCs w:val="20"/>
              </w:rPr>
              <w:t>14,116.7</w:t>
            </w:r>
          </w:p>
        </w:tc>
        <w:tc>
          <w:tcPr>
            <w:tcW w:w="992" w:type="dxa"/>
            <w:tcBorders>
              <w:top w:val="nil"/>
              <w:left w:val="nil"/>
              <w:bottom w:val="single" w:sz="4" w:space="0" w:color="auto"/>
              <w:right w:val="nil"/>
            </w:tcBorders>
            <w:shd w:val="clear" w:color="auto" w:fill="D9D9D9" w:themeFill="background1" w:themeFillShade="D9"/>
            <w:noWrap/>
            <w:vAlign w:val="center"/>
          </w:tcPr>
          <w:p w14:paraId="7EEC88ED" w14:textId="77777777" w:rsidR="00FC6DA6" w:rsidRPr="002A6BE4" w:rsidRDefault="00FC6DA6" w:rsidP="00FC6DA6">
            <w:pPr>
              <w:rPr>
                <w:rFonts w:asciiTheme="minorHAnsi" w:hAnsiTheme="minorHAnsi" w:cstheme="minorHAnsi"/>
                <w:b/>
                <w:bCs/>
                <w:sz w:val="20"/>
                <w:szCs w:val="20"/>
              </w:rPr>
            </w:pPr>
            <w:r w:rsidRPr="002A6BE4">
              <w:rPr>
                <w:rFonts w:asciiTheme="minorHAnsi" w:hAnsiTheme="minorHAnsi" w:cstheme="minorHAnsi"/>
                <w:b/>
                <w:bCs/>
                <w:sz w:val="20"/>
                <w:szCs w:val="20"/>
              </w:rPr>
              <w:t>370.2</w:t>
            </w:r>
          </w:p>
        </w:tc>
        <w:tc>
          <w:tcPr>
            <w:tcW w:w="992" w:type="dxa"/>
            <w:tcBorders>
              <w:top w:val="nil"/>
              <w:left w:val="nil"/>
              <w:bottom w:val="single" w:sz="4" w:space="0" w:color="auto"/>
              <w:right w:val="nil"/>
            </w:tcBorders>
            <w:shd w:val="clear" w:color="auto" w:fill="D9D9D9" w:themeFill="background1" w:themeFillShade="D9"/>
            <w:noWrap/>
            <w:vAlign w:val="center"/>
          </w:tcPr>
          <w:p w14:paraId="534DE51B" w14:textId="77777777" w:rsidR="00FC6DA6" w:rsidRPr="002A6BE4" w:rsidRDefault="00FC6DA6" w:rsidP="00FC6DA6">
            <w:pPr>
              <w:rPr>
                <w:rFonts w:asciiTheme="minorHAnsi" w:hAnsiTheme="minorHAnsi" w:cstheme="minorHAnsi"/>
                <w:b/>
                <w:bCs/>
                <w:sz w:val="20"/>
                <w:szCs w:val="20"/>
              </w:rPr>
            </w:pPr>
            <w:r w:rsidRPr="002A6BE4">
              <w:rPr>
                <w:rFonts w:asciiTheme="minorHAnsi" w:hAnsiTheme="minorHAnsi" w:cstheme="minorHAnsi"/>
                <w:b/>
                <w:bCs/>
                <w:sz w:val="20"/>
                <w:szCs w:val="20"/>
              </w:rPr>
              <w:t>2.6</w:t>
            </w:r>
          </w:p>
        </w:tc>
        <w:tc>
          <w:tcPr>
            <w:tcW w:w="1134" w:type="dxa"/>
            <w:tcBorders>
              <w:top w:val="nil"/>
              <w:left w:val="nil"/>
              <w:bottom w:val="single" w:sz="4" w:space="0" w:color="auto"/>
              <w:right w:val="nil"/>
            </w:tcBorders>
            <w:shd w:val="clear" w:color="auto" w:fill="D9D9D9" w:themeFill="background1" w:themeFillShade="D9"/>
            <w:noWrap/>
            <w:vAlign w:val="center"/>
          </w:tcPr>
          <w:p w14:paraId="6E5B2422" w14:textId="77777777" w:rsidR="00FC6DA6" w:rsidRPr="002A6BE4" w:rsidRDefault="00FC6DA6" w:rsidP="00FC6DA6">
            <w:pPr>
              <w:rPr>
                <w:rFonts w:asciiTheme="minorHAnsi" w:hAnsiTheme="minorHAnsi" w:cstheme="minorHAnsi"/>
                <w:b/>
                <w:bCs/>
                <w:sz w:val="20"/>
                <w:szCs w:val="20"/>
              </w:rPr>
            </w:pPr>
            <w:r w:rsidRPr="002A6BE4">
              <w:rPr>
                <w:rFonts w:asciiTheme="minorHAnsi" w:hAnsiTheme="minorHAnsi" w:cstheme="minorHAnsi"/>
                <w:b/>
                <w:bCs/>
                <w:sz w:val="20"/>
                <w:szCs w:val="20"/>
              </w:rPr>
              <w:t>1,597.7</w:t>
            </w:r>
          </w:p>
        </w:tc>
        <w:tc>
          <w:tcPr>
            <w:tcW w:w="993" w:type="dxa"/>
            <w:tcBorders>
              <w:top w:val="nil"/>
              <w:left w:val="nil"/>
              <w:bottom w:val="single" w:sz="4" w:space="0" w:color="auto"/>
              <w:right w:val="nil"/>
            </w:tcBorders>
            <w:shd w:val="clear" w:color="auto" w:fill="D9D9D9" w:themeFill="background1" w:themeFillShade="D9"/>
            <w:noWrap/>
            <w:vAlign w:val="center"/>
          </w:tcPr>
          <w:p w14:paraId="398618B3" w14:textId="77777777" w:rsidR="00FC6DA6" w:rsidRPr="002A6BE4" w:rsidRDefault="00FC6DA6" w:rsidP="00FC6DA6">
            <w:pPr>
              <w:rPr>
                <w:rFonts w:asciiTheme="minorHAnsi" w:hAnsiTheme="minorHAnsi" w:cstheme="minorHAnsi"/>
                <w:b/>
                <w:bCs/>
                <w:sz w:val="20"/>
                <w:szCs w:val="20"/>
              </w:rPr>
            </w:pPr>
            <w:r w:rsidRPr="002A6BE4">
              <w:rPr>
                <w:rFonts w:asciiTheme="minorHAnsi" w:hAnsiTheme="minorHAnsi" w:cstheme="minorHAnsi"/>
                <w:b/>
                <w:bCs/>
                <w:sz w:val="20"/>
                <w:szCs w:val="20"/>
              </w:rPr>
              <w:t>12.4</w:t>
            </w:r>
          </w:p>
        </w:tc>
      </w:tr>
    </w:tbl>
    <w:p w14:paraId="772124F9" w14:textId="7B4DB1C2" w:rsidR="002A6BE4" w:rsidRPr="00866EAE" w:rsidRDefault="00757417" w:rsidP="00866EAE">
      <w:pPr>
        <w:spacing w:before="240"/>
        <w:rPr>
          <w:rFonts w:cs="Arial"/>
          <w:sz w:val="18"/>
          <w:szCs w:val="18"/>
        </w:rPr>
      </w:pPr>
      <w:r w:rsidRPr="00856BE8">
        <w:rPr>
          <w:sz w:val="18"/>
          <w:szCs w:val="18"/>
        </w:rPr>
        <w:t xml:space="preserve">Source: ABS, Labour Force, Australia, </w:t>
      </w:r>
      <w:r>
        <w:rPr>
          <w:sz w:val="18"/>
          <w:szCs w:val="18"/>
        </w:rPr>
        <w:t xml:space="preserve">Detailed, </w:t>
      </w:r>
      <w:r w:rsidR="00A02E72">
        <w:rPr>
          <w:sz w:val="18"/>
          <w:szCs w:val="18"/>
        </w:rPr>
        <w:t>August</w:t>
      </w:r>
      <w:r w:rsidR="00A02E72" w:rsidRPr="00856BE8">
        <w:rPr>
          <w:sz w:val="18"/>
          <w:szCs w:val="18"/>
        </w:rPr>
        <w:t xml:space="preserve"> </w:t>
      </w:r>
      <w:r w:rsidRPr="00856BE8">
        <w:rPr>
          <w:sz w:val="18"/>
          <w:szCs w:val="18"/>
        </w:rPr>
        <w:t xml:space="preserve">2024, </w:t>
      </w:r>
      <w:r>
        <w:rPr>
          <w:sz w:val="18"/>
          <w:szCs w:val="18"/>
        </w:rPr>
        <w:t>trended</w:t>
      </w:r>
      <w:r w:rsidRPr="00856BE8">
        <w:rPr>
          <w:sz w:val="18"/>
          <w:szCs w:val="18"/>
        </w:rPr>
        <w:t xml:space="preserve"> data; JSA</w:t>
      </w:r>
      <w:r w:rsidR="00284BA9">
        <w:rPr>
          <w:sz w:val="18"/>
          <w:szCs w:val="18"/>
        </w:rPr>
        <w:t xml:space="preserve"> and ABS</w:t>
      </w:r>
    </w:p>
    <w:p w14:paraId="072128FC" w14:textId="55DF6B38" w:rsidR="007502C1" w:rsidRPr="00751908" w:rsidRDefault="0085368A" w:rsidP="002A6BE4">
      <w:pPr>
        <w:pStyle w:val="Heading1"/>
        <w:spacing w:line="240" w:lineRule="auto"/>
      </w:pPr>
      <w:bookmarkStart w:id="23" w:name="_Toc182561810"/>
      <w:r w:rsidRPr="00751908">
        <w:t>L</w:t>
      </w:r>
      <w:r w:rsidR="007502C1" w:rsidRPr="00751908">
        <w:t xml:space="preserve">abour </w:t>
      </w:r>
      <w:r w:rsidRPr="00751908">
        <w:t>demand</w:t>
      </w:r>
      <w:r w:rsidR="007502C1" w:rsidRPr="00751908">
        <w:t xml:space="preserve"> indicators are </w:t>
      </w:r>
      <w:r w:rsidR="00751908" w:rsidRPr="00751908">
        <w:t>easing</w:t>
      </w:r>
      <w:bookmarkEnd w:id="23"/>
    </w:p>
    <w:p w14:paraId="02398B91" w14:textId="3246A4E5" w:rsidR="00E325A5" w:rsidRDefault="00775843" w:rsidP="00866EAE">
      <w:pPr>
        <w:spacing w:before="240"/>
      </w:pPr>
      <w:r w:rsidRPr="002222C4">
        <w:t xml:space="preserve">Results from Jobs and Skills Australia’s </w:t>
      </w:r>
      <w:r w:rsidR="00D452B3">
        <w:t>September</w:t>
      </w:r>
      <w:r w:rsidRPr="002222C4">
        <w:t xml:space="preserve"> 2024 </w:t>
      </w:r>
      <w:r w:rsidRPr="00A953D0">
        <w:t>REOS</w:t>
      </w:r>
      <w:r w:rsidRPr="002222C4">
        <w:t xml:space="preserve"> confirm</w:t>
      </w:r>
      <w:r w:rsidR="001C11AD">
        <w:t xml:space="preserve">ed </w:t>
      </w:r>
      <w:r w:rsidRPr="002222C4">
        <w:t>labour market conditions remain</w:t>
      </w:r>
      <w:r w:rsidR="001C11AD">
        <w:t>ed</w:t>
      </w:r>
      <w:r w:rsidRPr="002222C4">
        <w:t xml:space="preserve"> softer than a year ago. The </w:t>
      </w:r>
      <w:r w:rsidRPr="00A953D0">
        <w:t>REOS recruitment rate</w:t>
      </w:r>
      <w:r w:rsidRPr="00C22718">
        <w:t xml:space="preserve"> is the proportion of employers who were recruiting at the time of the survey</w:t>
      </w:r>
      <w:r w:rsidR="00E335CB">
        <w:t xml:space="preserve"> or had recruited in the month prior</w:t>
      </w:r>
      <w:r w:rsidRPr="00C22718">
        <w:t>. The recruitment rate is a robust indicator of the demand for workers and an indicator of employers’ confidence in business conditions.</w:t>
      </w:r>
    </w:p>
    <w:p w14:paraId="0E9D945A" w14:textId="1F17487B" w:rsidR="00775843" w:rsidRPr="002A6BE4" w:rsidRDefault="00775843" w:rsidP="00A953D0">
      <w:pPr>
        <w:pStyle w:val="ChartandTablelabel"/>
        <w:spacing w:before="240"/>
        <w:rPr>
          <w:rFonts w:cs="Arial"/>
          <w:sz w:val="18"/>
          <w:szCs w:val="20"/>
          <w:lang w:val="en-AU"/>
        </w:rPr>
      </w:pPr>
      <w:r w:rsidRPr="002A6BE4">
        <w:rPr>
          <w:rFonts w:cs="Arial"/>
          <w:sz w:val="18"/>
          <w:szCs w:val="20"/>
          <w:lang w:val="en-AU"/>
        </w:rPr>
        <w:t xml:space="preserve">Figure </w:t>
      </w:r>
      <w:r w:rsidR="00904B4B" w:rsidRPr="002A6BE4">
        <w:rPr>
          <w:rFonts w:cs="Arial"/>
          <w:sz w:val="18"/>
          <w:szCs w:val="20"/>
          <w:lang w:val="en-AU"/>
        </w:rPr>
        <w:t>4</w:t>
      </w:r>
      <w:r w:rsidRPr="002A6BE4">
        <w:rPr>
          <w:rFonts w:cs="Arial"/>
          <w:sz w:val="18"/>
          <w:szCs w:val="20"/>
          <w:lang w:val="en-AU"/>
        </w:rPr>
        <w:t xml:space="preserve">: Recruitment rate (proportion of employers currently recruiting or who recruited in the past month), </w:t>
      </w:r>
      <w:r w:rsidR="00F17695" w:rsidRPr="002A6BE4">
        <w:rPr>
          <w:rFonts w:cs="Arial"/>
          <w:sz w:val="18"/>
          <w:szCs w:val="20"/>
          <w:lang w:val="en-AU"/>
        </w:rPr>
        <w:t>September</w:t>
      </w:r>
      <w:r w:rsidRPr="002A6BE4">
        <w:rPr>
          <w:rFonts w:cs="Arial"/>
          <w:sz w:val="18"/>
          <w:szCs w:val="20"/>
          <w:lang w:val="en-AU"/>
        </w:rPr>
        <w:t xml:space="preserve"> quarter 2021 to </w:t>
      </w:r>
      <w:r w:rsidR="00F17695" w:rsidRPr="002A6BE4">
        <w:rPr>
          <w:rFonts w:cs="Arial"/>
          <w:sz w:val="18"/>
          <w:szCs w:val="20"/>
          <w:lang w:val="en-AU"/>
        </w:rPr>
        <w:t xml:space="preserve">September </w:t>
      </w:r>
      <w:r w:rsidRPr="002A6BE4">
        <w:rPr>
          <w:rFonts w:cs="Arial"/>
          <w:sz w:val="18"/>
          <w:szCs w:val="20"/>
          <w:lang w:val="en-AU"/>
        </w:rPr>
        <w:t>quarter 2024</w:t>
      </w:r>
    </w:p>
    <w:p w14:paraId="5515FCB1" w14:textId="2B844B04" w:rsidR="00F17695" w:rsidRPr="00F17695" w:rsidRDefault="00F17695" w:rsidP="00F1602D">
      <w:pPr>
        <w:pStyle w:val="ChartandTablelabel"/>
        <w:rPr>
          <w:lang w:val="en-AU"/>
        </w:rPr>
      </w:pPr>
      <w:r w:rsidRPr="00F17695">
        <w:rPr>
          <w:noProof/>
        </w:rPr>
        <w:drawing>
          <wp:inline distT="0" distB="0" distL="0" distR="0" wp14:anchorId="0D3E99F2" wp14:editId="3C2EB262">
            <wp:extent cx="5645150" cy="2282025"/>
            <wp:effectExtent l="0" t="0" r="0" b="4445"/>
            <wp:docPr id="1878080246" name="Chart 1" descr="Figure 4  A line chart of the recruitment rate over the past three years. Since September 2022 the recruitment rate declined from 57% to 44% in September 2024. ">
              <a:extLst xmlns:a="http://schemas.openxmlformats.org/drawingml/2006/main">
                <a:ext uri="{FF2B5EF4-FFF2-40B4-BE49-F238E27FC236}">
                  <a16:creationId xmlns:a16="http://schemas.microsoft.com/office/drawing/2014/main" id="{3497FF63-1F25-0F24-CC8D-6AE1A776B5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8D41E5D" w14:textId="700AD77E" w:rsidR="002A6BE4" w:rsidRDefault="002A6BE4" w:rsidP="002A6BE4">
      <w:pPr>
        <w:pStyle w:val="Source"/>
        <w:spacing w:before="0"/>
      </w:pPr>
      <w:bookmarkStart w:id="24" w:name="_Hlk157671683"/>
      <w:r w:rsidRPr="00F17695">
        <w:rPr>
          <w:iCs/>
        </w:rPr>
        <w:t>Source: JSA</w:t>
      </w:r>
      <w:r w:rsidRPr="00F17695">
        <w:t xml:space="preserve">, </w:t>
      </w:r>
      <w:r w:rsidR="00623868">
        <w:t>REOS</w:t>
      </w:r>
      <w:r w:rsidRPr="00F17695">
        <w:t xml:space="preserve">, </w:t>
      </w:r>
      <w:r w:rsidRPr="00F17695">
        <w:rPr>
          <w:rFonts w:asciiTheme="minorHAnsi" w:hAnsiTheme="minorHAnsi"/>
        </w:rPr>
        <w:t xml:space="preserve">September </w:t>
      </w:r>
      <w:r w:rsidR="00623868">
        <w:rPr>
          <w:rFonts w:asciiTheme="minorHAnsi" w:hAnsiTheme="minorHAnsi"/>
        </w:rPr>
        <w:t xml:space="preserve">quarter </w:t>
      </w:r>
      <w:r w:rsidRPr="00F17695">
        <w:rPr>
          <w:iCs/>
        </w:rPr>
        <w:t>2024</w:t>
      </w:r>
    </w:p>
    <w:p w14:paraId="25561B85" w14:textId="60BDF400" w:rsidR="00A953D0" w:rsidRDefault="00D5751F" w:rsidP="00A953D0">
      <w:pPr>
        <w:spacing w:before="240"/>
        <w:rPr>
          <w:rFonts w:asciiTheme="minorHAnsi" w:hAnsiTheme="minorHAnsi" w:cstheme="minorHAnsi"/>
        </w:rPr>
      </w:pPr>
      <w:r w:rsidRPr="002222C4">
        <w:lastRenderedPageBreak/>
        <w:t xml:space="preserve">The </w:t>
      </w:r>
      <w:r w:rsidR="00C22718" w:rsidRPr="002222C4">
        <w:t>September</w:t>
      </w:r>
      <w:r w:rsidRPr="002222C4">
        <w:t xml:space="preserve"> quarter 2024 recruitment rate </w:t>
      </w:r>
      <w:r w:rsidR="00D725A7">
        <w:t>wa</w:t>
      </w:r>
      <w:r w:rsidRPr="002222C4">
        <w:t>s</w:t>
      </w:r>
      <w:r w:rsidR="00C22718" w:rsidRPr="002222C4">
        <w:t xml:space="preserve"> 44%. It </w:t>
      </w:r>
      <w:r w:rsidR="00D725A7">
        <w:t>wa</w:t>
      </w:r>
      <w:r w:rsidR="00C22718" w:rsidRPr="002222C4">
        <w:t>s</w:t>
      </w:r>
      <w:r w:rsidRPr="002222C4">
        <w:t xml:space="preserve"> </w:t>
      </w:r>
      <w:r w:rsidR="00C746D2">
        <w:t xml:space="preserve">1pp lower than the June quarter </w:t>
      </w:r>
      <w:r w:rsidR="00D725A7">
        <w:t xml:space="preserve">2024, </w:t>
      </w:r>
      <w:r w:rsidR="00C22718" w:rsidRPr="002222C4">
        <w:t>4</w:t>
      </w:r>
      <w:r w:rsidR="005A08A4">
        <w:t>pp</w:t>
      </w:r>
      <w:r w:rsidR="00C22718" w:rsidRPr="002222C4">
        <w:t xml:space="preserve"> </w:t>
      </w:r>
      <w:r w:rsidRPr="002222C4">
        <w:t>lower than 12 months ago and is now 1</w:t>
      </w:r>
      <w:r w:rsidR="00F608B8">
        <w:t>3</w:t>
      </w:r>
      <w:r w:rsidR="005A08A4">
        <w:t>pp</w:t>
      </w:r>
      <w:r w:rsidR="00F1602D" w:rsidRPr="002222C4">
        <w:t xml:space="preserve"> </w:t>
      </w:r>
      <w:r w:rsidRPr="002222C4">
        <w:t xml:space="preserve">lower than </w:t>
      </w:r>
      <w:r w:rsidR="00F608B8">
        <w:t>the</w:t>
      </w:r>
      <w:r w:rsidRPr="002222C4">
        <w:t xml:space="preserve"> 5</w:t>
      </w:r>
      <w:r w:rsidR="00F608B8">
        <w:t>7</w:t>
      </w:r>
      <w:r w:rsidRPr="002222C4">
        <w:t xml:space="preserve">% recorded in the </w:t>
      </w:r>
      <w:r w:rsidR="00F608B8">
        <w:t>September</w:t>
      </w:r>
      <w:r w:rsidRPr="002222C4">
        <w:t xml:space="preserve"> quarter 2022 (Figure 4).</w:t>
      </w:r>
    </w:p>
    <w:p w14:paraId="0A11CD9D" w14:textId="276387C9" w:rsidR="00D5751F" w:rsidRPr="00243658" w:rsidRDefault="00D3390C" w:rsidP="00A953D0">
      <w:pPr>
        <w:spacing w:before="240"/>
      </w:pPr>
      <w:r w:rsidRPr="003923C3">
        <w:rPr>
          <w:rFonts w:asciiTheme="minorHAnsi" w:hAnsiTheme="minorHAnsi" w:cstheme="minorHAnsi"/>
        </w:rPr>
        <w:t>Monthly</w:t>
      </w:r>
      <w:r w:rsidRPr="003923C3">
        <w:rPr>
          <w:rFonts w:asciiTheme="minorHAnsi" w:hAnsiTheme="minorHAnsi" w:cstheme="minorHAnsi"/>
          <w:b/>
          <w:bCs/>
        </w:rPr>
        <w:t xml:space="preserve"> </w:t>
      </w:r>
      <w:r w:rsidRPr="00A953D0">
        <w:rPr>
          <w:rFonts w:asciiTheme="minorHAnsi" w:hAnsiTheme="minorHAnsi" w:cstheme="minorHAnsi"/>
        </w:rPr>
        <w:t>job advertisements</w:t>
      </w:r>
      <w:r w:rsidRPr="003923C3">
        <w:rPr>
          <w:rFonts w:asciiTheme="minorHAnsi" w:hAnsiTheme="minorHAnsi" w:cstheme="minorHAnsi"/>
        </w:rPr>
        <w:t xml:space="preserve"> have recently increased but remain below their mid</w:t>
      </w:r>
      <w:r w:rsidRPr="003923C3">
        <w:rPr>
          <w:rFonts w:asciiTheme="minorHAnsi" w:hAnsiTheme="minorHAnsi" w:cstheme="minorHAnsi"/>
        </w:rPr>
        <w:noBreakHyphen/>
        <w:t xml:space="preserve">2022 peak. </w:t>
      </w:r>
      <w:r w:rsidR="00D5751F" w:rsidRPr="005B5497">
        <w:rPr>
          <w:rFonts w:asciiTheme="minorHAnsi" w:hAnsiTheme="minorHAnsi" w:cstheme="minorHAnsi"/>
        </w:rPr>
        <w:t>Jobs and Skills Australia’s</w:t>
      </w:r>
      <w:r w:rsidR="00D5751F" w:rsidRPr="00A953D0">
        <w:rPr>
          <w:rFonts w:asciiTheme="minorHAnsi" w:hAnsiTheme="minorHAnsi" w:cstheme="minorHAnsi"/>
        </w:rPr>
        <w:t xml:space="preserve"> IVI </w:t>
      </w:r>
      <w:r w:rsidR="00D5751F" w:rsidRPr="005B5497">
        <w:rPr>
          <w:rFonts w:asciiTheme="minorHAnsi" w:hAnsiTheme="minorHAnsi" w:cstheme="minorHAnsi"/>
        </w:rPr>
        <w:t xml:space="preserve">shows there </w:t>
      </w:r>
      <w:r w:rsidR="001C11AD">
        <w:rPr>
          <w:rFonts w:asciiTheme="minorHAnsi" w:hAnsiTheme="minorHAnsi" w:cstheme="minorHAnsi"/>
        </w:rPr>
        <w:t>was an</w:t>
      </w:r>
      <w:r w:rsidR="00D5751F" w:rsidRPr="005B5497">
        <w:rPr>
          <w:rFonts w:asciiTheme="minorHAnsi" w:hAnsiTheme="minorHAnsi" w:cstheme="minorHAnsi"/>
        </w:rPr>
        <w:t xml:space="preserve"> overall </w:t>
      </w:r>
      <w:r w:rsidR="00243658" w:rsidRPr="005B5497">
        <w:rPr>
          <w:rFonts w:asciiTheme="minorHAnsi" w:hAnsiTheme="minorHAnsi" w:cstheme="minorHAnsi"/>
        </w:rPr>
        <w:t>increase</w:t>
      </w:r>
      <w:r w:rsidR="00D5751F" w:rsidRPr="005B5497">
        <w:rPr>
          <w:rFonts w:asciiTheme="minorHAnsi" w:hAnsiTheme="minorHAnsi" w:cstheme="minorHAnsi"/>
        </w:rPr>
        <w:t xml:space="preserve"> in recruitment activity over the quarter to </w:t>
      </w:r>
      <w:r w:rsidR="00243658" w:rsidRPr="005B5497">
        <w:rPr>
          <w:rFonts w:asciiTheme="minorHAnsi" w:hAnsiTheme="minorHAnsi" w:cstheme="minorHAnsi"/>
        </w:rPr>
        <w:t>September</w:t>
      </w:r>
      <w:r w:rsidR="00D5751F" w:rsidRPr="005B5497">
        <w:rPr>
          <w:rFonts w:asciiTheme="minorHAnsi" w:hAnsiTheme="minorHAnsi" w:cstheme="minorHAnsi"/>
        </w:rPr>
        <w:t xml:space="preserve"> 2024</w:t>
      </w:r>
      <w:r w:rsidR="001C11AD">
        <w:rPr>
          <w:rFonts w:asciiTheme="minorHAnsi" w:hAnsiTheme="minorHAnsi" w:cstheme="minorHAnsi"/>
        </w:rPr>
        <w:t xml:space="preserve"> </w:t>
      </w:r>
      <w:r w:rsidR="00D5751F" w:rsidRPr="005B5497">
        <w:rPr>
          <w:rFonts w:asciiTheme="minorHAnsi" w:hAnsiTheme="minorHAnsi" w:cstheme="minorHAnsi"/>
        </w:rPr>
        <w:t xml:space="preserve">with </w:t>
      </w:r>
      <w:r w:rsidR="001C11AD">
        <w:rPr>
          <w:rFonts w:asciiTheme="minorHAnsi" w:hAnsiTheme="minorHAnsi" w:cstheme="minorHAnsi"/>
        </w:rPr>
        <w:t xml:space="preserve">internet </w:t>
      </w:r>
      <w:r w:rsidR="00D5751F" w:rsidRPr="005B5497">
        <w:rPr>
          <w:rFonts w:asciiTheme="minorHAnsi" w:hAnsiTheme="minorHAnsi" w:cstheme="minorHAnsi"/>
        </w:rPr>
        <w:t xml:space="preserve">job advertisements </w:t>
      </w:r>
      <w:r w:rsidR="00243658" w:rsidRPr="005B5497">
        <w:rPr>
          <w:rFonts w:asciiTheme="minorHAnsi" w:hAnsiTheme="minorHAnsi" w:cstheme="minorHAnsi"/>
        </w:rPr>
        <w:t>increasing</w:t>
      </w:r>
      <w:r w:rsidR="00D5751F" w:rsidRPr="005B5497">
        <w:rPr>
          <w:rFonts w:asciiTheme="minorHAnsi" w:hAnsiTheme="minorHAnsi" w:cstheme="minorHAnsi"/>
        </w:rPr>
        <w:t xml:space="preserve"> by </w:t>
      </w:r>
      <w:r w:rsidR="005B5497" w:rsidRPr="005B5497">
        <w:rPr>
          <w:rFonts w:asciiTheme="minorHAnsi" w:hAnsiTheme="minorHAnsi" w:cstheme="minorHAnsi"/>
        </w:rPr>
        <w:t>2.2</w:t>
      </w:r>
      <w:r w:rsidR="00D5751F" w:rsidRPr="005B5497">
        <w:rPr>
          <w:rFonts w:asciiTheme="minorHAnsi" w:hAnsiTheme="minorHAnsi" w:cstheme="minorHAnsi"/>
        </w:rPr>
        <w:t xml:space="preserve">% (or </w:t>
      </w:r>
      <w:r w:rsidR="005B5497" w:rsidRPr="005B5497">
        <w:rPr>
          <w:rFonts w:asciiTheme="minorHAnsi" w:hAnsiTheme="minorHAnsi" w:cstheme="minorHAnsi"/>
        </w:rPr>
        <w:t>4,900</w:t>
      </w:r>
      <w:r w:rsidR="003923C3" w:rsidRPr="005B5497">
        <w:rPr>
          <w:rFonts w:asciiTheme="minorHAnsi" w:hAnsiTheme="minorHAnsi" w:cstheme="minorHAnsi"/>
        </w:rPr>
        <w:t>)</w:t>
      </w:r>
      <w:r w:rsidR="001C11AD">
        <w:rPr>
          <w:rFonts w:asciiTheme="minorHAnsi" w:hAnsiTheme="minorHAnsi" w:cstheme="minorHAnsi"/>
        </w:rPr>
        <w:t>.</w:t>
      </w:r>
      <w:r w:rsidR="00D5751F" w:rsidRPr="005B5497">
        <w:rPr>
          <w:rFonts w:asciiTheme="minorHAnsi" w:hAnsiTheme="minorHAnsi" w:cstheme="minorHAnsi"/>
        </w:rPr>
        <w:t xml:space="preserve"> </w:t>
      </w:r>
      <w:r w:rsidR="00D5751F" w:rsidRPr="003923C3">
        <w:rPr>
          <w:rFonts w:asciiTheme="minorHAnsi" w:hAnsiTheme="minorHAnsi" w:cstheme="minorHAnsi"/>
        </w:rPr>
        <w:t xml:space="preserve">Internet job advertisements decreased by </w:t>
      </w:r>
      <w:r w:rsidR="003923C3" w:rsidRPr="003923C3">
        <w:rPr>
          <w:rFonts w:asciiTheme="minorHAnsi" w:hAnsiTheme="minorHAnsi" w:cstheme="minorHAnsi"/>
        </w:rPr>
        <w:t>37,0</w:t>
      </w:r>
      <w:r w:rsidR="00D5751F" w:rsidRPr="003923C3">
        <w:rPr>
          <w:rFonts w:asciiTheme="minorHAnsi" w:hAnsiTheme="minorHAnsi" w:cstheme="minorHAnsi"/>
        </w:rPr>
        <w:t xml:space="preserve">00 (or </w:t>
      </w:r>
      <w:r w:rsidR="003923C3" w:rsidRPr="003923C3">
        <w:rPr>
          <w:rFonts w:asciiTheme="minorHAnsi" w:hAnsiTheme="minorHAnsi" w:cstheme="minorHAnsi"/>
        </w:rPr>
        <w:t>13.7</w:t>
      </w:r>
      <w:r w:rsidR="00D5751F" w:rsidRPr="003923C3">
        <w:rPr>
          <w:rFonts w:asciiTheme="minorHAnsi" w:hAnsiTheme="minorHAnsi" w:cstheme="minorHAnsi"/>
        </w:rPr>
        <w:t xml:space="preserve">%) over the year to </w:t>
      </w:r>
      <w:r w:rsidR="003923C3" w:rsidRPr="003923C3">
        <w:rPr>
          <w:rFonts w:asciiTheme="minorHAnsi" w:hAnsiTheme="minorHAnsi" w:cstheme="minorHAnsi"/>
        </w:rPr>
        <w:t>September</w:t>
      </w:r>
      <w:r w:rsidR="00D5751F" w:rsidRPr="003923C3">
        <w:rPr>
          <w:rFonts w:asciiTheme="minorHAnsi" w:hAnsiTheme="minorHAnsi" w:cstheme="minorHAnsi"/>
        </w:rPr>
        <w:t xml:space="preserve"> 2024, </w:t>
      </w:r>
      <w:r w:rsidR="003923C3" w:rsidRPr="003923C3">
        <w:rPr>
          <w:rFonts w:asciiTheme="minorHAnsi" w:hAnsiTheme="minorHAnsi" w:cstheme="minorHAnsi"/>
        </w:rPr>
        <w:t>however</w:t>
      </w:r>
      <w:r w:rsidR="00D5751F" w:rsidRPr="003923C3">
        <w:rPr>
          <w:rFonts w:asciiTheme="minorHAnsi" w:hAnsiTheme="minorHAnsi" w:cstheme="minorHAnsi"/>
        </w:rPr>
        <w:t xml:space="preserve"> </w:t>
      </w:r>
      <w:r w:rsidR="003923C3" w:rsidRPr="003923C3">
        <w:rPr>
          <w:rFonts w:asciiTheme="minorHAnsi" w:hAnsiTheme="minorHAnsi" w:cstheme="minorHAnsi"/>
        </w:rPr>
        <w:t>vacancies</w:t>
      </w:r>
      <w:r w:rsidR="00D5751F" w:rsidRPr="003923C3">
        <w:rPr>
          <w:rFonts w:asciiTheme="minorHAnsi" w:hAnsiTheme="minorHAnsi" w:cstheme="minorHAnsi"/>
        </w:rPr>
        <w:t xml:space="preserve"> </w:t>
      </w:r>
      <w:r w:rsidR="003923C3" w:rsidRPr="003923C3">
        <w:rPr>
          <w:rFonts w:asciiTheme="minorHAnsi" w:hAnsiTheme="minorHAnsi" w:cstheme="minorHAnsi"/>
        </w:rPr>
        <w:t>remain at historically high levels</w:t>
      </w:r>
      <w:r w:rsidR="001C11AD">
        <w:rPr>
          <w:rFonts w:asciiTheme="minorHAnsi" w:hAnsiTheme="minorHAnsi" w:cstheme="minorHAnsi"/>
        </w:rPr>
        <w:t xml:space="preserve"> – see Figure 5.</w:t>
      </w:r>
    </w:p>
    <w:bookmarkEnd w:id="24"/>
    <w:p w14:paraId="3DCDCA1E" w14:textId="5EF8A2A8" w:rsidR="00775843" w:rsidRPr="00613EDD" w:rsidRDefault="00775843" w:rsidP="002A6BE4">
      <w:pPr>
        <w:pStyle w:val="ChartandTablelabel"/>
        <w:keepNext/>
        <w:keepLines/>
        <w:spacing w:before="240"/>
        <w:rPr>
          <w:rFonts w:asciiTheme="minorHAnsi" w:hAnsiTheme="minorHAnsi"/>
          <w:sz w:val="18"/>
          <w:szCs w:val="18"/>
          <w:lang w:val="en-AU"/>
        </w:rPr>
      </w:pPr>
      <w:r w:rsidRPr="7E7DDD29">
        <w:rPr>
          <w:rFonts w:asciiTheme="minorHAnsi" w:hAnsiTheme="minorHAnsi"/>
          <w:sz w:val="18"/>
          <w:szCs w:val="18"/>
          <w:lang w:val="en-AU"/>
        </w:rPr>
        <w:t xml:space="preserve">Figure </w:t>
      </w:r>
      <w:r w:rsidR="00904B4B" w:rsidRPr="7E7DDD29">
        <w:rPr>
          <w:rFonts w:asciiTheme="minorHAnsi" w:hAnsiTheme="minorHAnsi"/>
          <w:sz w:val="18"/>
          <w:szCs w:val="18"/>
          <w:lang w:val="en-AU"/>
        </w:rPr>
        <w:t>5</w:t>
      </w:r>
      <w:r w:rsidRPr="7E7DDD29">
        <w:rPr>
          <w:rFonts w:asciiTheme="minorHAnsi" w:hAnsiTheme="minorHAnsi"/>
          <w:sz w:val="18"/>
          <w:szCs w:val="18"/>
          <w:lang w:val="en-AU"/>
        </w:rPr>
        <w:t xml:space="preserve">: IVI job advertisements and unemployment rate, </w:t>
      </w:r>
      <w:r w:rsidR="005B5497" w:rsidRPr="7E7DDD29">
        <w:rPr>
          <w:rFonts w:asciiTheme="minorHAnsi" w:hAnsiTheme="minorHAnsi"/>
          <w:sz w:val="18"/>
          <w:szCs w:val="18"/>
          <w:lang w:val="en-AU"/>
        </w:rPr>
        <w:t>September</w:t>
      </w:r>
      <w:r w:rsidRPr="7E7DDD29">
        <w:rPr>
          <w:rFonts w:asciiTheme="minorHAnsi" w:hAnsiTheme="minorHAnsi"/>
          <w:sz w:val="18"/>
          <w:szCs w:val="18"/>
          <w:lang w:val="en-AU"/>
        </w:rPr>
        <w:t xml:space="preserve"> 200</w:t>
      </w:r>
      <w:r w:rsidR="003A5A06">
        <w:rPr>
          <w:rFonts w:asciiTheme="minorHAnsi" w:hAnsiTheme="minorHAnsi"/>
          <w:sz w:val="18"/>
          <w:szCs w:val="18"/>
          <w:lang w:val="en-AU"/>
        </w:rPr>
        <w:t>8</w:t>
      </w:r>
      <w:r w:rsidRPr="7E7DDD29">
        <w:rPr>
          <w:rFonts w:asciiTheme="minorHAnsi" w:hAnsiTheme="minorHAnsi"/>
          <w:sz w:val="18"/>
          <w:szCs w:val="18"/>
          <w:lang w:val="en-AU"/>
        </w:rPr>
        <w:t xml:space="preserve"> to </w:t>
      </w:r>
      <w:r w:rsidR="005B5497" w:rsidRPr="7E7DDD29">
        <w:rPr>
          <w:rFonts w:asciiTheme="minorHAnsi" w:hAnsiTheme="minorHAnsi"/>
          <w:sz w:val="18"/>
          <w:szCs w:val="18"/>
          <w:lang w:val="en-AU"/>
        </w:rPr>
        <w:t xml:space="preserve">September </w:t>
      </w:r>
      <w:r w:rsidRPr="7E7DDD29">
        <w:rPr>
          <w:rFonts w:asciiTheme="minorHAnsi" w:hAnsiTheme="minorHAnsi"/>
          <w:sz w:val="18"/>
          <w:szCs w:val="18"/>
          <w:lang w:val="en-AU"/>
        </w:rPr>
        <w:t>2024</w:t>
      </w:r>
    </w:p>
    <w:p w14:paraId="1ACFAC5B" w14:textId="436F54DA" w:rsidR="00775843" w:rsidRPr="00DD4C71" w:rsidRDefault="005B5497" w:rsidP="00775843">
      <w:pPr>
        <w:keepNext/>
        <w:keepLines/>
        <w:spacing w:after="0"/>
      </w:pPr>
      <w:r>
        <w:rPr>
          <w:noProof/>
        </w:rPr>
        <w:drawing>
          <wp:inline distT="0" distB="0" distL="0" distR="0" wp14:anchorId="2116F927" wp14:editId="66F43973">
            <wp:extent cx="5616575" cy="2695492"/>
            <wp:effectExtent l="0" t="0" r="3175" b="0"/>
            <wp:docPr id="1172114898" name="Chart 1" descr="Figure 5 is a column and line chart, with the columns representing the Internet Vacancy Index monthly count of online job advertisements and the line representing the unemployment rate, from September 2006 to September 2024. This figure shows that the number of job advertisements are generally higher during periods when the unemployment rate is lower, and job advertisements are lower when the unemployment rate is elevated. Job advertisements reached a series low in April 2020, during the initial COVID-19 lockdowns,  before increasing rapidly and reaching a near series high in June 2022. Since then, job advertisements have decreased gradually but remain elevated compared with pre-COVID levels.">
              <a:extLst xmlns:a="http://schemas.openxmlformats.org/drawingml/2006/main">
                <a:ext uri="{FF2B5EF4-FFF2-40B4-BE49-F238E27FC236}">
                  <a16:creationId xmlns:a16="http://schemas.microsoft.com/office/drawing/2014/main" id="{4BFB9A2F-BA9C-40BD-8F91-17DEC71922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F521ACB" w14:textId="56834211" w:rsidR="002A6BE4" w:rsidRDefault="00775843" w:rsidP="002A6BE4">
      <w:pPr>
        <w:pStyle w:val="Source"/>
        <w:keepLines/>
        <w:spacing w:before="0"/>
      </w:pPr>
      <w:r w:rsidRPr="00E8129A">
        <w:t xml:space="preserve">Source: ABS, Labour Force, Australia, </w:t>
      </w:r>
      <w:r w:rsidR="005B5497">
        <w:t>September</w:t>
      </w:r>
      <w:r w:rsidRPr="00E8129A">
        <w:t xml:space="preserve"> 2024, seasonally adjusted data; JSA, </w:t>
      </w:r>
      <w:r w:rsidR="00623868">
        <w:t>IVI</w:t>
      </w:r>
      <w:r w:rsidRPr="00E8129A">
        <w:t xml:space="preserve">, </w:t>
      </w:r>
      <w:r w:rsidR="00F608B8">
        <w:t>September</w:t>
      </w:r>
      <w:r w:rsidRPr="00E8129A">
        <w:t xml:space="preserve"> 2024, seasonally adjusted data.</w:t>
      </w:r>
      <w:bookmarkStart w:id="25" w:name="_Hlk156825427"/>
      <w:bookmarkStart w:id="26" w:name="_Toc151365183"/>
      <w:bookmarkEnd w:id="9"/>
      <w:bookmarkEnd w:id="10"/>
      <w:bookmarkEnd w:id="11"/>
      <w:bookmarkEnd w:id="13"/>
      <w:bookmarkEnd w:id="25"/>
    </w:p>
    <w:p w14:paraId="54C94336" w14:textId="7B5B813D" w:rsidR="008C659D" w:rsidRPr="00E423F3" w:rsidRDefault="00A60BF7" w:rsidP="00D70A20">
      <w:pPr>
        <w:pStyle w:val="Heading2"/>
      </w:pPr>
      <w:bookmarkStart w:id="27" w:name="_Toc182561811"/>
      <w:r>
        <w:t>C</w:t>
      </w:r>
      <w:r w:rsidRPr="00A60BF7">
        <w:t>ompetition for available jobs is increasing</w:t>
      </w:r>
      <w:bookmarkEnd w:id="27"/>
    </w:p>
    <w:p w14:paraId="3EA59018" w14:textId="47C289C0" w:rsidR="0080312C" w:rsidRPr="00E423F3" w:rsidRDefault="00394B95" w:rsidP="00E10CBD">
      <w:pPr>
        <w:rPr>
          <w:rFonts w:cs="Arial"/>
        </w:rPr>
      </w:pPr>
      <w:r w:rsidRPr="58A895D0">
        <w:rPr>
          <w:rFonts w:cs="Arial"/>
        </w:rPr>
        <w:t xml:space="preserve">Jobs and Skills Australia’s SERA shows the fill rates of advertised vacancies </w:t>
      </w:r>
      <w:r w:rsidR="00856611" w:rsidRPr="58A895D0">
        <w:rPr>
          <w:rFonts w:cs="Arial"/>
        </w:rPr>
        <w:t xml:space="preserve">gradually </w:t>
      </w:r>
      <w:r w:rsidR="00CC3F9D" w:rsidRPr="58A895D0">
        <w:rPr>
          <w:rFonts w:cs="Arial"/>
        </w:rPr>
        <w:t>continue</w:t>
      </w:r>
      <w:r w:rsidR="00856611" w:rsidRPr="58A895D0">
        <w:rPr>
          <w:rFonts w:cs="Arial"/>
        </w:rPr>
        <w:t>d</w:t>
      </w:r>
      <w:r w:rsidR="00CC3F9D" w:rsidRPr="58A895D0">
        <w:rPr>
          <w:rFonts w:cs="Arial"/>
        </w:rPr>
        <w:t xml:space="preserve"> to rise</w:t>
      </w:r>
      <w:r w:rsidR="00A50D4D" w:rsidRPr="58A895D0">
        <w:rPr>
          <w:rFonts w:cs="Arial"/>
        </w:rPr>
        <w:t>,</w:t>
      </w:r>
      <w:r w:rsidR="00A50D4D">
        <w:t xml:space="preserve"> indicating employers fill</w:t>
      </w:r>
      <w:r w:rsidR="00856611">
        <w:t>ed</w:t>
      </w:r>
      <w:r w:rsidR="00A50D4D">
        <w:t xml:space="preserve"> vacancies </w:t>
      </w:r>
      <w:bookmarkStart w:id="28" w:name="_Int_Wh8MT0gM"/>
      <w:r w:rsidR="00A50D4D">
        <w:t>relatively more</w:t>
      </w:r>
      <w:bookmarkEnd w:id="28"/>
      <w:r w:rsidR="00A50D4D">
        <w:t xml:space="preserve"> easily</w:t>
      </w:r>
      <w:r w:rsidRPr="58A895D0">
        <w:rPr>
          <w:rFonts w:cs="Arial"/>
        </w:rPr>
        <w:t xml:space="preserve">. </w:t>
      </w:r>
      <w:r w:rsidR="00BF03DE" w:rsidRPr="58A895D0">
        <w:rPr>
          <w:rFonts w:cs="Arial"/>
        </w:rPr>
        <w:t xml:space="preserve">The </w:t>
      </w:r>
      <w:r w:rsidR="00FD286B" w:rsidRPr="58A895D0">
        <w:rPr>
          <w:rFonts w:cs="Arial"/>
        </w:rPr>
        <w:t>national level</w:t>
      </w:r>
      <w:r w:rsidR="00BF03DE" w:rsidRPr="58A895D0">
        <w:rPr>
          <w:rFonts w:cs="Arial"/>
        </w:rPr>
        <w:t xml:space="preserve"> fill rate</w:t>
      </w:r>
      <w:r w:rsidR="00FD286B" w:rsidRPr="58A895D0">
        <w:rPr>
          <w:rFonts w:cs="Arial"/>
        </w:rPr>
        <w:t xml:space="preserve"> </w:t>
      </w:r>
      <w:r w:rsidR="00BF03DE" w:rsidRPr="58A895D0">
        <w:rPr>
          <w:rFonts w:cs="Arial"/>
        </w:rPr>
        <w:t>increased by 2.0</w:t>
      </w:r>
      <w:r w:rsidR="005A08A4" w:rsidRPr="58A895D0">
        <w:rPr>
          <w:rFonts w:cs="Arial"/>
        </w:rPr>
        <w:t>pp</w:t>
      </w:r>
      <w:r w:rsidR="00BF03DE" w:rsidRPr="58A895D0">
        <w:rPr>
          <w:rFonts w:cs="Arial"/>
        </w:rPr>
        <w:t xml:space="preserve"> to 68.1% over the September quarter 2024 (Table 6 and Figure 6).</w:t>
      </w:r>
      <w:r w:rsidR="006A6B0C" w:rsidRPr="58A895D0">
        <w:rPr>
          <w:rFonts w:cs="Arial"/>
        </w:rPr>
        <w:t xml:space="preserve"> </w:t>
      </w:r>
      <w:r w:rsidR="00BF03DE" w:rsidRPr="58A895D0">
        <w:rPr>
          <w:rFonts w:cs="Arial"/>
        </w:rPr>
        <w:t>It increased by 6.0</w:t>
      </w:r>
      <w:r w:rsidR="005A08A4" w:rsidRPr="58A895D0">
        <w:rPr>
          <w:rFonts w:cs="Arial"/>
        </w:rPr>
        <w:t>pp</w:t>
      </w:r>
      <w:r w:rsidR="00BF03DE" w:rsidRPr="58A895D0">
        <w:rPr>
          <w:rFonts w:cs="Arial"/>
        </w:rPr>
        <w:t xml:space="preserve"> over the last 12 months to the September quarter 2024. The increase in the fill rate</w:t>
      </w:r>
      <w:r w:rsidR="006A6B0C" w:rsidRPr="58A895D0">
        <w:rPr>
          <w:rFonts w:cs="Arial"/>
        </w:rPr>
        <w:t>s</w:t>
      </w:r>
      <w:r w:rsidR="00BF03DE" w:rsidRPr="58A895D0">
        <w:rPr>
          <w:rFonts w:cs="Arial"/>
        </w:rPr>
        <w:t xml:space="preserve"> over the quarter and past 12 months is supported by increases in the total number of applicants, qualified applicants, and suitable applicants per vacancy</w:t>
      </w:r>
      <w:r w:rsidR="006A6B0C" w:rsidRPr="58A895D0">
        <w:rPr>
          <w:rFonts w:cs="Arial"/>
        </w:rPr>
        <w:t>.</w:t>
      </w:r>
    </w:p>
    <w:p w14:paraId="30AEE687" w14:textId="77777777" w:rsidR="00BF03DE" w:rsidRPr="00E423F3" w:rsidRDefault="00BF03DE" w:rsidP="004D18CE">
      <w:pPr>
        <w:pStyle w:val="ChartandTablelabel"/>
        <w:spacing w:before="240"/>
        <w:rPr>
          <w:sz w:val="18"/>
          <w:szCs w:val="20"/>
          <w:lang w:val="en-AU"/>
        </w:rPr>
      </w:pPr>
      <w:r w:rsidRPr="00E423F3">
        <w:rPr>
          <w:sz w:val="18"/>
          <w:szCs w:val="20"/>
          <w:lang w:val="en-AU"/>
        </w:rPr>
        <w:t>Table 6: National snapshot of recruitment experiences</w:t>
      </w:r>
    </w:p>
    <w:tbl>
      <w:tblPr>
        <w:tblStyle w:val="JSATable2"/>
        <w:tblW w:w="9000" w:type="dxa"/>
        <w:tblLook w:val="04A0" w:firstRow="1" w:lastRow="0" w:firstColumn="1" w:lastColumn="0" w:noHBand="0" w:noVBand="1"/>
      </w:tblPr>
      <w:tblGrid>
        <w:gridCol w:w="3969"/>
        <w:gridCol w:w="1677"/>
        <w:gridCol w:w="1677"/>
        <w:gridCol w:w="1677"/>
      </w:tblGrid>
      <w:tr w:rsidR="00BF03DE" w:rsidRPr="00162A22" w14:paraId="5319E9AC" w14:textId="77777777" w:rsidTr="002A6BE4">
        <w:trPr>
          <w:cnfStyle w:val="100000000000" w:firstRow="1" w:lastRow="0" w:firstColumn="0" w:lastColumn="0" w:oddVBand="0" w:evenVBand="0" w:oddHBand="0" w:evenHBand="0" w:firstRowFirstColumn="0" w:firstRowLastColumn="0" w:lastRowFirstColumn="0" w:lastRowLastColumn="0"/>
          <w:trHeight w:val="660"/>
        </w:trPr>
        <w:tc>
          <w:tcPr>
            <w:tcW w:w="3969" w:type="dxa"/>
            <w:hideMark/>
          </w:tcPr>
          <w:p w14:paraId="6C8CE3F7" w14:textId="77777777" w:rsidR="00BF03DE" w:rsidRPr="00E423F3" w:rsidRDefault="00BF03DE" w:rsidP="00BF03DE">
            <w:pPr>
              <w:rPr>
                <w:sz w:val="20"/>
                <w:szCs w:val="20"/>
              </w:rPr>
            </w:pPr>
            <w:r w:rsidRPr="00E423F3">
              <w:rPr>
                <w:sz w:val="20"/>
                <w:szCs w:val="20"/>
              </w:rPr>
              <w:t> </w:t>
            </w:r>
          </w:p>
        </w:tc>
        <w:tc>
          <w:tcPr>
            <w:tcW w:w="1677" w:type="dxa"/>
            <w:hideMark/>
          </w:tcPr>
          <w:p w14:paraId="74127130" w14:textId="77777777" w:rsidR="00BF03DE" w:rsidRPr="00E423F3" w:rsidRDefault="00BF03DE" w:rsidP="00BF03DE">
            <w:pPr>
              <w:rPr>
                <w:sz w:val="20"/>
                <w:szCs w:val="20"/>
              </w:rPr>
            </w:pPr>
            <w:r w:rsidRPr="00E423F3">
              <w:rPr>
                <w:sz w:val="20"/>
                <w:szCs w:val="20"/>
              </w:rPr>
              <w:t>September quarter 2024</w:t>
            </w:r>
          </w:p>
        </w:tc>
        <w:tc>
          <w:tcPr>
            <w:tcW w:w="1677" w:type="dxa"/>
            <w:hideMark/>
          </w:tcPr>
          <w:p w14:paraId="028D4563" w14:textId="77777777" w:rsidR="00BF03DE" w:rsidRPr="00E423F3" w:rsidRDefault="00BF03DE" w:rsidP="00BF03DE">
            <w:pPr>
              <w:rPr>
                <w:sz w:val="20"/>
                <w:szCs w:val="20"/>
              </w:rPr>
            </w:pPr>
            <w:r w:rsidRPr="00E423F3">
              <w:rPr>
                <w:sz w:val="20"/>
                <w:szCs w:val="20"/>
              </w:rPr>
              <w:t>Change over the quarter</w:t>
            </w:r>
          </w:p>
        </w:tc>
        <w:tc>
          <w:tcPr>
            <w:tcW w:w="1677" w:type="dxa"/>
            <w:hideMark/>
          </w:tcPr>
          <w:p w14:paraId="00AB9FB1" w14:textId="77777777" w:rsidR="00BF03DE" w:rsidRPr="00E423F3" w:rsidRDefault="00BF03DE" w:rsidP="00BF03DE">
            <w:pPr>
              <w:rPr>
                <w:sz w:val="20"/>
                <w:szCs w:val="20"/>
              </w:rPr>
            </w:pPr>
            <w:r w:rsidRPr="00E423F3">
              <w:rPr>
                <w:sz w:val="20"/>
                <w:szCs w:val="20"/>
              </w:rPr>
              <w:t>Change over 12 months</w:t>
            </w:r>
          </w:p>
        </w:tc>
      </w:tr>
      <w:tr w:rsidR="00BF03DE" w:rsidRPr="00162A22" w14:paraId="2BB352BA" w14:textId="77777777" w:rsidTr="002A6BE4">
        <w:trPr>
          <w:trHeight w:val="340"/>
        </w:trPr>
        <w:tc>
          <w:tcPr>
            <w:tcW w:w="3969" w:type="dxa"/>
            <w:hideMark/>
          </w:tcPr>
          <w:p w14:paraId="242647F1" w14:textId="77777777" w:rsidR="00BF03DE" w:rsidRPr="00E423F3" w:rsidRDefault="00BF03DE" w:rsidP="00BF03DE">
            <w:pPr>
              <w:rPr>
                <w:sz w:val="20"/>
                <w:szCs w:val="20"/>
              </w:rPr>
            </w:pPr>
            <w:bookmarkStart w:id="29" w:name="RANGE!A13"/>
            <w:r w:rsidRPr="00E423F3">
              <w:rPr>
                <w:sz w:val="20"/>
                <w:szCs w:val="20"/>
              </w:rPr>
              <w:t>Vacancy fill rate (%)</w:t>
            </w:r>
            <w:bookmarkEnd w:id="29"/>
          </w:p>
        </w:tc>
        <w:tc>
          <w:tcPr>
            <w:tcW w:w="1677" w:type="dxa"/>
            <w:hideMark/>
          </w:tcPr>
          <w:p w14:paraId="6BA2B4D3" w14:textId="77777777" w:rsidR="00BF03DE" w:rsidRPr="00E423F3" w:rsidRDefault="00BF03DE" w:rsidP="00BF03DE">
            <w:pPr>
              <w:rPr>
                <w:sz w:val="20"/>
                <w:szCs w:val="20"/>
              </w:rPr>
            </w:pPr>
            <w:r w:rsidRPr="00E423F3">
              <w:rPr>
                <w:sz w:val="20"/>
                <w:szCs w:val="20"/>
              </w:rPr>
              <w:t>68.1%</w:t>
            </w:r>
          </w:p>
        </w:tc>
        <w:tc>
          <w:tcPr>
            <w:tcW w:w="1677" w:type="dxa"/>
            <w:hideMark/>
          </w:tcPr>
          <w:p w14:paraId="5BFFFF68" w14:textId="54180E07" w:rsidR="00BF03DE" w:rsidRPr="00E423F3" w:rsidRDefault="00BF03DE" w:rsidP="00BF03DE">
            <w:pPr>
              <w:rPr>
                <w:sz w:val="20"/>
                <w:szCs w:val="20"/>
              </w:rPr>
            </w:pPr>
            <w:r w:rsidRPr="00E423F3">
              <w:rPr>
                <w:sz w:val="20"/>
                <w:szCs w:val="20"/>
              </w:rPr>
              <w:t>↑2.0</w:t>
            </w:r>
            <w:r w:rsidR="005A08A4" w:rsidRPr="006260EA">
              <w:rPr>
                <w:sz w:val="20"/>
                <w:szCs w:val="20"/>
              </w:rPr>
              <w:t>pp</w:t>
            </w:r>
            <w:r w:rsidRPr="00E423F3" w:rsidDel="00F738BA">
              <w:rPr>
                <w:sz w:val="20"/>
                <w:szCs w:val="20"/>
              </w:rPr>
              <w:t xml:space="preserve"> </w:t>
            </w:r>
          </w:p>
        </w:tc>
        <w:tc>
          <w:tcPr>
            <w:tcW w:w="1677" w:type="dxa"/>
            <w:hideMark/>
          </w:tcPr>
          <w:p w14:paraId="06F62342" w14:textId="3BC6FECA" w:rsidR="00BF03DE" w:rsidRPr="00E423F3" w:rsidRDefault="00BF03DE" w:rsidP="00BF03DE">
            <w:pPr>
              <w:rPr>
                <w:sz w:val="20"/>
                <w:szCs w:val="20"/>
              </w:rPr>
            </w:pPr>
            <w:r w:rsidRPr="00E423F3">
              <w:rPr>
                <w:sz w:val="20"/>
                <w:szCs w:val="20"/>
              </w:rPr>
              <w:t>↑6.0</w:t>
            </w:r>
            <w:r w:rsidR="005A08A4" w:rsidRPr="006260EA">
              <w:rPr>
                <w:sz w:val="20"/>
                <w:szCs w:val="20"/>
              </w:rPr>
              <w:t>pp</w:t>
            </w:r>
          </w:p>
        </w:tc>
      </w:tr>
      <w:tr w:rsidR="00BF03DE" w:rsidRPr="00162A22" w14:paraId="6595AC0F" w14:textId="77777777" w:rsidTr="002A6BE4">
        <w:trPr>
          <w:cnfStyle w:val="000000010000" w:firstRow="0" w:lastRow="0" w:firstColumn="0" w:lastColumn="0" w:oddVBand="0" w:evenVBand="0" w:oddHBand="0" w:evenHBand="1" w:firstRowFirstColumn="0" w:firstRowLastColumn="0" w:lastRowFirstColumn="0" w:lastRowLastColumn="0"/>
          <w:trHeight w:val="340"/>
        </w:trPr>
        <w:tc>
          <w:tcPr>
            <w:tcW w:w="3969" w:type="dxa"/>
            <w:hideMark/>
          </w:tcPr>
          <w:p w14:paraId="19796272" w14:textId="77777777" w:rsidR="00BF03DE" w:rsidRPr="00E423F3" w:rsidRDefault="00BF03DE" w:rsidP="00BF03DE">
            <w:pPr>
              <w:rPr>
                <w:sz w:val="20"/>
                <w:szCs w:val="20"/>
              </w:rPr>
            </w:pPr>
            <w:r w:rsidRPr="00E423F3">
              <w:rPr>
                <w:sz w:val="20"/>
                <w:szCs w:val="20"/>
              </w:rPr>
              <w:t>Applicants per vacancy (no.)</w:t>
            </w:r>
          </w:p>
        </w:tc>
        <w:tc>
          <w:tcPr>
            <w:tcW w:w="1677" w:type="dxa"/>
            <w:hideMark/>
          </w:tcPr>
          <w:p w14:paraId="60C25DB8" w14:textId="77777777" w:rsidR="00BF03DE" w:rsidRPr="00E423F3" w:rsidRDefault="00BF03DE" w:rsidP="00BF03DE">
            <w:pPr>
              <w:rPr>
                <w:sz w:val="20"/>
                <w:szCs w:val="20"/>
              </w:rPr>
            </w:pPr>
            <w:r w:rsidRPr="00E423F3">
              <w:rPr>
                <w:sz w:val="20"/>
                <w:szCs w:val="20"/>
              </w:rPr>
              <w:t>28.5</w:t>
            </w:r>
          </w:p>
        </w:tc>
        <w:tc>
          <w:tcPr>
            <w:tcW w:w="1677" w:type="dxa"/>
            <w:hideMark/>
          </w:tcPr>
          <w:p w14:paraId="1B923F6D" w14:textId="77777777" w:rsidR="00BF03DE" w:rsidRPr="00E423F3" w:rsidRDefault="00BF03DE" w:rsidP="00BF03DE">
            <w:pPr>
              <w:rPr>
                <w:sz w:val="20"/>
                <w:szCs w:val="20"/>
              </w:rPr>
            </w:pPr>
            <w:r w:rsidRPr="00E423F3">
              <w:rPr>
                <w:sz w:val="20"/>
                <w:szCs w:val="20"/>
              </w:rPr>
              <w:t>↑4.3</w:t>
            </w:r>
          </w:p>
        </w:tc>
        <w:tc>
          <w:tcPr>
            <w:tcW w:w="1677" w:type="dxa"/>
            <w:hideMark/>
          </w:tcPr>
          <w:p w14:paraId="5497FB6F" w14:textId="77777777" w:rsidR="00BF03DE" w:rsidRPr="00E423F3" w:rsidRDefault="00BF03DE" w:rsidP="00BF03DE">
            <w:pPr>
              <w:rPr>
                <w:sz w:val="20"/>
                <w:szCs w:val="20"/>
              </w:rPr>
            </w:pPr>
            <w:r w:rsidRPr="00E423F3">
              <w:rPr>
                <w:sz w:val="20"/>
                <w:szCs w:val="20"/>
              </w:rPr>
              <w:t>↑11.5</w:t>
            </w:r>
          </w:p>
        </w:tc>
      </w:tr>
      <w:tr w:rsidR="00BF03DE" w:rsidRPr="00162A22" w14:paraId="37F565D7" w14:textId="77777777" w:rsidTr="002A6BE4">
        <w:trPr>
          <w:trHeight w:val="340"/>
        </w:trPr>
        <w:tc>
          <w:tcPr>
            <w:tcW w:w="3969" w:type="dxa"/>
            <w:hideMark/>
          </w:tcPr>
          <w:p w14:paraId="39F6BA61" w14:textId="77777777" w:rsidR="00BF03DE" w:rsidRPr="00E423F3" w:rsidRDefault="00BF03DE" w:rsidP="00BF03DE">
            <w:pPr>
              <w:rPr>
                <w:sz w:val="20"/>
                <w:szCs w:val="20"/>
              </w:rPr>
            </w:pPr>
            <w:r w:rsidRPr="00E423F3">
              <w:rPr>
                <w:sz w:val="20"/>
                <w:szCs w:val="20"/>
              </w:rPr>
              <w:t>Qualified applicants per vacancy (no.)</w:t>
            </w:r>
          </w:p>
        </w:tc>
        <w:tc>
          <w:tcPr>
            <w:tcW w:w="1677" w:type="dxa"/>
            <w:hideMark/>
          </w:tcPr>
          <w:p w14:paraId="4958E98A" w14:textId="77777777" w:rsidR="00BF03DE" w:rsidRPr="00E423F3" w:rsidRDefault="00BF03DE" w:rsidP="00BF03DE">
            <w:pPr>
              <w:rPr>
                <w:sz w:val="20"/>
                <w:szCs w:val="20"/>
              </w:rPr>
            </w:pPr>
            <w:r w:rsidRPr="00E423F3">
              <w:rPr>
                <w:sz w:val="20"/>
                <w:szCs w:val="20"/>
              </w:rPr>
              <w:t>8.7</w:t>
            </w:r>
          </w:p>
        </w:tc>
        <w:tc>
          <w:tcPr>
            <w:tcW w:w="1677" w:type="dxa"/>
            <w:hideMark/>
          </w:tcPr>
          <w:p w14:paraId="730425DA" w14:textId="77777777" w:rsidR="00BF03DE" w:rsidRPr="00E423F3" w:rsidRDefault="00BF03DE" w:rsidP="00BF03DE">
            <w:pPr>
              <w:rPr>
                <w:sz w:val="20"/>
                <w:szCs w:val="20"/>
              </w:rPr>
            </w:pPr>
            <w:r w:rsidRPr="00E423F3">
              <w:rPr>
                <w:sz w:val="20"/>
                <w:szCs w:val="20"/>
              </w:rPr>
              <w:t>↑1.1</w:t>
            </w:r>
          </w:p>
        </w:tc>
        <w:tc>
          <w:tcPr>
            <w:tcW w:w="1677" w:type="dxa"/>
            <w:hideMark/>
          </w:tcPr>
          <w:p w14:paraId="012D0A6B" w14:textId="77777777" w:rsidR="00BF03DE" w:rsidRPr="00E423F3" w:rsidRDefault="00BF03DE" w:rsidP="00BF03DE">
            <w:pPr>
              <w:rPr>
                <w:sz w:val="20"/>
                <w:szCs w:val="20"/>
              </w:rPr>
            </w:pPr>
            <w:r w:rsidRPr="00E423F3">
              <w:rPr>
                <w:sz w:val="20"/>
                <w:szCs w:val="20"/>
              </w:rPr>
              <w:t>↑2.9</w:t>
            </w:r>
          </w:p>
        </w:tc>
      </w:tr>
      <w:tr w:rsidR="00BF03DE" w:rsidRPr="00162A22" w14:paraId="56D9BB11" w14:textId="77777777" w:rsidTr="002A6BE4">
        <w:trPr>
          <w:cnfStyle w:val="000000010000" w:firstRow="0" w:lastRow="0" w:firstColumn="0" w:lastColumn="0" w:oddVBand="0" w:evenVBand="0" w:oddHBand="0" w:evenHBand="1" w:firstRowFirstColumn="0" w:firstRowLastColumn="0" w:lastRowFirstColumn="0" w:lastRowLastColumn="0"/>
          <w:trHeight w:val="340"/>
        </w:trPr>
        <w:tc>
          <w:tcPr>
            <w:tcW w:w="3969" w:type="dxa"/>
            <w:hideMark/>
          </w:tcPr>
          <w:p w14:paraId="5C50C112" w14:textId="77777777" w:rsidR="00BF03DE" w:rsidRPr="00E423F3" w:rsidRDefault="00BF03DE" w:rsidP="00BF03DE">
            <w:pPr>
              <w:rPr>
                <w:sz w:val="20"/>
                <w:szCs w:val="20"/>
              </w:rPr>
            </w:pPr>
            <w:r w:rsidRPr="00E423F3">
              <w:rPr>
                <w:sz w:val="20"/>
                <w:szCs w:val="20"/>
              </w:rPr>
              <w:t>Suitable applicants per vacancy (no.)</w:t>
            </w:r>
          </w:p>
        </w:tc>
        <w:tc>
          <w:tcPr>
            <w:tcW w:w="1677" w:type="dxa"/>
            <w:hideMark/>
          </w:tcPr>
          <w:p w14:paraId="210BBE49" w14:textId="77777777" w:rsidR="00BF03DE" w:rsidRPr="00E423F3" w:rsidRDefault="00BF03DE" w:rsidP="00BF03DE">
            <w:pPr>
              <w:rPr>
                <w:sz w:val="20"/>
                <w:szCs w:val="20"/>
              </w:rPr>
            </w:pPr>
            <w:r w:rsidRPr="00E423F3">
              <w:rPr>
                <w:sz w:val="20"/>
                <w:szCs w:val="20"/>
              </w:rPr>
              <w:t>3.3</w:t>
            </w:r>
          </w:p>
        </w:tc>
        <w:tc>
          <w:tcPr>
            <w:tcW w:w="1677" w:type="dxa"/>
            <w:hideMark/>
          </w:tcPr>
          <w:p w14:paraId="5A8FBBD4" w14:textId="77777777" w:rsidR="00BF03DE" w:rsidRPr="00E423F3" w:rsidRDefault="00BF03DE" w:rsidP="00BF03DE">
            <w:pPr>
              <w:rPr>
                <w:sz w:val="20"/>
                <w:szCs w:val="20"/>
              </w:rPr>
            </w:pPr>
            <w:r w:rsidRPr="00E423F3">
              <w:rPr>
                <w:sz w:val="20"/>
                <w:szCs w:val="20"/>
              </w:rPr>
              <w:t>↑0.3</w:t>
            </w:r>
          </w:p>
        </w:tc>
        <w:tc>
          <w:tcPr>
            <w:tcW w:w="1677" w:type="dxa"/>
            <w:hideMark/>
          </w:tcPr>
          <w:p w14:paraId="57258E87" w14:textId="77777777" w:rsidR="00BF03DE" w:rsidRPr="00E423F3" w:rsidRDefault="00BF03DE" w:rsidP="00BF03DE">
            <w:pPr>
              <w:rPr>
                <w:sz w:val="20"/>
                <w:szCs w:val="20"/>
              </w:rPr>
            </w:pPr>
            <w:r w:rsidRPr="00E423F3">
              <w:rPr>
                <w:sz w:val="20"/>
                <w:szCs w:val="20"/>
              </w:rPr>
              <w:t>↑0.6</w:t>
            </w:r>
          </w:p>
        </w:tc>
      </w:tr>
      <w:tr w:rsidR="00BF03DE" w:rsidRPr="00162A22" w14:paraId="2A87FDEA" w14:textId="77777777" w:rsidTr="002A6BE4">
        <w:trPr>
          <w:trHeight w:val="340"/>
        </w:trPr>
        <w:tc>
          <w:tcPr>
            <w:tcW w:w="3969" w:type="dxa"/>
            <w:hideMark/>
          </w:tcPr>
          <w:p w14:paraId="79EA55D6" w14:textId="77777777" w:rsidR="00BF03DE" w:rsidRPr="00E423F3" w:rsidRDefault="00BF03DE" w:rsidP="00BF03DE">
            <w:pPr>
              <w:rPr>
                <w:sz w:val="20"/>
                <w:szCs w:val="20"/>
              </w:rPr>
            </w:pPr>
            <w:r w:rsidRPr="00E423F3">
              <w:rPr>
                <w:sz w:val="20"/>
                <w:szCs w:val="20"/>
              </w:rPr>
              <w:t xml:space="preserve">Suitability gap (%) </w:t>
            </w:r>
          </w:p>
        </w:tc>
        <w:tc>
          <w:tcPr>
            <w:tcW w:w="1677" w:type="dxa"/>
            <w:hideMark/>
          </w:tcPr>
          <w:p w14:paraId="2DEBEAB4" w14:textId="77777777" w:rsidR="00BF03DE" w:rsidRPr="00E423F3" w:rsidRDefault="00BF03DE" w:rsidP="00BF03DE">
            <w:pPr>
              <w:rPr>
                <w:sz w:val="20"/>
                <w:szCs w:val="20"/>
              </w:rPr>
            </w:pPr>
            <w:r w:rsidRPr="00E423F3">
              <w:rPr>
                <w:sz w:val="20"/>
                <w:szCs w:val="20"/>
              </w:rPr>
              <w:t>62.3%</w:t>
            </w:r>
          </w:p>
        </w:tc>
        <w:tc>
          <w:tcPr>
            <w:tcW w:w="1677" w:type="dxa"/>
            <w:hideMark/>
          </w:tcPr>
          <w:p w14:paraId="4E97CDE3" w14:textId="3ADDD03A" w:rsidR="00BF03DE" w:rsidRPr="00E423F3" w:rsidRDefault="00BF03DE" w:rsidP="00BF03DE">
            <w:pPr>
              <w:rPr>
                <w:sz w:val="20"/>
                <w:szCs w:val="20"/>
              </w:rPr>
            </w:pPr>
            <w:r w:rsidRPr="00E423F3">
              <w:rPr>
                <w:sz w:val="20"/>
                <w:szCs w:val="20"/>
              </w:rPr>
              <w:t>↑1.4</w:t>
            </w:r>
            <w:r w:rsidR="005A08A4" w:rsidRPr="006260EA">
              <w:rPr>
                <w:sz w:val="20"/>
                <w:szCs w:val="20"/>
              </w:rPr>
              <w:t>pp</w:t>
            </w:r>
          </w:p>
        </w:tc>
        <w:tc>
          <w:tcPr>
            <w:tcW w:w="1677" w:type="dxa"/>
            <w:hideMark/>
          </w:tcPr>
          <w:p w14:paraId="30C256C8" w14:textId="4B7CD941" w:rsidR="00BF03DE" w:rsidRPr="00E423F3" w:rsidRDefault="00BF03DE" w:rsidP="00BF03DE">
            <w:pPr>
              <w:rPr>
                <w:sz w:val="20"/>
                <w:szCs w:val="20"/>
              </w:rPr>
            </w:pPr>
            <w:r w:rsidRPr="00E423F3">
              <w:rPr>
                <w:sz w:val="20"/>
                <w:szCs w:val="20"/>
              </w:rPr>
              <w:t>↑7.5</w:t>
            </w:r>
            <w:r w:rsidR="005A08A4" w:rsidRPr="006260EA">
              <w:rPr>
                <w:sz w:val="20"/>
                <w:szCs w:val="20"/>
              </w:rPr>
              <w:t>pp</w:t>
            </w:r>
          </w:p>
        </w:tc>
      </w:tr>
    </w:tbl>
    <w:p w14:paraId="3E24C9E2" w14:textId="27E957A7" w:rsidR="00BF03DE" w:rsidRPr="00E423F3" w:rsidRDefault="00BF03DE" w:rsidP="00866EAE">
      <w:pPr>
        <w:spacing w:before="240"/>
        <w:rPr>
          <w:sz w:val="18"/>
          <w:szCs w:val="18"/>
        </w:rPr>
      </w:pPr>
      <w:r w:rsidRPr="58A895D0">
        <w:rPr>
          <w:sz w:val="18"/>
          <w:szCs w:val="18"/>
        </w:rPr>
        <w:t xml:space="preserve">Source: </w:t>
      </w:r>
      <w:r w:rsidR="00623868" w:rsidRPr="58A895D0">
        <w:rPr>
          <w:sz w:val="18"/>
          <w:szCs w:val="18"/>
        </w:rPr>
        <w:t>JSA</w:t>
      </w:r>
      <w:r w:rsidRPr="58A895D0">
        <w:rPr>
          <w:sz w:val="18"/>
          <w:szCs w:val="18"/>
        </w:rPr>
        <w:t xml:space="preserve">, </w:t>
      </w:r>
      <w:r w:rsidR="00623868" w:rsidRPr="58A895D0">
        <w:rPr>
          <w:sz w:val="18"/>
          <w:szCs w:val="18"/>
        </w:rPr>
        <w:t xml:space="preserve">SERA, September quarter 2024 </w:t>
      </w:r>
      <w:r>
        <w:br/>
      </w:r>
      <w:r w:rsidRPr="58A895D0">
        <w:rPr>
          <w:sz w:val="18"/>
          <w:szCs w:val="18"/>
        </w:rPr>
        <w:t>Note: The change from previous quarter refers to the change from June quarter 2024 to September quarter 2024. The change from the previous year refers to change from September quarter 2023 to September quarter 2024.</w:t>
      </w:r>
    </w:p>
    <w:p w14:paraId="588166B8" w14:textId="72469D9B" w:rsidR="00BF03DE" w:rsidRPr="00E423F3" w:rsidRDefault="00BF03DE" w:rsidP="00244CBF">
      <w:pPr>
        <w:shd w:val="clear" w:color="auto" w:fill="FFFFFF" w:themeFill="background1"/>
        <w:spacing w:before="240" w:after="160" w:line="259" w:lineRule="auto"/>
      </w:pPr>
      <w:r w:rsidRPr="00E423F3">
        <w:lastRenderedPageBreak/>
        <w:t xml:space="preserve">In </w:t>
      </w:r>
      <w:r w:rsidR="00DC7C5D" w:rsidRPr="00E423F3">
        <w:t xml:space="preserve">the </w:t>
      </w:r>
      <w:r w:rsidRPr="00E423F3">
        <w:t>September quarter 2024, the suitability gap increased by 1.4</w:t>
      </w:r>
      <w:r w:rsidR="005A08A4" w:rsidRPr="006260EA">
        <w:t>pp</w:t>
      </w:r>
      <w:r w:rsidRPr="00E423F3">
        <w:t xml:space="preserve"> to 62.3%. The gap also increased by 7.5</w:t>
      </w:r>
      <w:r w:rsidR="005A08A4" w:rsidRPr="006260EA">
        <w:t>pp</w:t>
      </w:r>
      <w:r w:rsidRPr="00E423F3">
        <w:t xml:space="preserve"> over the </w:t>
      </w:r>
      <w:r w:rsidR="00DC7C5D" w:rsidRPr="00E423F3">
        <w:t>year to</w:t>
      </w:r>
      <w:r w:rsidR="00AD7CAF" w:rsidRPr="00E423F3">
        <w:t xml:space="preserve"> the</w:t>
      </w:r>
      <w:r w:rsidR="00DC7C5D" w:rsidRPr="00E423F3">
        <w:t xml:space="preserve"> September </w:t>
      </w:r>
      <w:r w:rsidR="00AD7CAF" w:rsidRPr="00E423F3">
        <w:t xml:space="preserve">quarter </w:t>
      </w:r>
      <w:r w:rsidR="00DC7C5D" w:rsidRPr="00E423F3">
        <w:t>2024</w:t>
      </w:r>
      <w:r w:rsidRPr="00E423F3">
        <w:t>.</w:t>
      </w:r>
      <w:r w:rsidRPr="00E423F3">
        <w:rPr>
          <w:rStyle w:val="FootnoteReference"/>
        </w:rPr>
        <w:footnoteReference w:id="5"/>
      </w:r>
      <w:r w:rsidRPr="00E423F3">
        <w:t xml:space="preserve"> The increase in suitability gap is consistent with the softening of the labour market conditions which has started since late 2023. With easing labour market conditions, employers may be able to exercise greater scrutiny of candidates at recruitment.</w:t>
      </w:r>
    </w:p>
    <w:p w14:paraId="67D02B4D" w14:textId="53CF5C07" w:rsidR="000704FB" w:rsidRPr="00E423F3" w:rsidRDefault="00330129" w:rsidP="00330129">
      <w:pPr>
        <w:shd w:val="clear" w:color="auto" w:fill="FFFFFF" w:themeFill="background1"/>
        <w:spacing w:after="160" w:line="259" w:lineRule="auto"/>
      </w:pPr>
      <w:r w:rsidRPr="00E423F3">
        <w:t>Overall, the number of internet vacancies, as measured by Jobs and Skills Australia’s IVI, and the recruitment difficulty rate from Jobs and Skills Australia’s REOS both trend</w:t>
      </w:r>
      <w:r w:rsidR="00856611" w:rsidRPr="00E423F3">
        <w:t>ed</w:t>
      </w:r>
      <w:r w:rsidRPr="00E423F3">
        <w:t xml:space="preserve"> down since </w:t>
      </w:r>
      <w:r w:rsidR="007C5BB2">
        <w:t xml:space="preserve">the </w:t>
      </w:r>
      <w:r w:rsidRPr="00E423F3">
        <w:t xml:space="preserve">March quarter 2023. (Figure </w:t>
      </w:r>
      <w:r w:rsidR="00085F6F" w:rsidRPr="00E423F3">
        <w:t>6</w:t>
      </w:r>
      <w:r w:rsidRPr="00E423F3">
        <w:t>).</w:t>
      </w:r>
    </w:p>
    <w:p w14:paraId="19177642" w14:textId="58840C80" w:rsidR="00EF046F" w:rsidRPr="00E423F3" w:rsidRDefault="00EF046F" w:rsidP="00330129">
      <w:pPr>
        <w:shd w:val="clear" w:color="auto" w:fill="FFFFFF" w:themeFill="background1"/>
        <w:spacing w:after="160" w:line="259" w:lineRule="auto"/>
      </w:pPr>
      <w:r w:rsidRPr="00E423F3">
        <w:t>In terms of regional variation, the national metropolitan (metro) area fill rate increased by 1.8</w:t>
      </w:r>
      <w:r w:rsidR="005A08A4" w:rsidRPr="006260EA">
        <w:t>pp</w:t>
      </w:r>
      <w:r w:rsidRPr="00E423F3">
        <w:t xml:space="preserve"> to 69.7% over the September quarter 2024, and by 5.5</w:t>
      </w:r>
      <w:r w:rsidR="005A08A4" w:rsidRPr="006260EA">
        <w:t>pp</w:t>
      </w:r>
      <w:r w:rsidRPr="00E423F3">
        <w:t xml:space="preserve"> </w:t>
      </w:r>
      <w:r w:rsidR="000E1EEA" w:rsidRPr="00E423F3">
        <w:t>over the year to</w:t>
      </w:r>
      <w:r w:rsidRPr="00E423F3">
        <w:t xml:space="preserve"> September 202</w:t>
      </w:r>
      <w:r w:rsidR="000E1EEA" w:rsidRPr="00E423F3">
        <w:t>4</w:t>
      </w:r>
      <w:r w:rsidRPr="00E423F3">
        <w:t xml:space="preserve">. This is supported by increases in the total number of applicants, qualified applicants, and suitable applicants per vacancy, over the quarter and in the last 12 months (Figure </w:t>
      </w:r>
      <w:r w:rsidR="000E1EEA" w:rsidRPr="00E423F3">
        <w:t>6</w:t>
      </w:r>
      <w:r w:rsidRPr="00E423F3">
        <w:t xml:space="preserve">). </w:t>
      </w:r>
      <w:r w:rsidR="000E1EEA" w:rsidRPr="00E423F3">
        <w:t>T</w:t>
      </w:r>
      <w:r w:rsidRPr="00E423F3">
        <w:t>he suitability gap increased to 64.4%</w:t>
      </w:r>
      <w:r w:rsidR="000E1EEA" w:rsidRPr="00E423F3">
        <w:t xml:space="preserve"> in the current quarter</w:t>
      </w:r>
      <w:r w:rsidRPr="00E423F3">
        <w:t>.</w:t>
      </w:r>
    </w:p>
    <w:p w14:paraId="1C646A6E" w14:textId="45ECE200" w:rsidR="00EF046F" w:rsidRPr="00E423F3" w:rsidRDefault="00EF046F" w:rsidP="00EF046F">
      <w:pPr>
        <w:shd w:val="clear" w:color="auto" w:fill="FFFFFF" w:themeFill="background1"/>
        <w:spacing w:after="160" w:line="259" w:lineRule="auto"/>
      </w:pPr>
      <w:r w:rsidRPr="00E423F3">
        <w:t>The national regional fill rate increased by 1.7</w:t>
      </w:r>
      <w:r w:rsidR="005A08A4" w:rsidRPr="006260EA">
        <w:t>pp</w:t>
      </w:r>
      <w:r w:rsidRPr="00E423F3">
        <w:t xml:space="preserve"> to 62.9% in September quarter 2024 and by 4.8</w:t>
      </w:r>
      <w:r w:rsidR="005A08A4" w:rsidRPr="006260EA">
        <w:t>pp</w:t>
      </w:r>
      <w:r w:rsidRPr="00E423F3">
        <w:t xml:space="preserve"> </w:t>
      </w:r>
      <w:r w:rsidR="000E1EEA" w:rsidRPr="00E423F3">
        <w:t xml:space="preserve">over the year to September 2024 </w:t>
      </w:r>
      <w:r w:rsidRPr="00E423F3">
        <w:t xml:space="preserve">(Table </w:t>
      </w:r>
      <w:r w:rsidR="000E1EEA" w:rsidRPr="00E423F3">
        <w:t>8</w:t>
      </w:r>
      <w:r w:rsidRPr="00E423F3">
        <w:t>). Total applicants, qualified applicants and suitable applicants have also increased in regional areas. In the September quarter 2024, the suitability gap also increased to 55.3%.</w:t>
      </w:r>
    </w:p>
    <w:p w14:paraId="42124FED" w14:textId="439AF050" w:rsidR="00EF046F" w:rsidRPr="00E423F3" w:rsidRDefault="00EF046F" w:rsidP="00EF046F">
      <w:pPr>
        <w:shd w:val="clear" w:color="auto" w:fill="FFFFFF" w:themeFill="background1"/>
        <w:spacing w:after="160" w:line="259" w:lineRule="auto"/>
      </w:pPr>
      <w:r w:rsidRPr="00E423F3">
        <w:t>However, in regional areas the fill rates remained well below those of metro areas. The average difference in fill rates between the two areas has widened over time from 1.9</w:t>
      </w:r>
      <w:r w:rsidR="005A08A4" w:rsidRPr="006260EA">
        <w:t>pp</w:t>
      </w:r>
      <w:r w:rsidRPr="00E423F3">
        <w:t xml:space="preserve"> in September quarter 2022 to 6.8</w:t>
      </w:r>
      <w:r w:rsidR="005A08A4" w:rsidRPr="006260EA">
        <w:t>pp</w:t>
      </w:r>
      <w:r w:rsidRPr="00E423F3">
        <w:t xml:space="preserve"> in September quarter 2024, indicating shortage pressures in metro areas are easing faster. This is supported by the greater pool of total applicants, qualified applicants and suitable applicants in metro areas compared to regional areas.</w:t>
      </w:r>
      <w:bookmarkStart w:id="30" w:name="_Ref173248482"/>
      <w:bookmarkStart w:id="31" w:name="_Hlk166666062"/>
    </w:p>
    <w:p w14:paraId="015E8335" w14:textId="14ED3FEB" w:rsidR="00EF046F" w:rsidRPr="00E423F3" w:rsidRDefault="00330129" w:rsidP="002E05DA">
      <w:pPr>
        <w:shd w:val="clear" w:color="auto" w:fill="FFFFFF" w:themeFill="background1"/>
        <w:spacing w:before="240" w:after="160" w:line="259" w:lineRule="auto"/>
        <w:rPr>
          <w:sz w:val="18"/>
          <w:szCs w:val="18"/>
        </w:rPr>
      </w:pPr>
      <w:r w:rsidRPr="0E44D082">
        <w:rPr>
          <w:b/>
          <w:bCs/>
          <w:sz w:val="18"/>
          <w:szCs w:val="18"/>
        </w:rPr>
        <w:t xml:space="preserve">Figure </w:t>
      </w:r>
      <w:bookmarkEnd w:id="30"/>
      <w:bookmarkEnd w:id="31"/>
      <w:r w:rsidR="00085F6F" w:rsidRPr="0E44D082">
        <w:rPr>
          <w:b/>
          <w:bCs/>
          <w:sz w:val="18"/>
          <w:szCs w:val="18"/>
        </w:rPr>
        <w:t>6</w:t>
      </w:r>
      <w:r w:rsidRPr="0E44D082">
        <w:rPr>
          <w:b/>
          <w:bCs/>
          <w:sz w:val="18"/>
          <w:szCs w:val="18"/>
        </w:rPr>
        <w:t xml:space="preserve">: </w:t>
      </w:r>
      <w:r w:rsidR="00EF046F" w:rsidRPr="0E44D082">
        <w:rPr>
          <w:b/>
          <w:bCs/>
          <w:sz w:val="18"/>
          <w:szCs w:val="18"/>
        </w:rPr>
        <w:t>Fill rate (%) and monthly recruitment difficulty rate (%</w:t>
      </w:r>
      <w:r w:rsidR="00174AFF" w:rsidRPr="0E44D082">
        <w:rPr>
          <w:b/>
          <w:bCs/>
          <w:sz w:val="18"/>
          <w:szCs w:val="18"/>
        </w:rPr>
        <w:t>, proportion of recruiting employers</w:t>
      </w:r>
      <w:r w:rsidR="00EF046F" w:rsidRPr="0E44D082">
        <w:rPr>
          <w:b/>
          <w:bCs/>
          <w:sz w:val="18"/>
          <w:szCs w:val="18"/>
        </w:rPr>
        <w:t xml:space="preserve">) (left axis), and monthly internet vacancy index (right axis), national level </w:t>
      </w:r>
      <w:r w:rsidR="00EF046F" w:rsidRPr="00E423F3">
        <w:rPr>
          <w:noProof/>
        </w:rPr>
        <w:drawing>
          <wp:inline distT="0" distB="0" distL="0" distR="0" wp14:anchorId="21DC41CD" wp14:editId="145FB7CA">
            <wp:extent cx="5731510" cy="3762375"/>
            <wp:effectExtent l="0" t="0" r="2540" b="0"/>
            <wp:docPr id="2101437912" name="Chart 1" descr="Figure 6 shows the fill rate (quarterly) and monthly recruitment difficulty rate and internet vacancy index on the national level. The number of internet vacancies and the recruitment difficulty rate have both been trending down since mid-2023, while the fill rate has been increasing. ">
              <a:extLst xmlns:a="http://schemas.openxmlformats.org/drawingml/2006/main">
                <a:ext uri="{FF2B5EF4-FFF2-40B4-BE49-F238E27FC236}">
                  <a16:creationId xmlns:a16="http://schemas.microsoft.com/office/drawing/2014/main" id="{922F601C-036E-40E6-9131-5DFE17C497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EF046F" w:rsidRPr="00E423F3">
        <w:br/>
      </w:r>
      <w:r w:rsidR="00EF046F" w:rsidRPr="00E423F3">
        <w:rPr>
          <w:sz w:val="18"/>
          <w:szCs w:val="18"/>
        </w:rPr>
        <w:t xml:space="preserve">Source: </w:t>
      </w:r>
      <w:r w:rsidR="00623868" w:rsidRPr="00E423F3">
        <w:rPr>
          <w:sz w:val="18"/>
          <w:szCs w:val="18"/>
        </w:rPr>
        <w:t>JSA</w:t>
      </w:r>
      <w:r w:rsidR="00EF046F" w:rsidRPr="00E423F3">
        <w:rPr>
          <w:sz w:val="18"/>
          <w:szCs w:val="18"/>
        </w:rPr>
        <w:t>: SERA</w:t>
      </w:r>
      <w:r w:rsidR="00623868" w:rsidRPr="00E423F3">
        <w:rPr>
          <w:sz w:val="18"/>
          <w:szCs w:val="18"/>
        </w:rPr>
        <w:t>,</w:t>
      </w:r>
      <w:r w:rsidR="00EF046F" w:rsidRPr="00E423F3">
        <w:rPr>
          <w:sz w:val="18"/>
          <w:szCs w:val="18"/>
        </w:rPr>
        <w:t xml:space="preserve"> </w:t>
      </w:r>
      <w:r w:rsidR="00623868" w:rsidRPr="00E423F3">
        <w:rPr>
          <w:sz w:val="18"/>
          <w:szCs w:val="18"/>
        </w:rPr>
        <w:t>REOS,</w:t>
      </w:r>
      <w:r w:rsidR="00EF046F" w:rsidRPr="00E423F3">
        <w:rPr>
          <w:sz w:val="18"/>
          <w:szCs w:val="18"/>
        </w:rPr>
        <w:t xml:space="preserve"> and </w:t>
      </w:r>
      <w:r w:rsidR="00623868" w:rsidRPr="00E423F3">
        <w:rPr>
          <w:sz w:val="18"/>
          <w:szCs w:val="18"/>
        </w:rPr>
        <w:t xml:space="preserve">IVI </w:t>
      </w:r>
      <w:r w:rsidR="00EF046F" w:rsidRPr="00E423F3">
        <w:rPr>
          <w:sz w:val="18"/>
          <w:szCs w:val="18"/>
        </w:rPr>
        <w:t>(seasonally adjusted)</w:t>
      </w:r>
      <w:r w:rsidR="00623868" w:rsidRPr="00E423F3">
        <w:rPr>
          <w:sz w:val="18"/>
          <w:szCs w:val="18"/>
        </w:rPr>
        <w:t>, September quarter 2024</w:t>
      </w:r>
    </w:p>
    <w:p w14:paraId="4A99F459" w14:textId="730E5C3C" w:rsidR="001E53B2" w:rsidRPr="00E423F3" w:rsidRDefault="001E53B2" w:rsidP="004D18CE">
      <w:pPr>
        <w:pStyle w:val="ChartandTablelabel"/>
        <w:rPr>
          <w:sz w:val="18"/>
          <w:szCs w:val="20"/>
          <w:lang w:val="en-AU"/>
        </w:rPr>
      </w:pPr>
      <w:r w:rsidRPr="00E423F3">
        <w:rPr>
          <w:sz w:val="18"/>
          <w:szCs w:val="20"/>
          <w:lang w:val="en-AU"/>
        </w:rPr>
        <w:lastRenderedPageBreak/>
        <w:t>Table 7: Metropolitan snapshot</w:t>
      </w:r>
    </w:p>
    <w:tbl>
      <w:tblPr>
        <w:tblStyle w:val="JSATable2"/>
        <w:tblW w:w="9000" w:type="dxa"/>
        <w:tblLook w:val="04A0" w:firstRow="1" w:lastRow="0" w:firstColumn="1" w:lastColumn="0" w:noHBand="0" w:noVBand="1"/>
      </w:tblPr>
      <w:tblGrid>
        <w:gridCol w:w="3969"/>
        <w:gridCol w:w="1677"/>
        <w:gridCol w:w="1677"/>
        <w:gridCol w:w="1677"/>
      </w:tblGrid>
      <w:tr w:rsidR="001E53B2" w:rsidRPr="00162A22" w14:paraId="062CA82E" w14:textId="77777777" w:rsidTr="002E05DA">
        <w:trPr>
          <w:cnfStyle w:val="100000000000" w:firstRow="1" w:lastRow="0" w:firstColumn="0" w:lastColumn="0" w:oddVBand="0" w:evenVBand="0" w:oddHBand="0" w:evenHBand="0" w:firstRowFirstColumn="0" w:firstRowLastColumn="0" w:lastRowFirstColumn="0" w:lastRowLastColumn="0"/>
          <w:trHeight w:val="660"/>
        </w:trPr>
        <w:tc>
          <w:tcPr>
            <w:tcW w:w="3969" w:type="dxa"/>
            <w:hideMark/>
          </w:tcPr>
          <w:p w14:paraId="7E662266" w14:textId="77777777" w:rsidR="001E53B2" w:rsidRPr="00E423F3" w:rsidRDefault="001E53B2">
            <w:pPr>
              <w:spacing w:after="0" w:line="240" w:lineRule="auto"/>
              <w:jc w:val="right"/>
              <w:rPr>
                <w:rFonts w:eastAsia="Times New Roman" w:cs="Arial"/>
                <w:color w:val="000000"/>
                <w:sz w:val="20"/>
                <w:szCs w:val="20"/>
                <w:lang w:eastAsia="en-AU"/>
              </w:rPr>
            </w:pPr>
            <w:r w:rsidRPr="00E423F3">
              <w:rPr>
                <w:rFonts w:eastAsia="Times New Roman" w:cs="Arial"/>
                <w:color w:val="000000"/>
                <w:sz w:val="20"/>
                <w:szCs w:val="20"/>
                <w:lang w:eastAsia="en-AU"/>
              </w:rPr>
              <w:t> </w:t>
            </w:r>
          </w:p>
        </w:tc>
        <w:tc>
          <w:tcPr>
            <w:tcW w:w="1677" w:type="dxa"/>
            <w:hideMark/>
          </w:tcPr>
          <w:p w14:paraId="2F429852" w14:textId="77777777" w:rsidR="001E53B2" w:rsidRPr="00E423F3" w:rsidRDefault="001E53B2">
            <w:pPr>
              <w:spacing w:after="0" w:line="240" w:lineRule="auto"/>
              <w:rPr>
                <w:rFonts w:eastAsia="Times New Roman" w:cs="Arial"/>
                <w:color w:val="FFFFFF"/>
                <w:sz w:val="20"/>
                <w:szCs w:val="20"/>
                <w:lang w:eastAsia="en-AU"/>
              </w:rPr>
            </w:pPr>
            <w:r w:rsidRPr="00E423F3">
              <w:rPr>
                <w:rFonts w:eastAsia="Times New Roman" w:cs="Arial"/>
                <w:color w:val="FFFFFF"/>
                <w:sz w:val="20"/>
                <w:szCs w:val="20"/>
                <w:lang w:eastAsia="en-AU"/>
              </w:rPr>
              <w:t>September quarter 2024</w:t>
            </w:r>
          </w:p>
        </w:tc>
        <w:tc>
          <w:tcPr>
            <w:tcW w:w="1677" w:type="dxa"/>
            <w:hideMark/>
          </w:tcPr>
          <w:p w14:paraId="28DA3F9B" w14:textId="77777777" w:rsidR="001E53B2" w:rsidRPr="00E423F3" w:rsidRDefault="001E53B2">
            <w:pPr>
              <w:spacing w:after="0" w:line="240" w:lineRule="auto"/>
              <w:rPr>
                <w:rFonts w:eastAsia="Times New Roman" w:cs="Arial"/>
                <w:color w:val="FFFFFF"/>
                <w:sz w:val="20"/>
                <w:szCs w:val="20"/>
                <w:lang w:eastAsia="en-AU"/>
              </w:rPr>
            </w:pPr>
            <w:r w:rsidRPr="00E423F3">
              <w:rPr>
                <w:rFonts w:eastAsia="Times New Roman" w:cs="Arial"/>
                <w:color w:val="FFFFFF"/>
                <w:sz w:val="20"/>
                <w:szCs w:val="20"/>
                <w:lang w:eastAsia="en-AU"/>
              </w:rPr>
              <w:t>Change over the quarter</w:t>
            </w:r>
          </w:p>
        </w:tc>
        <w:tc>
          <w:tcPr>
            <w:tcW w:w="1677" w:type="dxa"/>
            <w:hideMark/>
          </w:tcPr>
          <w:p w14:paraId="57C6F187" w14:textId="77777777" w:rsidR="001E53B2" w:rsidRPr="00E423F3" w:rsidRDefault="001E53B2">
            <w:pPr>
              <w:spacing w:after="0" w:line="240" w:lineRule="auto"/>
              <w:rPr>
                <w:rFonts w:eastAsia="Times New Roman" w:cs="Arial"/>
                <w:color w:val="FFFFFF"/>
                <w:sz w:val="20"/>
                <w:szCs w:val="20"/>
                <w:lang w:eastAsia="en-AU"/>
              </w:rPr>
            </w:pPr>
            <w:r w:rsidRPr="00E423F3">
              <w:rPr>
                <w:rFonts w:eastAsia="Times New Roman" w:cs="Arial"/>
                <w:color w:val="FFFFFF"/>
                <w:sz w:val="20"/>
                <w:szCs w:val="20"/>
                <w:lang w:eastAsia="en-AU"/>
              </w:rPr>
              <w:t>Change over 12 months</w:t>
            </w:r>
          </w:p>
        </w:tc>
      </w:tr>
      <w:tr w:rsidR="001E53B2" w:rsidRPr="00162A22" w14:paraId="75004056" w14:textId="77777777" w:rsidTr="002E05DA">
        <w:trPr>
          <w:trHeight w:val="340"/>
        </w:trPr>
        <w:tc>
          <w:tcPr>
            <w:tcW w:w="3969" w:type="dxa"/>
            <w:hideMark/>
          </w:tcPr>
          <w:p w14:paraId="7A3CA1E8" w14:textId="77777777" w:rsidR="001E53B2" w:rsidRPr="00E423F3" w:rsidRDefault="001E53B2">
            <w:pPr>
              <w:spacing w:after="0" w:line="240" w:lineRule="auto"/>
              <w:rPr>
                <w:rFonts w:eastAsia="Times New Roman" w:cs="Arial"/>
                <w:color w:val="000000"/>
                <w:sz w:val="20"/>
                <w:szCs w:val="20"/>
                <w:lang w:eastAsia="en-AU"/>
              </w:rPr>
            </w:pPr>
            <w:r w:rsidRPr="00E423F3">
              <w:rPr>
                <w:rFonts w:eastAsia="Times New Roman" w:cs="Arial"/>
                <w:color w:val="000000"/>
                <w:sz w:val="20"/>
                <w:szCs w:val="20"/>
                <w:lang w:eastAsia="en-AU"/>
              </w:rPr>
              <w:t>Vacancy fill rate (%)</w:t>
            </w:r>
          </w:p>
        </w:tc>
        <w:tc>
          <w:tcPr>
            <w:tcW w:w="1677" w:type="dxa"/>
            <w:hideMark/>
          </w:tcPr>
          <w:p w14:paraId="031C4024" w14:textId="77777777" w:rsidR="001E53B2" w:rsidRPr="00E423F3" w:rsidRDefault="001E53B2">
            <w:pPr>
              <w:spacing w:after="0" w:line="240" w:lineRule="auto"/>
              <w:rPr>
                <w:rFonts w:eastAsia="Times New Roman" w:cs="Arial"/>
                <w:color w:val="000000"/>
                <w:sz w:val="20"/>
                <w:szCs w:val="20"/>
                <w:lang w:eastAsia="en-AU"/>
              </w:rPr>
            </w:pPr>
            <w:r w:rsidRPr="00E423F3">
              <w:rPr>
                <w:rFonts w:cs="Arial"/>
                <w:color w:val="000000"/>
                <w:sz w:val="20"/>
                <w:szCs w:val="20"/>
              </w:rPr>
              <w:t>69.7%</w:t>
            </w:r>
          </w:p>
        </w:tc>
        <w:tc>
          <w:tcPr>
            <w:tcW w:w="1677" w:type="dxa"/>
            <w:hideMark/>
          </w:tcPr>
          <w:p w14:paraId="6DD5461E" w14:textId="28573A0B" w:rsidR="001E53B2" w:rsidRPr="00E423F3" w:rsidRDefault="001E53B2">
            <w:pPr>
              <w:spacing w:after="0" w:line="240" w:lineRule="auto"/>
              <w:rPr>
                <w:rFonts w:eastAsia="Times New Roman" w:cs="Arial"/>
                <w:color w:val="000000"/>
                <w:sz w:val="20"/>
                <w:szCs w:val="20"/>
                <w:lang w:eastAsia="en-AU"/>
              </w:rPr>
            </w:pPr>
            <w:r w:rsidRPr="00E423F3">
              <w:rPr>
                <w:rFonts w:cs="Arial"/>
                <w:color w:val="000000"/>
                <w:sz w:val="20"/>
                <w:szCs w:val="20"/>
              </w:rPr>
              <w:t>↑1.8</w:t>
            </w:r>
            <w:r w:rsidR="005A08A4" w:rsidRPr="006260EA">
              <w:rPr>
                <w:rFonts w:cs="Arial"/>
                <w:color w:val="000000"/>
                <w:sz w:val="20"/>
                <w:szCs w:val="20"/>
              </w:rPr>
              <w:t>pp</w:t>
            </w:r>
          </w:p>
        </w:tc>
        <w:tc>
          <w:tcPr>
            <w:tcW w:w="1677" w:type="dxa"/>
            <w:hideMark/>
          </w:tcPr>
          <w:p w14:paraId="29EFF113" w14:textId="6C6BE980" w:rsidR="001E53B2" w:rsidRPr="00E423F3" w:rsidRDefault="001E53B2">
            <w:pPr>
              <w:spacing w:after="0" w:line="240" w:lineRule="auto"/>
              <w:rPr>
                <w:rFonts w:eastAsia="Times New Roman" w:cs="Arial"/>
                <w:color w:val="000000"/>
                <w:sz w:val="20"/>
                <w:szCs w:val="20"/>
                <w:lang w:eastAsia="en-AU"/>
              </w:rPr>
            </w:pPr>
            <w:r w:rsidRPr="00E423F3">
              <w:rPr>
                <w:rFonts w:cs="Arial"/>
                <w:color w:val="000000"/>
                <w:sz w:val="20"/>
                <w:szCs w:val="20"/>
              </w:rPr>
              <w:t>↑5.5</w:t>
            </w:r>
            <w:r w:rsidR="005A08A4" w:rsidRPr="006260EA">
              <w:rPr>
                <w:rFonts w:cs="Arial"/>
                <w:color w:val="000000"/>
                <w:sz w:val="20"/>
                <w:szCs w:val="20"/>
              </w:rPr>
              <w:t>pp</w:t>
            </w:r>
            <w:r w:rsidRPr="00E423F3">
              <w:rPr>
                <w:rFonts w:cs="Arial"/>
                <w:color w:val="000000"/>
                <w:sz w:val="20"/>
                <w:szCs w:val="20"/>
              </w:rPr>
              <w:t xml:space="preserve"> </w:t>
            </w:r>
          </w:p>
        </w:tc>
      </w:tr>
      <w:tr w:rsidR="001E53B2" w:rsidRPr="00162A22" w14:paraId="38553790" w14:textId="77777777" w:rsidTr="002E05DA">
        <w:trPr>
          <w:cnfStyle w:val="000000010000" w:firstRow="0" w:lastRow="0" w:firstColumn="0" w:lastColumn="0" w:oddVBand="0" w:evenVBand="0" w:oddHBand="0" w:evenHBand="1" w:firstRowFirstColumn="0" w:firstRowLastColumn="0" w:lastRowFirstColumn="0" w:lastRowLastColumn="0"/>
          <w:trHeight w:val="340"/>
        </w:trPr>
        <w:tc>
          <w:tcPr>
            <w:tcW w:w="3969" w:type="dxa"/>
            <w:hideMark/>
          </w:tcPr>
          <w:p w14:paraId="25B12CAA" w14:textId="77777777" w:rsidR="001E53B2" w:rsidRPr="00E423F3" w:rsidRDefault="001E53B2">
            <w:pPr>
              <w:spacing w:after="0" w:line="240" w:lineRule="auto"/>
              <w:rPr>
                <w:rFonts w:eastAsia="Times New Roman" w:cs="Arial"/>
                <w:color w:val="000000"/>
                <w:sz w:val="20"/>
                <w:szCs w:val="20"/>
                <w:lang w:eastAsia="en-AU"/>
              </w:rPr>
            </w:pPr>
            <w:r w:rsidRPr="00E423F3">
              <w:rPr>
                <w:rFonts w:eastAsia="Times New Roman" w:cs="Arial"/>
                <w:color w:val="000000"/>
                <w:sz w:val="20"/>
                <w:szCs w:val="20"/>
                <w:lang w:eastAsia="en-AU"/>
              </w:rPr>
              <w:t>Applicants per vacancy (no.)</w:t>
            </w:r>
          </w:p>
        </w:tc>
        <w:tc>
          <w:tcPr>
            <w:tcW w:w="1677" w:type="dxa"/>
            <w:hideMark/>
          </w:tcPr>
          <w:p w14:paraId="190B2E55" w14:textId="77777777" w:rsidR="001E53B2" w:rsidRPr="00E423F3" w:rsidRDefault="001E53B2">
            <w:pPr>
              <w:spacing w:after="0" w:line="240" w:lineRule="auto"/>
              <w:rPr>
                <w:rFonts w:eastAsia="Times New Roman" w:cs="Arial"/>
                <w:color w:val="000000"/>
                <w:sz w:val="20"/>
                <w:szCs w:val="20"/>
                <w:lang w:eastAsia="en-AU"/>
              </w:rPr>
            </w:pPr>
            <w:r w:rsidRPr="00E423F3">
              <w:rPr>
                <w:rFonts w:cs="Arial"/>
                <w:color w:val="000000"/>
                <w:sz w:val="20"/>
                <w:szCs w:val="20"/>
              </w:rPr>
              <w:t>33.0</w:t>
            </w:r>
          </w:p>
        </w:tc>
        <w:tc>
          <w:tcPr>
            <w:tcW w:w="1677" w:type="dxa"/>
            <w:hideMark/>
          </w:tcPr>
          <w:p w14:paraId="5CFD2BAC" w14:textId="77777777" w:rsidR="001E53B2" w:rsidRPr="00E423F3" w:rsidRDefault="001E53B2">
            <w:pPr>
              <w:spacing w:after="0" w:line="240" w:lineRule="auto"/>
              <w:rPr>
                <w:rFonts w:eastAsia="Times New Roman" w:cs="Arial"/>
                <w:color w:val="000000"/>
                <w:sz w:val="20"/>
                <w:szCs w:val="20"/>
                <w:lang w:eastAsia="en-AU"/>
              </w:rPr>
            </w:pPr>
            <w:r w:rsidRPr="00E423F3">
              <w:rPr>
                <w:rFonts w:cs="Arial"/>
                <w:color w:val="000000"/>
                <w:sz w:val="20"/>
                <w:szCs w:val="20"/>
              </w:rPr>
              <w:t>↑4.8</w:t>
            </w:r>
          </w:p>
        </w:tc>
        <w:tc>
          <w:tcPr>
            <w:tcW w:w="1677" w:type="dxa"/>
            <w:hideMark/>
          </w:tcPr>
          <w:p w14:paraId="7781598C" w14:textId="77777777" w:rsidR="001E53B2" w:rsidRPr="00E423F3" w:rsidRDefault="001E53B2">
            <w:pPr>
              <w:spacing w:after="0" w:line="240" w:lineRule="auto"/>
              <w:rPr>
                <w:rFonts w:eastAsia="Times New Roman" w:cs="Arial"/>
                <w:color w:val="000000"/>
                <w:sz w:val="20"/>
                <w:szCs w:val="20"/>
                <w:lang w:eastAsia="en-AU"/>
              </w:rPr>
            </w:pPr>
            <w:r w:rsidRPr="00E423F3">
              <w:rPr>
                <w:rFonts w:cs="Arial"/>
                <w:color w:val="000000"/>
                <w:sz w:val="20"/>
                <w:szCs w:val="20"/>
              </w:rPr>
              <w:t>↑13.0</w:t>
            </w:r>
          </w:p>
        </w:tc>
      </w:tr>
      <w:tr w:rsidR="001E53B2" w:rsidRPr="00162A22" w14:paraId="2B635D6A" w14:textId="77777777" w:rsidTr="002E05DA">
        <w:trPr>
          <w:trHeight w:val="340"/>
        </w:trPr>
        <w:tc>
          <w:tcPr>
            <w:tcW w:w="3969" w:type="dxa"/>
            <w:hideMark/>
          </w:tcPr>
          <w:p w14:paraId="384151C6" w14:textId="77777777" w:rsidR="001E53B2" w:rsidRPr="00E423F3" w:rsidRDefault="001E53B2">
            <w:pPr>
              <w:spacing w:after="0" w:line="240" w:lineRule="auto"/>
              <w:rPr>
                <w:rFonts w:eastAsia="Times New Roman" w:cs="Arial"/>
                <w:color w:val="000000"/>
                <w:sz w:val="20"/>
                <w:szCs w:val="20"/>
                <w:lang w:eastAsia="en-AU"/>
              </w:rPr>
            </w:pPr>
            <w:r w:rsidRPr="00E423F3">
              <w:rPr>
                <w:rFonts w:eastAsia="Times New Roman" w:cs="Arial"/>
                <w:color w:val="000000"/>
                <w:sz w:val="20"/>
                <w:szCs w:val="20"/>
                <w:lang w:eastAsia="en-AU"/>
              </w:rPr>
              <w:t>Qualified applicants per vacancy (no.)</w:t>
            </w:r>
          </w:p>
        </w:tc>
        <w:tc>
          <w:tcPr>
            <w:tcW w:w="1677" w:type="dxa"/>
            <w:hideMark/>
          </w:tcPr>
          <w:p w14:paraId="3CEAF731" w14:textId="77777777" w:rsidR="001E53B2" w:rsidRPr="00E423F3" w:rsidRDefault="001E53B2">
            <w:pPr>
              <w:spacing w:after="0" w:line="240" w:lineRule="auto"/>
              <w:rPr>
                <w:rFonts w:eastAsia="Times New Roman" w:cs="Arial"/>
                <w:color w:val="000000"/>
                <w:sz w:val="20"/>
                <w:szCs w:val="20"/>
                <w:lang w:eastAsia="en-AU"/>
              </w:rPr>
            </w:pPr>
            <w:r w:rsidRPr="00E423F3">
              <w:rPr>
                <w:rFonts w:eastAsia="Times New Roman" w:cs="Arial"/>
                <w:color w:val="000000"/>
                <w:sz w:val="20"/>
                <w:szCs w:val="20"/>
                <w:lang w:eastAsia="en-AU"/>
              </w:rPr>
              <w:t>10.2</w:t>
            </w:r>
          </w:p>
        </w:tc>
        <w:tc>
          <w:tcPr>
            <w:tcW w:w="1677" w:type="dxa"/>
            <w:hideMark/>
          </w:tcPr>
          <w:p w14:paraId="1D19D99C" w14:textId="77777777" w:rsidR="001E53B2" w:rsidRPr="00E423F3" w:rsidRDefault="001E53B2">
            <w:pPr>
              <w:spacing w:after="0" w:line="240" w:lineRule="auto"/>
              <w:rPr>
                <w:rFonts w:eastAsia="Times New Roman" w:cs="Arial"/>
                <w:color w:val="000000"/>
                <w:sz w:val="20"/>
                <w:szCs w:val="20"/>
                <w:lang w:eastAsia="en-AU"/>
              </w:rPr>
            </w:pPr>
            <w:r w:rsidRPr="00E423F3">
              <w:rPr>
                <w:rFonts w:cs="Arial"/>
                <w:color w:val="000000"/>
                <w:sz w:val="20"/>
                <w:szCs w:val="20"/>
              </w:rPr>
              <w:t>↑</w:t>
            </w:r>
            <w:r w:rsidRPr="00E423F3">
              <w:rPr>
                <w:rFonts w:eastAsia="Times New Roman" w:cs="Arial"/>
                <w:color w:val="000000"/>
                <w:sz w:val="20"/>
                <w:szCs w:val="20"/>
                <w:lang w:eastAsia="en-AU"/>
              </w:rPr>
              <w:t>1.2</w:t>
            </w:r>
          </w:p>
        </w:tc>
        <w:tc>
          <w:tcPr>
            <w:tcW w:w="1677" w:type="dxa"/>
            <w:hideMark/>
          </w:tcPr>
          <w:p w14:paraId="03BE021A" w14:textId="77777777" w:rsidR="001E53B2" w:rsidRPr="00E423F3" w:rsidRDefault="001E53B2">
            <w:pPr>
              <w:spacing w:after="0" w:line="240" w:lineRule="auto"/>
              <w:rPr>
                <w:rFonts w:eastAsia="Times New Roman" w:cs="Arial"/>
                <w:color w:val="000000"/>
                <w:sz w:val="20"/>
                <w:szCs w:val="20"/>
                <w:lang w:eastAsia="en-AU"/>
              </w:rPr>
            </w:pPr>
            <w:r w:rsidRPr="00E423F3">
              <w:rPr>
                <w:rFonts w:cs="Arial"/>
                <w:color w:val="000000"/>
                <w:sz w:val="20"/>
                <w:szCs w:val="20"/>
              </w:rPr>
              <w:t>↑</w:t>
            </w:r>
            <w:r w:rsidRPr="00E423F3">
              <w:rPr>
                <w:rFonts w:eastAsia="Times New Roman" w:cs="Arial"/>
                <w:color w:val="000000"/>
                <w:sz w:val="20"/>
                <w:szCs w:val="20"/>
                <w:lang w:eastAsia="en-AU"/>
              </w:rPr>
              <w:t>3.3</w:t>
            </w:r>
          </w:p>
        </w:tc>
      </w:tr>
      <w:tr w:rsidR="001E53B2" w:rsidRPr="00162A22" w14:paraId="5989A077" w14:textId="77777777" w:rsidTr="002E05DA">
        <w:trPr>
          <w:cnfStyle w:val="000000010000" w:firstRow="0" w:lastRow="0" w:firstColumn="0" w:lastColumn="0" w:oddVBand="0" w:evenVBand="0" w:oddHBand="0" w:evenHBand="1" w:firstRowFirstColumn="0" w:firstRowLastColumn="0" w:lastRowFirstColumn="0" w:lastRowLastColumn="0"/>
          <w:trHeight w:val="340"/>
        </w:trPr>
        <w:tc>
          <w:tcPr>
            <w:tcW w:w="3969" w:type="dxa"/>
            <w:hideMark/>
          </w:tcPr>
          <w:p w14:paraId="1E03674E" w14:textId="77777777" w:rsidR="001E53B2" w:rsidRPr="00E423F3" w:rsidRDefault="001E53B2">
            <w:pPr>
              <w:spacing w:after="0" w:line="240" w:lineRule="auto"/>
              <w:rPr>
                <w:rFonts w:eastAsia="Times New Roman" w:cs="Arial"/>
                <w:color w:val="000000"/>
                <w:sz w:val="20"/>
                <w:szCs w:val="20"/>
                <w:lang w:eastAsia="en-AU"/>
              </w:rPr>
            </w:pPr>
            <w:r w:rsidRPr="00E423F3">
              <w:rPr>
                <w:rFonts w:eastAsia="Times New Roman" w:cs="Arial"/>
                <w:color w:val="000000"/>
                <w:sz w:val="20"/>
                <w:szCs w:val="20"/>
                <w:lang w:eastAsia="en-AU"/>
              </w:rPr>
              <w:t>Suitable applicants per vacancy (no.)</w:t>
            </w:r>
          </w:p>
        </w:tc>
        <w:tc>
          <w:tcPr>
            <w:tcW w:w="1677" w:type="dxa"/>
            <w:hideMark/>
          </w:tcPr>
          <w:p w14:paraId="039ECCDE" w14:textId="77777777" w:rsidR="001E53B2" w:rsidRPr="00E423F3" w:rsidRDefault="001E53B2">
            <w:pPr>
              <w:spacing w:after="0" w:line="240" w:lineRule="auto"/>
              <w:rPr>
                <w:rFonts w:eastAsia="Times New Roman" w:cs="Arial"/>
                <w:color w:val="000000"/>
                <w:sz w:val="20"/>
                <w:szCs w:val="20"/>
                <w:lang w:eastAsia="en-AU"/>
              </w:rPr>
            </w:pPr>
            <w:r w:rsidRPr="00E423F3">
              <w:rPr>
                <w:rFonts w:eastAsia="Times New Roman" w:cs="Arial"/>
                <w:color w:val="000000"/>
                <w:sz w:val="20"/>
                <w:szCs w:val="20"/>
                <w:lang w:eastAsia="en-AU"/>
              </w:rPr>
              <w:t>3.6</w:t>
            </w:r>
          </w:p>
        </w:tc>
        <w:tc>
          <w:tcPr>
            <w:tcW w:w="1677" w:type="dxa"/>
            <w:hideMark/>
          </w:tcPr>
          <w:p w14:paraId="7E261698" w14:textId="77777777" w:rsidR="001E53B2" w:rsidRPr="00E423F3" w:rsidRDefault="001E53B2">
            <w:pPr>
              <w:spacing w:after="0" w:line="240" w:lineRule="auto"/>
              <w:rPr>
                <w:rFonts w:eastAsia="Times New Roman" w:cs="Arial"/>
                <w:color w:val="000000"/>
                <w:sz w:val="20"/>
                <w:szCs w:val="20"/>
                <w:lang w:eastAsia="en-AU"/>
              </w:rPr>
            </w:pPr>
            <w:r w:rsidRPr="00E423F3">
              <w:rPr>
                <w:rFonts w:cs="Arial"/>
                <w:color w:val="000000"/>
                <w:sz w:val="20"/>
                <w:szCs w:val="20"/>
              </w:rPr>
              <w:t>↑</w:t>
            </w:r>
            <w:r w:rsidRPr="00E423F3">
              <w:rPr>
                <w:rFonts w:eastAsia="Times New Roman" w:cs="Arial"/>
                <w:color w:val="000000"/>
                <w:sz w:val="20"/>
                <w:szCs w:val="20"/>
                <w:lang w:eastAsia="en-AU"/>
              </w:rPr>
              <w:t>0.3</w:t>
            </w:r>
          </w:p>
        </w:tc>
        <w:tc>
          <w:tcPr>
            <w:tcW w:w="1677" w:type="dxa"/>
            <w:hideMark/>
          </w:tcPr>
          <w:p w14:paraId="163DBD08" w14:textId="77777777" w:rsidR="001E53B2" w:rsidRPr="00E423F3" w:rsidRDefault="001E53B2">
            <w:pPr>
              <w:spacing w:after="0" w:line="240" w:lineRule="auto"/>
              <w:rPr>
                <w:rFonts w:eastAsia="Times New Roman" w:cs="Arial"/>
                <w:color w:val="000000"/>
                <w:sz w:val="20"/>
                <w:szCs w:val="20"/>
                <w:lang w:eastAsia="en-AU"/>
              </w:rPr>
            </w:pPr>
            <w:r w:rsidRPr="00E423F3">
              <w:rPr>
                <w:rFonts w:cs="Arial"/>
                <w:color w:val="000000"/>
                <w:sz w:val="20"/>
                <w:szCs w:val="20"/>
              </w:rPr>
              <w:t>↑</w:t>
            </w:r>
            <w:r w:rsidRPr="00E423F3">
              <w:rPr>
                <w:rFonts w:eastAsia="Times New Roman" w:cs="Arial"/>
                <w:color w:val="000000"/>
                <w:sz w:val="20"/>
                <w:szCs w:val="20"/>
                <w:lang w:eastAsia="en-AU"/>
              </w:rPr>
              <w:t>0.7</w:t>
            </w:r>
          </w:p>
        </w:tc>
      </w:tr>
      <w:tr w:rsidR="001E53B2" w:rsidRPr="00162A22" w14:paraId="18B14167" w14:textId="77777777" w:rsidTr="002E05DA">
        <w:trPr>
          <w:trHeight w:val="340"/>
        </w:trPr>
        <w:tc>
          <w:tcPr>
            <w:tcW w:w="3969" w:type="dxa"/>
            <w:hideMark/>
          </w:tcPr>
          <w:p w14:paraId="0FDDD6CA" w14:textId="77777777" w:rsidR="001E53B2" w:rsidRPr="00E423F3" w:rsidRDefault="001E53B2">
            <w:pPr>
              <w:spacing w:after="0" w:line="240" w:lineRule="auto"/>
              <w:rPr>
                <w:rFonts w:eastAsia="Times New Roman" w:cs="Arial"/>
                <w:color w:val="000000"/>
                <w:sz w:val="20"/>
                <w:szCs w:val="20"/>
                <w:lang w:eastAsia="en-AU"/>
              </w:rPr>
            </w:pPr>
            <w:r w:rsidRPr="00E423F3">
              <w:rPr>
                <w:rFonts w:eastAsia="Times New Roman" w:cs="Arial"/>
                <w:color w:val="000000"/>
                <w:sz w:val="20"/>
                <w:szCs w:val="20"/>
                <w:lang w:eastAsia="en-AU"/>
              </w:rPr>
              <w:t xml:space="preserve">Suitability gap (%) </w:t>
            </w:r>
          </w:p>
        </w:tc>
        <w:tc>
          <w:tcPr>
            <w:tcW w:w="1677" w:type="dxa"/>
            <w:hideMark/>
          </w:tcPr>
          <w:p w14:paraId="4C85C9E4" w14:textId="77777777" w:rsidR="001E53B2" w:rsidRPr="00E423F3" w:rsidRDefault="001E53B2">
            <w:pPr>
              <w:spacing w:after="0" w:line="240" w:lineRule="auto"/>
              <w:rPr>
                <w:rFonts w:eastAsia="Times New Roman" w:cs="Arial"/>
                <w:color w:val="000000"/>
                <w:sz w:val="20"/>
                <w:szCs w:val="20"/>
                <w:lang w:eastAsia="en-AU"/>
              </w:rPr>
            </w:pPr>
            <w:r w:rsidRPr="00E423F3">
              <w:rPr>
                <w:rFonts w:eastAsia="Times New Roman" w:cs="Arial"/>
                <w:color w:val="000000"/>
                <w:sz w:val="20"/>
                <w:szCs w:val="20"/>
                <w:lang w:eastAsia="en-AU"/>
              </w:rPr>
              <w:t>64.4%</w:t>
            </w:r>
          </w:p>
        </w:tc>
        <w:tc>
          <w:tcPr>
            <w:tcW w:w="1677" w:type="dxa"/>
            <w:hideMark/>
          </w:tcPr>
          <w:p w14:paraId="439F06BF" w14:textId="5E6E7D84" w:rsidR="001E53B2" w:rsidRPr="00E423F3" w:rsidRDefault="001E53B2">
            <w:pPr>
              <w:spacing w:after="0" w:line="240" w:lineRule="auto"/>
              <w:rPr>
                <w:rFonts w:eastAsia="Times New Roman" w:cs="Arial"/>
                <w:color w:val="000000"/>
                <w:sz w:val="20"/>
                <w:szCs w:val="20"/>
                <w:lang w:eastAsia="en-AU"/>
              </w:rPr>
            </w:pPr>
            <w:r w:rsidRPr="00E423F3">
              <w:rPr>
                <w:rFonts w:cs="Arial"/>
                <w:color w:val="000000"/>
                <w:sz w:val="20"/>
                <w:szCs w:val="20"/>
              </w:rPr>
              <w:t>↑</w:t>
            </w:r>
            <w:r w:rsidRPr="00E423F3">
              <w:rPr>
                <w:rFonts w:eastAsia="Times New Roman" w:cs="Arial"/>
                <w:color w:val="000000"/>
                <w:sz w:val="20"/>
                <w:szCs w:val="20"/>
                <w:lang w:eastAsia="en-AU"/>
              </w:rPr>
              <w:t>1.8</w:t>
            </w:r>
            <w:r w:rsidR="005A08A4" w:rsidRPr="006260EA">
              <w:rPr>
                <w:rFonts w:eastAsia="Times New Roman" w:cs="Arial"/>
                <w:color w:val="000000"/>
                <w:sz w:val="20"/>
                <w:szCs w:val="20"/>
                <w:lang w:eastAsia="en-AU"/>
              </w:rPr>
              <w:t>pp</w:t>
            </w:r>
            <w:r w:rsidRPr="00E423F3">
              <w:rPr>
                <w:rFonts w:eastAsia="Times New Roman" w:cs="Arial"/>
                <w:color w:val="000000"/>
                <w:sz w:val="20"/>
                <w:szCs w:val="20"/>
                <w:lang w:eastAsia="en-AU"/>
              </w:rPr>
              <w:t xml:space="preserve"> </w:t>
            </w:r>
          </w:p>
        </w:tc>
        <w:tc>
          <w:tcPr>
            <w:tcW w:w="1677" w:type="dxa"/>
            <w:hideMark/>
          </w:tcPr>
          <w:p w14:paraId="46D29BD6" w14:textId="055C50AF" w:rsidR="001E53B2" w:rsidRPr="00E423F3" w:rsidRDefault="001E53B2">
            <w:pPr>
              <w:spacing w:after="0" w:line="240" w:lineRule="auto"/>
              <w:rPr>
                <w:rFonts w:eastAsia="Times New Roman" w:cs="Arial"/>
                <w:color w:val="000000"/>
                <w:sz w:val="20"/>
                <w:szCs w:val="20"/>
                <w:lang w:eastAsia="en-AU"/>
              </w:rPr>
            </w:pPr>
            <w:r w:rsidRPr="00E423F3">
              <w:rPr>
                <w:rFonts w:cs="Arial"/>
                <w:color w:val="000000"/>
                <w:sz w:val="20"/>
                <w:szCs w:val="20"/>
              </w:rPr>
              <w:t>↑</w:t>
            </w:r>
            <w:r w:rsidRPr="00E423F3">
              <w:rPr>
                <w:rFonts w:eastAsia="Times New Roman" w:cs="Arial"/>
                <w:color w:val="000000"/>
                <w:sz w:val="20"/>
                <w:szCs w:val="20"/>
                <w:lang w:eastAsia="en-AU"/>
              </w:rPr>
              <w:t>6.9</w:t>
            </w:r>
            <w:r w:rsidR="005A08A4" w:rsidRPr="006260EA">
              <w:rPr>
                <w:rFonts w:eastAsia="Times New Roman" w:cs="Arial"/>
                <w:color w:val="000000"/>
                <w:sz w:val="20"/>
                <w:szCs w:val="20"/>
                <w:lang w:eastAsia="en-AU"/>
              </w:rPr>
              <w:t>pp</w:t>
            </w:r>
          </w:p>
        </w:tc>
      </w:tr>
    </w:tbl>
    <w:p w14:paraId="377841DC" w14:textId="18AACEA3" w:rsidR="001E53B2" w:rsidRPr="00E423F3" w:rsidRDefault="001E53B2" w:rsidP="00911975">
      <w:pPr>
        <w:spacing w:before="240"/>
        <w:jc w:val="both"/>
        <w:rPr>
          <w:b/>
          <w:sz w:val="18"/>
          <w:szCs w:val="18"/>
        </w:rPr>
      </w:pPr>
      <w:r w:rsidRPr="00E423F3">
        <w:rPr>
          <w:sz w:val="18"/>
          <w:szCs w:val="18"/>
        </w:rPr>
        <w:t xml:space="preserve">Source: </w:t>
      </w:r>
      <w:r w:rsidR="00623868" w:rsidRPr="00E423F3">
        <w:rPr>
          <w:sz w:val="18"/>
          <w:szCs w:val="18"/>
        </w:rPr>
        <w:t>JSA</w:t>
      </w:r>
      <w:r w:rsidRPr="00E423F3">
        <w:rPr>
          <w:sz w:val="18"/>
          <w:szCs w:val="18"/>
        </w:rPr>
        <w:t xml:space="preserve">, </w:t>
      </w:r>
      <w:r w:rsidR="00623868" w:rsidRPr="00E423F3">
        <w:rPr>
          <w:sz w:val="18"/>
          <w:szCs w:val="18"/>
        </w:rPr>
        <w:t>SERA, September quarter 2024</w:t>
      </w:r>
    </w:p>
    <w:p w14:paraId="71869E2B" w14:textId="77777777" w:rsidR="00911975" w:rsidRPr="00E423F3" w:rsidRDefault="00911975" w:rsidP="00911975">
      <w:pPr>
        <w:keepNext/>
        <w:keepLines/>
        <w:spacing w:line="240" w:lineRule="auto"/>
        <w:rPr>
          <w:b/>
          <w:sz w:val="18"/>
          <w:szCs w:val="18"/>
        </w:rPr>
      </w:pPr>
      <w:bookmarkStart w:id="32" w:name="_Ref173249539"/>
    </w:p>
    <w:p w14:paraId="5BE9EA05" w14:textId="2A93573E" w:rsidR="001E53B2" w:rsidRPr="00E423F3" w:rsidRDefault="001E53B2" w:rsidP="00911975">
      <w:pPr>
        <w:keepNext/>
        <w:keepLines/>
        <w:spacing w:line="240" w:lineRule="auto"/>
        <w:rPr>
          <w:b/>
          <w:sz w:val="18"/>
          <w:szCs w:val="18"/>
        </w:rPr>
      </w:pPr>
      <w:r w:rsidRPr="00E423F3">
        <w:rPr>
          <w:b/>
          <w:sz w:val="18"/>
          <w:szCs w:val="18"/>
        </w:rPr>
        <w:t xml:space="preserve">Table </w:t>
      </w:r>
      <w:bookmarkEnd w:id="32"/>
      <w:r w:rsidRPr="00E423F3">
        <w:rPr>
          <w:b/>
          <w:sz w:val="18"/>
          <w:szCs w:val="18"/>
        </w:rPr>
        <w:t>8: Regional Snapshot</w:t>
      </w:r>
    </w:p>
    <w:tbl>
      <w:tblPr>
        <w:tblStyle w:val="JSATable2"/>
        <w:tblW w:w="9000" w:type="dxa"/>
        <w:tblLook w:val="04A0" w:firstRow="1" w:lastRow="0" w:firstColumn="1" w:lastColumn="0" w:noHBand="0" w:noVBand="1"/>
      </w:tblPr>
      <w:tblGrid>
        <w:gridCol w:w="3969"/>
        <w:gridCol w:w="1677"/>
        <w:gridCol w:w="1677"/>
        <w:gridCol w:w="1677"/>
      </w:tblGrid>
      <w:tr w:rsidR="001E53B2" w:rsidRPr="00162A22" w14:paraId="698A3070" w14:textId="77777777" w:rsidTr="002E05DA">
        <w:trPr>
          <w:cnfStyle w:val="100000000000" w:firstRow="1" w:lastRow="0" w:firstColumn="0" w:lastColumn="0" w:oddVBand="0" w:evenVBand="0" w:oddHBand="0" w:evenHBand="0" w:firstRowFirstColumn="0" w:firstRowLastColumn="0" w:lastRowFirstColumn="0" w:lastRowLastColumn="0"/>
          <w:trHeight w:val="660"/>
        </w:trPr>
        <w:tc>
          <w:tcPr>
            <w:tcW w:w="3969" w:type="dxa"/>
            <w:hideMark/>
          </w:tcPr>
          <w:p w14:paraId="37C3AA31" w14:textId="77777777" w:rsidR="001E53B2" w:rsidRPr="00E423F3" w:rsidRDefault="001E53B2">
            <w:pPr>
              <w:spacing w:after="0" w:line="240" w:lineRule="auto"/>
              <w:jc w:val="right"/>
              <w:rPr>
                <w:rFonts w:eastAsia="Times New Roman" w:cs="Arial"/>
                <w:color w:val="000000"/>
                <w:sz w:val="20"/>
                <w:szCs w:val="20"/>
                <w:lang w:eastAsia="en-AU"/>
              </w:rPr>
            </w:pPr>
            <w:r w:rsidRPr="00E423F3">
              <w:rPr>
                <w:rFonts w:eastAsia="Times New Roman" w:cs="Arial"/>
                <w:color w:val="000000"/>
                <w:sz w:val="20"/>
                <w:szCs w:val="20"/>
                <w:lang w:eastAsia="en-AU"/>
              </w:rPr>
              <w:t> </w:t>
            </w:r>
          </w:p>
        </w:tc>
        <w:tc>
          <w:tcPr>
            <w:tcW w:w="1677" w:type="dxa"/>
            <w:hideMark/>
          </w:tcPr>
          <w:p w14:paraId="6864F49D" w14:textId="77777777" w:rsidR="001E53B2" w:rsidRPr="00E423F3" w:rsidRDefault="001E53B2">
            <w:pPr>
              <w:spacing w:after="0" w:line="240" w:lineRule="auto"/>
              <w:rPr>
                <w:rFonts w:eastAsia="Times New Roman" w:cs="Arial"/>
                <w:color w:val="FFFFFF"/>
                <w:sz w:val="20"/>
                <w:szCs w:val="20"/>
                <w:lang w:eastAsia="en-AU"/>
              </w:rPr>
            </w:pPr>
            <w:r w:rsidRPr="00E423F3">
              <w:rPr>
                <w:rFonts w:eastAsia="Times New Roman" w:cs="Arial"/>
                <w:color w:val="FFFFFF"/>
                <w:sz w:val="20"/>
                <w:szCs w:val="20"/>
                <w:lang w:eastAsia="en-AU"/>
              </w:rPr>
              <w:t>September quarter 2024</w:t>
            </w:r>
          </w:p>
        </w:tc>
        <w:tc>
          <w:tcPr>
            <w:tcW w:w="1677" w:type="dxa"/>
            <w:hideMark/>
          </w:tcPr>
          <w:p w14:paraId="04090A93" w14:textId="779FFB1C" w:rsidR="001E53B2" w:rsidRPr="00E423F3" w:rsidRDefault="001E53B2">
            <w:pPr>
              <w:spacing w:after="0" w:line="240" w:lineRule="auto"/>
              <w:rPr>
                <w:rFonts w:eastAsia="Times New Roman" w:cs="Arial"/>
                <w:color w:val="FFFFFF"/>
                <w:sz w:val="20"/>
                <w:szCs w:val="20"/>
                <w:lang w:eastAsia="en-AU"/>
              </w:rPr>
            </w:pPr>
            <w:r w:rsidRPr="00E423F3">
              <w:rPr>
                <w:rFonts w:eastAsia="Times New Roman" w:cs="Arial"/>
                <w:color w:val="FFFFFF"/>
                <w:sz w:val="20"/>
                <w:szCs w:val="20"/>
                <w:lang w:eastAsia="en-AU"/>
              </w:rPr>
              <w:t>Change over the quarter</w:t>
            </w:r>
          </w:p>
        </w:tc>
        <w:tc>
          <w:tcPr>
            <w:tcW w:w="1677" w:type="dxa"/>
            <w:hideMark/>
          </w:tcPr>
          <w:p w14:paraId="69E74D37" w14:textId="77777777" w:rsidR="001E53B2" w:rsidRPr="00E423F3" w:rsidRDefault="001E53B2">
            <w:pPr>
              <w:spacing w:after="0" w:line="240" w:lineRule="auto"/>
              <w:rPr>
                <w:rFonts w:eastAsia="Times New Roman" w:cs="Arial"/>
                <w:color w:val="FFFFFF"/>
                <w:sz w:val="20"/>
                <w:szCs w:val="20"/>
                <w:lang w:eastAsia="en-AU"/>
              </w:rPr>
            </w:pPr>
            <w:r w:rsidRPr="00E423F3">
              <w:rPr>
                <w:rFonts w:eastAsia="Times New Roman" w:cs="Arial"/>
                <w:color w:val="FFFFFF"/>
                <w:sz w:val="20"/>
                <w:szCs w:val="20"/>
                <w:lang w:eastAsia="en-AU"/>
              </w:rPr>
              <w:t>Change over 12 months</w:t>
            </w:r>
          </w:p>
        </w:tc>
      </w:tr>
      <w:tr w:rsidR="001E53B2" w:rsidRPr="00162A22" w14:paraId="7E1C73D3" w14:textId="77777777" w:rsidTr="002E05DA">
        <w:trPr>
          <w:trHeight w:val="340"/>
        </w:trPr>
        <w:tc>
          <w:tcPr>
            <w:tcW w:w="3969" w:type="dxa"/>
            <w:hideMark/>
          </w:tcPr>
          <w:p w14:paraId="75712362" w14:textId="77777777" w:rsidR="001E53B2" w:rsidRPr="00E423F3" w:rsidRDefault="001E53B2">
            <w:pPr>
              <w:spacing w:after="0" w:line="240" w:lineRule="auto"/>
              <w:rPr>
                <w:rFonts w:eastAsia="Times New Roman" w:cs="Arial"/>
                <w:color w:val="000000"/>
                <w:sz w:val="20"/>
                <w:szCs w:val="20"/>
                <w:lang w:eastAsia="en-AU"/>
              </w:rPr>
            </w:pPr>
            <w:r w:rsidRPr="00E423F3">
              <w:rPr>
                <w:rFonts w:eastAsia="Times New Roman" w:cs="Arial"/>
                <w:color w:val="000000"/>
                <w:sz w:val="20"/>
                <w:szCs w:val="20"/>
                <w:lang w:eastAsia="en-AU"/>
              </w:rPr>
              <w:t>Vacancy fill rate (%)</w:t>
            </w:r>
          </w:p>
        </w:tc>
        <w:tc>
          <w:tcPr>
            <w:tcW w:w="1677" w:type="dxa"/>
            <w:hideMark/>
          </w:tcPr>
          <w:p w14:paraId="1067599F" w14:textId="77777777" w:rsidR="001E53B2" w:rsidRPr="00E423F3" w:rsidRDefault="001E53B2">
            <w:pPr>
              <w:spacing w:after="0" w:line="240" w:lineRule="auto"/>
              <w:jc w:val="right"/>
              <w:rPr>
                <w:rFonts w:eastAsia="Times New Roman" w:cs="Arial"/>
                <w:color w:val="000000"/>
                <w:sz w:val="20"/>
                <w:szCs w:val="20"/>
                <w:lang w:eastAsia="en-AU"/>
              </w:rPr>
            </w:pPr>
            <w:r w:rsidRPr="00E423F3">
              <w:rPr>
                <w:rFonts w:cs="Arial"/>
                <w:color w:val="000000"/>
                <w:sz w:val="20"/>
                <w:szCs w:val="20"/>
              </w:rPr>
              <w:t>62.9%</w:t>
            </w:r>
          </w:p>
        </w:tc>
        <w:tc>
          <w:tcPr>
            <w:tcW w:w="1677" w:type="dxa"/>
            <w:hideMark/>
          </w:tcPr>
          <w:p w14:paraId="67E5D558" w14:textId="4AF75863" w:rsidR="001E53B2" w:rsidRPr="00E423F3" w:rsidRDefault="001E53B2">
            <w:pPr>
              <w:spacing w:after="0" w:line="240" w:lineRule="auto"/>
              <w:jc w:val="right"/>
              <w:rPr>
                <w:rFonts w:eastAsia="Times New Roman" w:cs="Arial"/>
                <w:color w:val="000000"/>
                <w:sz w:val="20"/>
                <w:szCs w:val="20"/>
                <w:lang w:eastAsia="en-AU"/>
              </w:rPr>
            </w:pPr>
            <w:r w:rsidRPr="00E423F3">
              <w:rPr>
                <w:rFonts w:cs="Arial"/>
                <w:color w:val="000000"/>
                <w:sz w:val="20"/>
                <w:szCs w:val="20"/>
              </w:rPr>
              <w:t>↑1.7</w:t>
            </w:r>
            <w:r w:rsidR="005A08A4" w:rsidRPr="006260EA">
              <w:rPr>
                <w:rFonts w:cs="Arial"/>
                <w:color w:val="000000"/>
                <w:sz w:val="20"/>
                <w:szCs w:val="20"/>
              </w:rPr>
              <w:t>pp</w:t>
            </w:r>
          </w:p>
        </w:tc>
        <w:tc>
          <w:tcPr>
            <w:tcW w:w="1677" w:type="dxa"/>
            <w:hideMark/>
          </w:tcPr>
          <w:p w14:paraId="77366DBA" w14:textId="310FB39F" w:rsidR="001E53B2" w:rsidRPr="00E423F3" w:rsidRDefault="001E53B2">
            <w:pPr>
              <w:spacing w:after="0" w:line="240" w:lineRule="auto"/>
              <w:jc w:val="right"/>
              <w:rPr>
                <w:rFonts w:eastAsia="Times New Roman" w:cs="Arial"/>
                <w:color w:val="000000"/>
                <w:sz w:val="20"/>
                <w:szCs w:val="20"/>
                <w:lang w:eastAsia="en-AU"/>
              </w:rPr>
            </w:pPr>
            <w:r w:rsidRPr="00E423F3">
              <w:rPr>
                <w:rFonts w:cs="Arial"/>
                <w:color w:val="000000"/>
                <w:sz w:val="20"/>
                <w:szCs w:val="20"/>
              </w:rPr>
              <w:t>↑4.8</w:t>
            </w:r>
            <w:r w:rsidR="005A08A4" w:rsidRPr="006260EA">
              <w:rPr>
                <w:rFonts w:cs="Arial"/>
                <w:color w:val="000000"/>
                <w:sz w:val="20"/>
                <w:szCs w:val="20"/>
              </w:rPr>
              <w:t>pp</w:t>
            </w:r>
          </w:p>
        </w:tc>
      </w:tr>
      <w:tr w:rsidR="001E53B2" w:rsidRPr="00162A22" w14:paraId="428D1422" w14:textId="77777777" w:rsidTr="002E05DA">
        <w:trPr>
          <w:cnfStyle w:val="000000010000" w:firstRow="0" w:lastRow="0" w:firstColumn="0" w:lastColumn="0" w:oddVBand="0" w:evenVBand="0" w:oddHBand="0" w:evenHBand="1" w:firstRowFirstColumn="0" w:firstRowLastColumn="0" w:lastRowFirstColumn="0" w:lastRowLastColumn="0"/>
          <w:trHeight w:val="340"/>
        </w:trPr>
        <w:tc>
          <w:tcPr>
            <w:tcW w:w="3969" w:type="dxa"/>
            <w:hideMark/>
          </w:tcPr>
          <w:p w14:paraId="24945E37" w14:textId="77777777" w:rsidR="001E53B2" w:rsidRPr="00E423F3" w:rsidRDefault="001E53B2">
            <w:pPr>
              <w:spacing w:after="0" w:line="240" w:lineRule="auto"/>
              <w:rPr>
                <w:rFonts w:eastAsia="Times New Roman" w:cs="Arial"/>
                <w:color w:val="000000"/>
                <w:sz w:val="20"/>
                <w:szCs w:val="20"/>
                <w:lang w:eastAsia="en-AU"/>
              </w:rPr>
            </w:pPr>
            <w:r w:rsidRPr="00E423F3">
              <w:rPr>
                <w:rFonts w:eastAsia="Times New Roman" w:cs="Arial"/>
                <w:color w:val="000000"/>
                <w:sz w:val="20"/>
                <w:szCs w:val="20"/>
                <w:lang w:eastAsia="en-AU"/>
              </w:rPr>
              <w:t>Applicants per vacancy (no.)</w:t>
            </w:r>
          </w:p>
        </w:tc>
        <w:tc>
          <w:tcPr>
            <w:tcW w:w="1677" w:type="dxa"/>
            <w:hideMark/>
          </w:tcPr>
          <w:p w14:paraId="6AEF217F" w14:textId="77777777" w:rsidR="001E53B2" w:rsidRPr="00E423F3" w:rsidRDefault="001E53B2">
            <w:pPr>
              <w:spacing w:after="0" w:line="240" w:lineRule="auto"/>
              <w:jc w:val="right"/>
              <w:rPr>
                <w:rFonts w:eastAsia="Times New Roman" w:cs="Arial"/>
                <w:color w:val="000000"/>
                <w:sz w:val="20"/>
                <w:szCs w:val="20"/>
                <w:lang w:eastAsia="en-AU"/>
              </w:rPr>
            </w:pPr>
            <w:r w:rsidRPr="00E423F3">
              <w:rPr>
                <w:rFonts w:cs="Arial"/>
                <w:color w:val="000000"/>
                <w:sz w:val="20"/>
                <w:szCs w:val="20"/>
              </w:rPr>
              <w:t>17.4</w:t>
            </w:r>
          </w:p>
        </w:tc>
        <w:tc>
          <w:tcPr>
            <w:tcW w:w="1677" w:type="dxa"/>
            <w:hideMark/>
          </w:tcPr>
          <w:p w14:paraId="72E4E3D8" w14:textId="53738296" w:rsidR="001E53B2" w:rsidRPr="00E423F3" w:rsidRDefault="001E53B2">
            <w:pPr>
              <w:spacing w:after="0" w:line="240" w:lineRule="auto"/>
              <w:jc w:val="right"/>
              <w:rPr>
                <w:rFonts w:eastAsia="Times New Roman" w:cs="Arial"/>
                <w:color w:val="000000"/>
                <w:sz w:val="20"/>
                <w:szCs w:val="20"/>
                <w:lang w:eastAsia="en-AU"/>
              </w:rPr>
            </w:pPr>
            <w:r w:rsidRPr="00E423F3">
              <w:rPr>
                <w:rFonts w:cs="Arial"/>
                <w:color w:val="000000"/>
                <w:sz w:val="20"/>
                <w:szCs w:val="20"/>
              </w:rPr>
              <w:t>↑2.7</w:t>
            </w:r>
          </w:p>
        </w:tc>
        <w:tc>
          <w:tcPr>
            <w:tcW w:w="1677" w:type="dxa"/>
            <w:hideMark/>
          </w:tcPr>
          <w:p w14:paraId="5205C616" w14:textId="77777777" w:rsidR="001E53B2" w:rsidRPr="00E423F3" w:rsidRDefault="001E53B2">
            <w:pPr>
              <w:spacing w:after="0" w:line="240" w:lineRule="auto"/>
              <w:jc w:val="right"/>
              <w:rPr>
                <w:rFonts w:eastAsia="Times New Roman" w:cs="Arial"/>
                <w:color w:val="000000"/>
                <w:sz w:val="20"/>
                <w:szCs w:val="20"/>
                <w:lang w:eastAsia="en-AU"/>
              </w:rPr>
            </w:pPr>
            <w:r w:rsidRPr="00E423F3">
              <w:rPr>
                <w:rFonts w:cs="Arial"/>
                <w:color w:val="000000"/>
                <w:sz w:val="20"/>
                <w:szCs w:val="20"/>
              </w:rPr>
              <w:t>↑7.1</w:t>
            </w:r>
          </w:p>
        </w:tc>
      </w:tr>
      <w:tr w:rsidR="001E53B2" w:rsidRPr="00162A22" w14:paraId="45E6C8D2" w14:textId="77777777" w:rsidTr="002E05DA">
        <w:trPr>
          <w:trHeight w:val="340"/>
        </w:trPr>
        <w:tc>
          <w:tcPr>
            <w:tcW w:w="3969" w:type="dxa"/>
            <w:hideMark/>
          </w:tcPr>
          <w:p w14:paraId="394A2389" w14:textId="77777777" w:rsidR="001E53B2" w:rsidRPr="00E423F3" w:rsidRDefault="001E53B2">
            <w:pPr>
              <w:spacing w:after="0" w:line="240" w:lineRule="auto"/>
              <w:rPr>
                <w:rFonts w:eastAsia="Times New Roman" w:cs="Arial"/>
                <w:color w:val="000000"/>
                <w:sz w:val="20"/>
                <w:szCs w:val="20"/>
                <w:lang w:eastAsia="en-AU"/>
              </w:rPr>
            </w:pPr>
            <w:r w:rsidRPr="00E423F3">
              <w:rPr>
                <w:rFonts w:eastAsia="Times New Roman" w:cs="Arial"/>
                <w:color w:val="000000"/>
                <w:sz w:val="20"/>
                <w:szCs w:val="20"/>
                <w:lang w:eastAsia="en-AU"/>
              </w:rPr>
              <w:t>Qualified applicants per vacancy (no.)</w:t>
            </w:r>
          </w:p>
        </w:tc>
        <w:tc>
          <w:tcPr>
            <w:tcW w:w="1677" w:type="dxa"/>
            <w:hideMark/>
          </w:tcPr>
          <w:p w14:paraId="6C4207AC" w14:textId="77777777" w:rsidR="001E53B2" w:rsidRPr="00E423F3" w:rsidRDefault="001E53B2">
            <w:pPr>
              <w:spacing w:after="0" w:line="240" w:lineRule="auto"/>
              <w:jc w:val="right"/>
              <w:rPr>
                <w:rFonts w:eastAsia="Times New Roman" w:cs="Arial"/>
                <w:color w:val="000000"/>
                <w:sz w:val="20"/>
                <w:szCs w:val="20"/>
                <w:lang w:eastAsia="en-AU"/>
              </w:rPr>
            </w:pPr>
            <w:r w:rsidRPr="00E423F3">
              <w:rPr>
                <w:rFonts w:eastAsia="Times New Roman" w:cs="Arial"/>
                <w:color w:val="000000"/>
                <w:sz w:val="20"/>
                <w:szCs w:val="20"/>
                <w:lang w:eastAsia="en-AU"/>
              </w:rPr>
              <w:t>5.3</w:t>
            </w:r>
          </w:p>
        </w:tc>
        <w:tc>
          <w:tcPr>
            <w:tcW w:w="1677" w:type="dxa"/>
            <w:hideMark/>
          </w:tcPr>
          <w:p w14:paraId="3C2D4792" w14:textId="691D7602" w:rsidR="001E53B2" w:rsidRPr="00E423F3" w:rsidRDefault="001E53B2">
            <w:pPr>
              <w:spacing w:after="0" w:line="240" w:lineRule="auto"/>
              <w:jc w:val="right"/>
              <w:rPr>
                <w:rFonts w:eastAsia="Times New Roman" w:cs="Arial"/>
                <w:color w:val="000000"/>
                <w:sz w:val="20"/>
                <w:szCs w:val="20"/>
                <w:lang w:eastAsia="en-AU"/>
              </w:rPr>
            </w:pPr>
            <w:r w:rsidRPr="00E423F3">
              <w:rPr>
                <w:rFonts w:cs="Arial"/>
                <w:color w:val="000000"/>
                <w:sz w:val="20"/>
                <w:szCs w:val="20"/>
              </w:rPr>
              <w:t>↑</w:t>
            </w:r>
            <w:r w:rsidRPr="00E423F3">
              <w:rPr>
                <w:rFonts w:eastAsia="Times New Roman" w:cs="Arial"/>
                <w:color w:val="000000"/>
                <w:sz w:val="20"/>
                <w:szCs w:val="20"/>
                <w:lang w:eastAsia="en-AU"/>
              </w:rPr>
              <w:t>0.7</w:t>
            </w:r>
          </w:p>
        </w:tc>
        <w:tc>
          <w:tcPr>
            <w:tcW w:w="1677" w:type="dxa"/>
            <w:hideMark/>
          </w:tcPr>
          <w:p w14:paraId="301F9012" w14:textId="77777777" w:rsidR="001E53B2" w:rsidRPr="00E423F3" w:rsidRDefault="001E53B2">
            <w:pPr>
              <w:spacing w:after="0" w:line="240" w:lineRule="auto"/>
              <w:jc w:val="right"/>
              <w:rPr>
                <w:rFonts w:eastAsia="Times New Roman" w:cs="Arial"/>
                <w:color w:val="000000"/>
                <w:sz w:val="20"/>
                <w:szCs w:val="20"/>
                <w:lang w:eastAsia="en-AU"/>
              </w:rPr>
            </w:pPr>
            <w:r w:rsidRPr="00E423F3">
              <w:rPr>
                <w:rFonts w:cs="Arial"/>
                <w:color w:val="000000"/>
                <w:sz w:val="20"/>
                <w:szCs w:val="20"/>
              </w:rPr>
              <w:t>↑</w:t>
            </w:r>
            <w:r w:rsidRPr="00E423F3">
              <w:rPr>
                <w:rFonts w:eastAsia="Times New Roman" w:cs="Arial"/>
                <w:color w:val="000000"/>
                <w:sz w:val="20"/>
                <w:szCs w:val="20"/>
                <w:lang w:eastAsia="en-AU"/>
              </w:rPr>
              <w:t>2.0</w:t>
            </w:r>
          </w:p>
        </w:tc>
      </w:tr>
      <w:tr w:rsidR="001E53B2" w:rsidRPr="00162A22" w14:paraId="3899003A" w14:textId="77777777" w:rsidTr="002E05DA">
        <w:trPr>
          <w:cnfStyle w:val="000000010000" w:firstRow="0" w:lastRow="0" w:firstColumn="0" w:lastColumn="0" w:oddVBand="0" w:evenVBand="0" w:oddHBand="0" w:evenHBand="1" w:firstRowFirstColumn="0" w:firstRowLastColumn="0" w:lastRowFirstColumn="0" w:lastRowLastColumn="0"/>
          <w:trHeight w:val="340"/>
        </w:trPr>
        <w:tc>
          <w:tcPr>
            <w:tcW w:w="3969" w:type="dxa"/>
            <w:hideMark/>
          </w:tcPr>
          <w:p w14:paraId="41B308AA" w14:textId="77777777" w:rsidR="001E53B2" w:rsidRPr="00E423F3" w:rsidRDefault="001E53B2">
            <w:pPr>
              <w:spacing w:after="0" w:line="240" w:lineRule="auto"/>
              <w:rPr>
                <w:rFonts w:eastAsia="Times New Roman" w:cs="Arial"/>
                <w:color w:val="000000"/>
                <w:sz w:val="20"/>
                <w:szCs w:val="20"/>
                <w:lang w:eastAsia="en-AU"/>
              </w:rPr>
            </w:pPr>
            <w:r w:rsidRPr="00E423F3">
              <w:rPr>
                <w:rFonts w:eastAsia="Times New Roman" w:cs="Arial"/>
                <w:color w:val="000000"/>
                <w:sz w:val="20"/>
                <w:szCs w:val="20"/>
                <w:lang w:eastAsia="en-AU"/>
              </w:rPr>
              <w:t>Suitable applicants per vacancy (no.)</w:t>
            </w:r>
          </w:p>
        </w:tc>
        <w:tc>
          <w:tcPr>
            <w:tcW w:w="1677" w:type="dxa"/>
            <w:hideMark/>
          </w:tcPr>
          <w:p w14:paraId="0C603C93" w14:textId="77777777" w:rsidR="001E53B2" w:rsidRPr="00E423F3" w:rsidRDefault="001E53B2">
            <w:pPr>
              <w:spacing w:after="0" w:line="240" w:lineRule="auto"/>
              <w:jc w:val="right"/>
              <w:rPr>
                <w:rFonts w:eastAsia="Times New Roman" w:cs="Arial"/>
                <w:color w:val="000000"/>
                <w:sz w:val="20"/>
                <w:szCs w:val="20"/>
                <w:lang w:eastAsia="en-AU"/>
              </w:rPr>
            </w:pPr>
            <w:r w:rsidRPr="00E423F3">
              <w:rPr>
                <w:rFonts w:eastAsia="Times New Roman" w:cs="Arial"/>
                <w:color w:val="000000"/>
                <w:sz w:val="20"/>
                <w:szCs w:val="20"/>
                <w:lang w:eastAsia="en-AU"/>
              </w:rPr>
              <w:t>2.4</w:t>
            </w:r>
          </w:p>
        </w:tc>
        <w:tc>
          <w:tcPr>
            <w:tcW w:w="1677" w:type="dxa"/>
            <w:hideMark/>
          </w:tcPr>
          <w:p w14:paraId="63008C92" w14:textId="211D69E5" w:rsidR="001E53B2" w:rsidRPr="00E423F3" w:rsidRDefault="001E53B2">
            <w:pPr>
              <w:spacing w:after="0" w:line="240" w:lineRule="auto"/>
              <w:jc w:val="right"/>
              <w:rPr>
                <w:rFonts w:eastAsia="Times New Roman" w:cs="Arial"/>
                <w:color w:val="000000"/>
                <w:sz w:val="20"/>
                <w:szCs w:val="20"/>
                <w:lang w:eastAsia="en-AU"/>
              </w:rPr>
            </w:pPr>
            <w:r w:rsidRPr="00E423F3">
              <w:rPr>
                <w:rFonts w:cs="Arial"/>
                <w:color w:val="000000"/>
                <w:sz w:val="20"/>
                <w:szCs w:val="20"/>
              </w:rPr>
              <w:t>↑</w:t>
            </w:r>
            <w:r w:rsidRPr="00E423F3">
              <w:rPr>
                <w:rFonts w:eastAsia="Times New Roman" w:cs="Arial"/>
                <w:color w:val="000000"/>
                <w:sz w:val="20"/>
                <w:szCs w:val="20"/>
                <w:lang w:eastAsia="en-AU"/>
              </w:rPr>
              <w:t>0.3</w:t>
            </w:r>
          </w:p>
        </w:tc>
        <w:tc>
          <w:tcPr>
            <w:tcW w:w="1677" w:type="dxa"/>
            <w:hideMark/>
          </w:tcPr>
          <w:p w14:paraId="271DAD95" w14:textId="77777777" w:rsidR="001E53B2" w:rsidRPr="00E423F3" w:rsidRDefault="001E53B2">
            <w:pPr>
              <w:spacing w:after="0" w:line="240" w:lineRule="auto"/>
              <w:jc w:val="right"/>
              <w:rPr>
                <w:rFonts w:eastAsia="Times New Roman" w:cs="Arial"/>
                <w:color w:val="000000"/>
                <w:sz w:val="20"/>
                <w:szCs w:val="20"/>
                <w:lang w:eastAsia="en-AU"/>
              </w:rPr>
            </w:pPr>
            <w:r w:rsidRPr="00E423F3">
              <w:rPr>
                <w:rFonts w:cs="Arial"/>
                <w:color w:val="000000"/>
                <w:sz w:val="20"/>
                <w:szCs w:val="20"/>
              </w:rPr>
              <w:t>↑</w:t>
            </w:r>
            <w:r w:rsidRPr="00E423F3">
              <w:rPr>
                <w:rFonts w:eastAsia="Times New Roman" w:cs="Arial"/>
                <w:color w:val="000000"/>
                <w:sz w:val="20"/>
                <w:szCs w:val="20"/>
                <w:lang w:eastAsia="en-AU"/>
              </w:rPr>
              <w:t>0.4</w:t>
            </w:r>
          </w:p>
        </w:tc>
      </w:tr>
      <w:tr w:rsidR="001E53B2" w:rsidRPr="00162A22" w14:paraId="64C20304" w14:textId="77777777" w:rsidTr="002E05DA">
        <w:trPr>
          <w:trHeight w:val="340"/>
        </w:trPr>
        <w:tc>
          <w:tcPr>
            <w:tcW w:w="3969" w:type="dxa"/>
            <w:hideMark/>
          </w:tcPr>
          <w:p w14:paraId="60AA7567" w14:textId="77777777" w:rsidR="001E53B2" w:rsidRPr="00E423F3" w:rsidRDefault="001E53B2">
            <w:pPr>
              <w:spacing w:after="0" w:line="240" w:lineRule="auto"/>
              <w:rPr>
                <w:rFonts w:eastAsia="Times New Roman" w:cs="Arial"/>
                <w:color w:val="000000"/>
                <w:sz w:val="20"/>
                <w:szCs w:val="20"/>
                <w:lang w:eastAsia="en-AU"/>
              </w:rPr>
            </w:pPr>
            <w:r w:rsidRPr="00E423F3">
              <w:rPr>
                <w:rFonts w:eastAsia="Times New Roman" w:cs="Arial"/>
                <w:color w:val="000000"/>
                <w:sz w:val="20"/>
                <w:szCs w:val="20"/>
                <w:lang w:eastAsia="en-AU"/>
              </w:rPr>
              <w:t xml:space="preserve">Suitability gap (%) </w:t>
            </w:r>
          </w:p>
        </w:tc>
        <w:tc>
          <w:tcPr>
            <w:tcW w:w="1677" w:type="dxa"/>
            <w:hideMark/>
          </w:tcPr>
          <w:p w14:paraId="0666E370" w14:textId="77777777" w:rsidR="001E53B2" w:rsidRPr="00E423F3" w:rsidRDefault="001E53B2">
            <w:pPr>
              <w:spacing w:after="0" w:line="240" w:lineRule="auto"/>
              <w:jc w:val="right"/>
              <w:rPr>
                <w:rFonts w:eastAsia="Times New Roman" w:cs="Arial"/>
                <w:color w:val="000000"/>
                <w:sz w:val="20"/>
                <w:szCs w:val="20"/>
                <w:lang w:eastAsia="en-AU"/>
              </w:rPr>
            </w:pPr>
            <w:r w:rsidRPr="00E423F3">
              <w:rPr>
                <w:rFonts w:eastAsia="Times New Roman" w:cs="Arial"/>
                <w:color w:val="000000"/>
                <w:sz w:val="20"/>
                <w:szCs w:val="20"/>
                <w:lang w:eastAsia="en-AU"/>
              </w:rPr>
              <w:t>55.3%</w:t>
            </w:r>
          </w:p>
        </w:tc>
        <w:tc>
          <w:tcPr>
            <w:tcW w:w="1677" w:type="dxa"/>
            <w:hideMark/>
          </w:tcPr>
          <w:p w14:paraId="342FEC32" w14:textId="0F608EFF" w:rsidR="001E53B2" w:rsidRPr="00E423F3" w:rsidRDefault="001E53B2">
            <w:pPr>
              <w:spacing w:after="0" w:line="240" w:lineRule="auto"/>
              <w:jc w:val="right"/>
              <w:rPr>
                <w:rFonts w:eastAsia="Times New Roman" w:cs="Arial"/>
                <w:color w:val="000000"/>
                <w:sz w:val="20"/>
                <w:szCs w:val="20"/>
                <w:lang w:eastAsia="en-AU"/>
              </w:rPr>
            </w:pPr>
            <w:r w:rsidRPr="00E423F3">
              <w:rPr>
                <w:rFonts w:cs="Arial"/>
                <w:color w:val="000000"/>
                <w:sz w:val="20"/>
                <w:szCs w:val="20"/>
              </w:rPr>
              <w:t>↑</w:t>
            </w:r>
            <w:r w:rsidRPr="00E423F3">
              <w:rPr>
                <w:rFonts w:eastAsia="Times New Roman" w:cs="Arial"/>
                <w:color w:val="000000"/>
                <w:sz w:val="20"/>
                <w:szCs w:val="20"/>
                <w:lang w:eastAsia="en-AU"/>
              </w:rPr>
              <w:t>0.4</w:t>
            </w:r>
            <w:r w:rsidR="005A08A4" w:rsidRPr="006260EA">
              <w:rPr>
                <w:rFonts w:eastAsia="Times New Roman" w:cs="Arial"/>
                <w:color w:val="000000"/>
                <w:sz w:val="20"/>
                <w:szCs w:val="20"/>
                <w:lang w:eastAsia="en-AU"/>
              </w:rPr>
              <w:t>pp</w:t>
            </w:r>
          </w:p>
        </w:tc>
        <w:tc>
          <w:tcPr>
            <w:tcW w:w="1677" w:type="dxa"/>
            <w:hideMark/>
          </w:tcPr>
          <w:p w14:paraId="2D850FF5" w14:textId="59228802" w:rsidR="001E53B2" w:rsidRPr="00E423F3" w:rsidRDefault="001E53B2">
            <w:pPr>
              <w:spacing w:after="0" w:line="240" w:lineRule="auto"/>
              <w:jc w:val="right"/>
              <w:rPr>
                <w:rFonts w:eastAsia="Times New Roman" w:cs="Arial"/>
                <w:color w:val="000000"/>
                <w:sz w:val="20"/>
                <w:szCs w:val="20"/>
                <w:lang w:eastAsia="en-AU"/>
              </w:rPr>
            </w:pPr>
            <w:r w:rsidRPr="00E423F3">
              <w:rPr>
                <w:rFonts w:cs="Arial"/>
                <w:color w:val="000000"/>
                <w:sz w:val="20"/>
                <w:szCs w:val="20"/>
              </w:rPr>
              <w:t>↑</w:t>
            </w:r>
            <w:r w:rsidRPr="00E423F3">
              <w:rPr>
                <w:rFonts w:eastAsia="Times New Roman" w:cs="Arial"/>
                <w:color w:val="000000"/>
                <w:sz w:val="20"/>
                <w:szCs w:val="20"/>
                <w:lang w:eastAsia="en-AU"/>
              </w:rPr>
              <w:t>13.3</w:t>
            </w:r>
            <w:r w:rsidR="005A08A4" w:rsidRPr="006260EA">
              <w:rPr>
                <w:rFonts w:eastAsia="Times New Roman" w:cs="Arial"/>
                <w:color w:val="000000"/>
                <w:sz w:val="20"/>
                <w:szCs w:val="20"/>
                <w:lang w:eastAsia="en-AU"/>
              </w:rPr>
              <w:t>pp</w:t>
            </w:r>
          </w:p>
        </w:tc>
      </w:tr>
    </w:tbl>
    <w:p w14:paraId="507A3474" w14:textId="49C7C495" w:rsidR="004F4559" w:rsidRPr="00E423F3" w:rsidRDefault="004F4559" w:rsidP="00911975">
      <w:pPr>
        <w:pStyle w:val="Source"/>
      </w:pPr>
      <w:r w:rsidRPr="00E423F3">
        <w:t xml:space="preserve">Source: </w:t>
      </w:r>
      <w:r w:rsidR="00623868" w:rsidRPr="00E423F3">
        <w:t>JSA</w:t>
      </w:r>
      <w:r w:rsidRPr="00E423F3">
        <w:t xml:space="preserve">, </w:t>
      </w:r>
      <w:r w:rsidR="00623868" w:rsidRPr="00E423F3">
        <w:t>SERA, September quarter 2024</w:t>
      </w:r>
    </w:p>
    <w:p w14:paraId="0337EC9B" w14:textId="1A193BF2" w:rsidR="00911975" w:rsidRPr="00E423F3" w:rsidRDefault="00A015C0" w:rsidP="00911975">
      <w:pPr>
        <w:spacing w:before="240"/>
      </w:pPr>
      <w:r w:rsidRPr="00E423F3">
        <w:t xml:space="preserve">In terms of Skill levels, in the September quarter 2024 and year to September 2024, fill rates improved across all Skill Level 1 to 4 occupations. This is supported by increases in the total number of applicants, qualified applicants, and suitable applicants per vacancy for these skill level occupation groups (Figure </w:t>
      </w:r>
      <w:r w:rsidR="00DB02B1" w:rsidRPr="00E423F3">
        <w:t>7</w:t>
      </w:r>
      <w:r w:rsidRPr="00E423F3">
        <w:t>).</w:t>
      </w:r>
    </w:p>
    <w:p w14:paraId="3F96E773" w14:textId="551D7779" w:rsidR="004F1CC9" w:rsidRPr="004F1CC9" w:rsidRDefault="004F1CC9" w:rsidP="004F1CC9">
      <w:pPr>
        <w:spacing w:before="240"/>
      </w:pPr>
      <w:r w:rsidRPr="004F1CC9">
        <w:t>Despite the increase in fill rates for Skill Level 3 occupations, the fill rate remained very low at 53.9% and is significantly lower than the fill rates of other skill level occupation groups.</w:t>
      </w:r>
      <w:r w:rsidRPr="004F1CC9">
        <w:rPr>
          <w:vertAlign w:val="superscript"/>
        </w:rPr>
        <w:footnoteReference w:id="6"/>
      </w:r>
      <w:r w:rsidRPr="004F1CC9">
        <w:t xml:space="preserve"> In addition, the suitability gap for Skill Level 3 occupations recorded the highest recent increases compared to other Skill Levels. It increased by 5.7pp over the quarter and 13.5pp over the past 12 months. Increases in the suitability gap and improvements in fill rates may both be attributable to softening labour market conditions.</w:t>
      </w:r>
    </w:p>
    <w:p w14:paraId="76029219" w14:textId="07E3E5C5" w:rsidR="0E44D082" w:rsidRDefault="0E44D082">
      <w:r>
        <w:br w:type="page"/>
      </w:r>
    </w:p>
    <w:p w14:paraId="3CEB489B" w14:textId="5F17EFC5" w:rsidR="00911975" w:rsidRPr="00E423F3" w:rsidRDefault="7C61E49D" w:rsidP="58A895D0">
      <w:pPr>
        <w:spacing w:before="240"/>
        <w:rPr>
          <w:b/>
          <w:bCs/>
        </w:rPr>
      </w:pPr>
      <w:r w:rsidRPr="58A895D0">
        <w:rPr>
          <w:b/>
          <w:bCs/>
          <w:sz w:val="18"/>
          <w:szCs w:val="18"/>
        </w:rPr>
        <w:lastRenderedPageBreak/>
        <w:t>Figure 7: Fill rate, by Skill level, September 2022 to September 2024</w:t>
      </w:r>
    </w:p>
    <w:p w14:paraId="28BA6D64" w14:textId="286A0B96" w:rsidR="00330129" w:rsidRPr="006260EA" w:rsidRDefault="00911975" w:rsidP="0E44D082">
      <w:pPr>
        <w:spacing w:before="240"/>
        <w:rPr>
          <w:b/>
          <w:bCs/>
          <w:sz w:val="18"/>
          <w:szCs w:val="18"/>
        </w:rPr>
      </w:pPr>
      <w:r w:rsidRPr="00E423F3">
        <w:rPr>
          <w:noProof/>
        </w:rPr>
        <w:drawing>
          <wp:anchor distT="0" distB="0" distL="114300" distR="114300" simplePos="0" relativeHeight="251658244" behindDoc="1" locked="0" layoutInCell="1" allowOverlap="1" wp14:anchorId="39679797" wp14:editId="7C419B01">
            <wp:simplePos x="0" y="0"/>
            <wp:positionH relativeFrom="margin">
              <wp:align>left</wp:align>
            </wp:positionH>
            <wp:positionV relativeFrom="paragraph">
              <wp:posOffset>263525</wp:posOffset>
            </wp:positionV>
            <wp:extent cx="5461000" cy="2933700"/>
            <wp:effectExtent l="0" t="0" r="6350" b="0"/>
            <wp:wrapTight wrapText="bothSides">
              <wp:wrapPolygon edited="0">
                <wp:start x="0" y="0"/>
                <wp:lineTo x="0" y="21450"/>
                <wp:lineTo x="21550" y="21450"/>
                <wp:lineTo x="21550" y="0"/>
                <wp:lineTo x="0" y="0"/>
              </wp:wrapPolygon>
            </wp:wrapTight>
            <wp:docPr id="1095806398" name="Chart 1" descr="Figure 7 A line chart showing the fill rate by four different skill levels. Fill rates for all four skill levels have been increasing gradually although it remains comparatively low for Skill level 3 occupations.">
              <a:extLst xmlns:a="http://schemas.openxmlformats.org/drawingml/2006/main">
                <a:ext uri="{FF2B5EF4-FFF2-40B4-BE49-F238E27FC236}">
                  <a16:creationId xmlns:a16="http://schemas.microsoft.com/office/drawing/2014/main" id="{80BC85B2-C9F4-424E-92AC-F6F1D7A6C9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V relativeFrom="margin">
              <wp14:pctHeight>0</wp14:pctHeight>
            </wp14:sizeRelV>
          </wp:anchor>
        </w:drawing>
      </w:r>
    </w:p>
    <w:p w14:paraId="73A1B683" w14:textId="5A2D9BEA" w:rsidR="001B71DD" w:rsidRPr="00911975" w:rsidRDefault="00911975" w:rsidP="00911975">
      <w:r w:rsidRPr="00E423F3">
        <w:rPr>
          <w:sz w:val="18"/>
          <w:szCs w:val="18"/>
        </w:rPr>
        <w:t xml:space="preserve">Source: </w:t>
      </w:r>
      <w:r w:rsidR="00623868" w:rsidRPr="00E423F3">
        <w:rPr>
          <w:sz w:val="18"/>
          <w:szCs w:val="18"/>
        </w:rPr>
        <w:t>JSA</w:t>
      </w:r>
      <w:r w:rsidRPr="00E423F3">
        <w:rPr>
          <w:sz w:val="18"/>
          <w:szCs w:val="18"/>
        </w:rPr>
        <w:t xml:space="preserve">, </w:t>
      </w:r>
      <w:r w:rsidR="00623868" w:rsidRPr="00E423F3">
        <w:rPr>
          <w:sz w:val="18"/>
          <w:szCs w:val="18"/>
        </w:rPr>
        <w:t>SERA, September quarter 2024</w:t>
      </w:r>
    </w:p>
    <w:p w14:paraId="5D91EEE4" w14:textId="3D5FCA70" w:rsidR="0073179E" w:rsidRPr="004C37CD" w:rsidRDefault="0073179E" w:rsidP="0073179E">
      <w:pPr>
        <w:pStyle w:val="Heading2"/>
      </w:pPr>
      <w:bookmarkStart w:id="33" w:name="_Toc182561812"/>
      <w:r w:rsidRPr="004C37CD">
        <w:t>Recruitment difficulties are easing</w:t>
      </w:r>
      <w:bookmarkEnd w:id="33"/>
    </w:p>
    <w:p w14:paraId="7D09DEDA" w14:textId="24FB66AF" w:rsidR="00C22718" w:rsidRPr="004C37CD" w:rsidRDefault="001260BA" w:rsidP="004D18CE">
      <w:bookmarkStart w:id="34" w:name="_Toc151365187"/>
      <w:bookmarkEnd w:id="26"/>
      <w:r w:rsidRPr="004C37CD">
        <w:t xml:space="preserve">Results from the </w:t>
      </w:r>
      <w:r w:rsidR="00DB02B1" w:rsidRPr="00DB02B1">
        <w:t>REOS</w:t>
      </w:r>
      <w:r w:rsidRPr="004C37CD">
        <w:t xml:space="preserve"> show</w:t>
      </w:r>
      <w:r w:rsidR="00DB02B1">
        <w:t xml:space="preserve">s </w:t>
      </w:r>
      <w:r w:rsidRPr="004C37CD">
        <w:t xml:space="preserve">quarterly </w:t>
      </w:r>
      <w:r w:rsidRPr="004C37CD">
        <w:rPr>
          <w:rStyle w:val="Strong"/>
          <w:b w:val="0"/>
          <w:bCs w:val="0"/>
        </w:rPr>
        <w:t xml:space="preserve">recruitment </w:t>
      </w:r>
      <w:r w:rsidR="004C37CD" w:rsidRPr="004C37CD">
        <w:rPr>
          <w:rStyle w:val="Strong"/>
          <w:b w:val="0"/>
          <w:bCs w:val="0"/>
        </w:rPr>
        <w:t>rate</w:t>
      </w:r>
      <w:r w:rsidR="00814B18">
        <w:rPr>
          <w:rStyle w:val="Strong"/>
          <w:b w:val="0"/>
          <w:bCs w:val="0"/>
        </w:rPr>
        <w:t>s</w:t>
      </w:r>
      <w:r w:rsidRPr="004C37CD">
        <w:t xml:space="preserve"> decreased</w:t>
      </w:r>
      <w:r w:rsidR="004C37CD" w:rsidRPr="004C37CD">
        <w:t xml:space="preserve"> in</w:t>
      </w:r>
      <w:r w:rsidRPr="004C37CD">
        <w:t xml:space="preserve"> </w:t>
      </w:r>
      <w:r w:rsidR="004C37CD" w:rsidRPr="004C37CD">
        <w:t>all</w:t>
      </w:r>
      <w:r w:rsidRPr="004C37CD">
        <w:t xml:space="preserve"> states </w:t>
      </w:r>
      <w:r w:rsidR="004C37CD" w:rsidRPr="004C37CD">
        <w:t xml:space="preserve">and territories </w:t>
      </w:r>
      <w:r w:rsidRPr="004C37CD">
        <w:t xml:space="preserve">over the year to the </w:t>
      </w:r>
      <w:r w:rsidR="004C37CD" w:rsidRPr="004C37CD">
        <w:t>September</w:t>
      </w:r>
      <w:r w:rsidRPr="004C37CD">
        <w:t xml:space="preserve"> quarter </w:t>
      </w:r>
      <w:r w:rsidRPr="00F17695">
        <w:t xml:space="preserve">2024 (Figure </w:t>
      </w:r>
      <w:r w:rsidR="003923C3" w:rsidRPr="00F17695">
        <w:t>8</w:t>
      </w:r>
      <w:r w:rsidRPr="00F17695">
        <w:t>).</w:t>
      </w:r>
      <w:r w:rsidRPr="004C37CD">
        <w:t xml:space="preserve"> </w:t>
      </w:r>
      <w:r w:rsidR="004C37CD" w:rsidRPr="004C37CD">
        <w:t xml:space="preserve">Recruitment difficulty </w:t>
      </w:r>
      <w:r w:rsidR="00A9101F">
        <w:t>significantly</w:t>
      </w:r>
      <w:r w:rsidR="004C37CD" w:rsidRPr="004C37CD">
        <w:t xml:space="preserve"> decreased in all states and territories except Tasmania.</w:t>
      </w:r>
    </w:p>
    <w:p w14:paraId="63A75491" w14:textId="5B9F1B58" w:rsidR="58A895D0" w:rsidRDefault="00C22718">
      <w:r>
        <w:t xml:space="preserve">Of the </w:t>
      </w:r>
      <w:r w:rsidR="001D63DE">
        <w:t>6</w:t>
      </w:r>
      <w:r>
        <w:t xml:space="preserve"> states, Queensland recorded the highest recruitment rate in the September quarter 2024 (52%). South Australia recorded the largest annual fall in recruitment activity, down by 11</w:t>
      </w:r>
      <w:r w:rsidR="005A08A4">
        <w:t>pp</w:t>
      </w:r>
      <w:r>
        <w:t xml:space="preserve"> to 36%. </w:t>
      </w:r>
      <w:r w:rsidR="00A9101F">
        <w:t>It is followed by the ACT down 7</w:t>
      </w:r>
      <w:r w:rsidR="005A08A4">
        <w:t>pp</w:t>
      </w:r>
      <w:r w:rsidR="00AB3A4A">
        <w:t xml:space="preserve"> to 44% then</w:t>
      </w:r>
      <w:r w:rsidR="00A9101F">
        <w:t xml:space="preserve"> </w:t>
      </w:r>
      <w:r w:rsidR="00AB3A4A">
        <w:t xml:space="preserve">by </w:t>
      </w:r>
      <w:r w:rsidR="00A9101F">
        <w:t>Victoria down 6</w:t>
      </w:r>
      <w:r w:rsidR="005A08A4">
        <w:t>pp</w:t>
      </w:r>
      <w:r w:rsidR="00341254">
        <w:t xml:space="preserve"> to</w:t>
      </w:r>
      <w:r w:rsidR="00AB3A4A">
        <w:t xml:space="preserve"> 37%</w:t>
      </w:r>
      <w:r w:rsidR="00A16A37">
        <w:t xml:space="preserve">. </w:t>
      </w:r>
      <w:r w:rsidR="00A9101F">
        <w:t xml:space="preserve">Recruitment difficulty is currently </w:t>
      </w:r>
      <w:r w:rsidR="00A0148D">
        <w:t>10</w:t>
      </w:r>
      <w:r w:rsidR="005A08A4">
        <w:t>pp</w:t>
      </w:r>
      <w:r w:rsidR="00A9101F">
        <w:t xml:space="preserve"> lower than it was a year ago and is </w:t>
      </w:r>
      <w:r w:rsidR="00A0148D">
        <w:t>22</w:t>
      </w:r>
      <w:r w:rsidR="005A08A4">
        <w:t>pp</w:t>
      </w:r>
      <w:r w:rsidR="00A9101F">
        <w:t xml:space="preserve"> below the high of </w:t>
      </w:r>
      <w:r w:rsidR="00A0148D">
        <w:t>72</w:t>
      </w:r>
      <w:r w:rsidR="00A9101F">
        <w:t xml:space="preserve">% in </w:t>
      </w:r>
      <w:r w:rsidR="005D70FB">
        <w:t>September quarter</w:t>
      </w:r>
      <w:r w:rsidR="00A9101F">
        <w:t xml:space="preserve"> 2022. </w:t>
      </w:r>
      <w:r>
        <w:t>Queensland recorded the highest difficulty rate at 54%</w:t>
      </w:r>
      <w:r w:rsidR="00AB3A4A">
        <w:t xml:space="preserve"> followed by S</w:t>
      </w:r>
      <w:r w:rsidR="00AC0D52">
        <w:t>out</w:t>
      </w:r>
      <w:r w:rsidR="00814B18">
        <w:t>h</w:t>
      </w:r>
      <w:r w:rsidR="00AC0D52">
        <w:t xml:space="preserve"> </w:t>
      </w:r>
      <w:r w:rsidR="00AB3A4A">
        <w:t>A</w:t>
      </w:r>
      <w:r w:rsidR="00AC0D52">
        <w:t>ustralia</w:t>
      </w:r>
      <w:r w:rsidR="00AB3A4A">
        <w:t xml:space="preserve"> at 51% and </w:t>
      </w:r>
      <w:r w:rsidR="00AE260A">
        <w:t xml:space="preserve">Tasmania </w:t>
      </w:r>
      <w:r w:rsidR="00AB3A4A">
        <w:t>and Western Australia both at 49%.</w:t>
      </w:r>
    </w:p>
    <w:p w14:paraId="334449BA" w14:textId="515B98A9" w:rsidR="00331AA4" w:rsidRDefault="1A25B27D" w:rsidP="58A895D0">
      <w:pPr>
        <w:spacing w:before="240"/>
        <w:rPr>
          <w:rFonts w:asciiTheme="minorHAnsi" w:hAnsiTheme="minorHAnsi"/>
          <w:b/>
          <w:bCs/>
          <w:sz w:val="18"/>
          <w:szCs w:val="18"/>
        </w:rPr>
      </w:pPr>
      <w:r w:rsidRPr="58A895D0">
        <w:rPr>
          <w:rFonts w:asciiTheme="minorHAnsi" w:hAnsiTheme="minorHAnsi"/>
          <w:b/>
          <w:bCs/>
          <w:sz w:val="18"/>
          <w:szCs w:val="18"/>
        </w:rPr>
        <w:t>F</w:t>
      </w:r>
      <w:r w:rsidR="002E05DA" w:rsidRPr="58A895D0">
        <w:rPr>
          <w:rFonts w:asciiTheme="minorHAnsi" w:hAnsiTheme="minorHAnsi"/>
          <w:b/>
          <w:bCs/>
          <w:sz w:val="18"/>
          <w:szCs w:val="18"/>
        </w:rPr>
        <w:t>igure 8: Recruitment rate (proportion of employers currently recruiting or who recruited in the past month) by state, September quarter 2023 to September quarter 2024</w:t>
      </w:r>
    </w:p>
    <w:p w14:paraId="29FC8253" w14:textId="5F342EFA" w:rsidR="002E05DA" w:rsidRPr="00911975" w:rsidRDefault="00671224" w:rsidP="00911975">
      <w:pPr>
        <w:spacing w:before="240"/>
        <w:rPr>
          <w:rFonts w:asciiTheme="minorHAnsi" w:hAnsiTheme="minorHAnsi"/>
          <w:b/>
          <w:bCs/>
          <w:sz w:val="18"/>
          <w:szCs w:val="18"/>
        </w:rPr>
      </w:pPr>
      <w:r>
        <w:rPr>
          <w:noProof/>
        </w:rPr>
        <w:drawing>
          <wp:inline distT="0" distB="0" distL="0" distR="0" wp14:anchorId="6FFB1A23" wp14:editId="38F88C1D">
            <wp:extent cx="5731510" cy="2752725"/>
            <wp:effectExtent l="0" t="0" r="2540" b="0"/>
            <wp:docPr id="728156836" name="Chart 1" descr="Figure 8 is a bar graph showing recruitment rate for each state (not including territories), for each quarter from September 2023 to September 2024">
              <a:extLst xmlns:a="http://schemas.openxmlformats.org/drawingml/2006/main">
                <a:ext uri="{FF2B5EF4-FFF2-40B4-BE49-F238E27FC236}">
                  <a16:creationId xmlns:a16="http://schemas.microsoft.com/office/drawing/2014/main" id="{B077D658-F504-7C64-8DF6-0C26DBF303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50C54E5" w14:textId="149C2109" w:rsidR="00911975" w:rsidRPr="00866EAE" w:rsidRDefault="00B40D9D" w:rsidP="00396136">
      <w:pPr>
        <w:pStyle w:val="ChartandTablelabel"/>
        <w:spacing w:before="240"/>
        <w:rPr>
          <w:b w:val="0"/>
          <w:bCs/>
          <w:sz w:val="18"/>
          <w:szCs w:val="18"/>
        </w:rPr>
      </w:pPr>
      <w:r w:rsidRPr="1B431BE0">
        <w:rPr>
          <w:rFonts w:asciiTheme="minorHAnsi" w:hAnsiTheme="minorHAnsi"/>
          <w:sz w:val="18"/>
          <w:szCs w:val="18"/>
          <w:lang w:val="en-AU"/>
        </w:rPr>
        <w:lastRenderedPageBreak/>
        <w:t xml:space="preserve">Figure </w:t>
      </w:r>
      <w:r w:rsidR="003923C3" w:rsidRPr="1B431BE0">
        <w:rPr>
          <w:rFonts w:asciiTheme="minorHAnsi" w:hAnsiTheme="minorHAnsi"/>
          <w:sz w:val="18"/>
          <w:szCs w:val="18"/>
          <w:lang w:val="en-AU"/>
        </w:rPr>
        <w:t>9</w:t>
      </w:r>
      <w:r w:rsidRPr="1B431BE0">
        <w:rPr>
          <w:rFonts w:asciiTheme="minorHAnsi" w:hAnsiTheme="minorHAnsi"/>
          <w:sz w:val="18"/>
          <w:szCs w:val="18"/>
          <w:lang w:val="en-AU"/>
        </w:rPr>
        <w:t xml:space="preserve">: Recruitment difficulty rate by state, </w:t>
      </w:r>
      <w:r w:rsidR="00EC41D7" w:rsidRPr="1B431BE0">
        <w:rPr>
          <w:rFonts w:asciiTheme="minorHAnsi" w:hAnsiTheme="minorHAnsi"/>
          <w:sz w:val="18"/>
          <w:szCs w:val="18"/>
          <w:lang w:val="en-AU"/>
        </w:rPr>
        <w:t>September</w:t>
      </w:r>
      <w:r w:rsidRPr="1B431BE0">
        <w:rPr>
          <w:rFonts w:asciiTheme="minorHAnsi" w:hAnsiTheme="minorHAnsi"/>
          <w:sz w:val="18"/>
          <w:szCs w:val="18"/>
          <w:lang w:val="en-AU"/>
        </w:rPr>
        <w:t xml:space="preserve"> quarter 2023 to </w:t>
      </w:r>
      <w:r w:rsidR="00EC41D7" w:rsidRPr="1B431BE0">
        <w:rPr>
          <w:rFonts w:asciiTheme="minorHAnsi" w:hAnsiTheme="minorHAnsi"/>
          <w:sz w:val="18"/>
          <w:szCs w:val="18"/>
          <w:lang w:val="en-AU"/>
        </w:rPr>
        <w:t>September</w:t>
      </w:r>
      <w:r w:rsidRPr="1B431BE0">
        <w:rPr>
          <w:rFonts w:asciiTheme="minorHAnsi" w:hAnsiTheme="minorHAnsi"/>
          <w:sz w:val="18"/>
          <w:szCs w:val="18"/>
          <w:lang w:val="en-AU"/>
        </w:rPr>
        <w:t xml:space="preserve"> quarter 2024</w:t>
      </w:r>
      <w:r w:rsidR="004833FE">
        <w:rPr>
          <w:noProof/>
        </w:rPr>
        <w:drawing>
          <wp:inline distT="0" distB="0" distL="0" distR="0" wp14:anchorId="58BC9164" wp14:editId="2CC9B184">
            <wp:extent cx="5581650" cy="2743200"/>
            <wp:effectExtent l="0" t="0" r="0" b="0"/>
            <wp:docPr id="210645394" name="Chart 1" descr="Figure 9 is a bar graph showing the recruitment difficulty rate for each state (not including territories), for each quarter from September 2023 to September 2024">
              <a:extLst xmlns:a="http://schemas.openxmlformats.org/drawingml/2006/main">
                <a:ext uri="{FF2B5EF4-FFF2-40B4-BE49-F238E27FC236}">
                  <a16:creationId xmlns:a16="http://schemas.microsoft.com/office/drawing/2014/main" id="{63058508-2B85-5C6D-0D44-A9BA9E9CAD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866EAE">
        <w:rPr>
          <w:b w:val="0"/>
          <w:bCs/>
          <w:sz w:val="18"/>
          <w:szCs w:val="18"/>
        </w:rPr>
        <w:t>Source</w:t>
      </w:r>
      <w:r w:rsidR="00911975" w:rsidRPr="00866EAE">
        <w:rPr>
          <w:b w:val="0"/>
          <w:bCs/>
          <w:sz w:val="18"/>
          <w:szCs w:val="18"/>
        </w:rPr>
        <w:t xml:space="preserve"> (Figure 8 and 9)</w:t>
      </w:r>
      <w:r w:rsidRPr="00866EAE">
        <w:rPr>
          <w:b w:val="0"/>
          <w:bCs/>
          <w:sz w:val="18"/>
          <w:szCs w:val="18"/>
        </w:rPr>
        <w:t xml:space="preserve">: JSA, </w:t>
      </w:r>
      <w:r w:rsidR="00623868" w:rsidRPr="00866EAE">
        <w:rPr>
          <w:b w:val="0"/>
          <w:bCs/>
          <w:sz w:val="18"/>
          <w:szCs w:val="18"/>
        </w:rPr>
        <w:t>REOS</w:t>
      </w:r>
      <w:r w:rsidRPr="00866EAE">
        <w:rPr>
          <w:b w:val="0"/>
          <w:bCs/>
          <w:sz w:val="18"/>
          <w:szCs w:val="18"/>
        </w:rPr>
        <w:t xml:space="preserve">, </w:t>
      </w:r>
      <w:r w:rsidR="00EC41D7" w:rsidRPr="00866EAE">
        <w:rPr>
          <w:b w:val="0"/>
          <w:bCs/>
          <w:sz w:val="18"/>
          <w:szCs w:val="18"/>
        </w:rPr>
        <w:t>September</w:t>
      </w:r>
      <w:r w:rsidRPr="00866EAE">
        <w:rPr>
          <w:b w:val="0"/>
          <w:bCs/>
          <w:sz w:val="18"/>
          <w:szCs w:val="18"/>
        </w:rPr>
        <w:t xml:space="preserve"> 2024.</w:t>
      </w:r>
      <w:r w:rsidRPr="00866EAE">
        <w:rPr>
          <w:b w:val="0"/>
          <w:bCs/>
          <w:sz w:val="18"/>
          <w:szCs w:val="18"/>
        </w:rPr>
        <w:br/>
        <w:t xml:space="preserve">Note: Data for the </w:t>
      </w:r>
      <w:r w:rsidR="00623868" w:rsidRPr="00866EAE">
        <w:rPr>
          <w:b w:val="0"/>
          <w:bCs/>
          <w:sz w:val="18"/>
          <w:szCs w:val="18"/>
        </w:rPr>
        <w:t>ACT</w:t>
      </w:r>
      <w:r w:rsidRPr="00866EAE">
        <w:rPr>
          <w:b w:val="0"/>
          <w:bCs/>
          <w:sz w:val="18"/>
          <w:szCs w:val="18"/>
        </w:rPr>
        <w:t xml:space="preserve"> and the </w:t>
      </w:r>
      <w:r w:rsidR="00623868" w:rsidRPr="00866EAE">
        <w:rPr>
          <w:b w:val="0"/>
          <w:bCs/>
          <w:sz w:val="18"/>
          <w:szCs w:val="18"/>
        </w:rPr>
        <w:t>NT</w:t>
      </w:r>
      <w:r w:rsidRPr="00866EAE">
        <w:rPr>
          <w:b w:val="0"/>
          <w:bCs/>
          <w:sz w:val="18"/>
          <w:szCs w:val="18"/>
        </w:rPr>
        <w:t xml:space="preserve"> are not available on a quarterly basis, due to small sample sizes.</w:t>
      </w:r>
      <w:r w:rsidR="00A16A37" w:rsidRPr="00866EAE">
        <w:rPr>
          <w:b w:val="0"/>
          <w:bCs/>
          <w:sz w:val="18"/>
          <w:szCs w:val="18"/>
        </w:rPr>
        <w:t xml:space="preserve"> </w:t>
      </w:r>
    </w:p>
    <w:p w14:paraId="310C1475" w14:textId="00205FEA" w:rsidR="00396136" w:rsidRPr="00866EAE" w:rsidRDefault="00B40D9D" w:rsidP="00911975">
      <w:pPr>
        <w:pStyle w:val="ChartandTablelabel"/>
        <w:rPr>
          <w:b w:val="0"/>
          <w:bCs/>
          <w:sz w:val="18"/>
          <w:szCs w:val="18"/>
        </w:rPr>
      </w:pPr>
      <w:r w:rsidRPr="00866EAE">
        <w:rPr>
          <w:b w:val="0"/>
          <w:bCs/>
          <w:sz w:val="18"/>
          <w:szCs w:val="18"/>
        </w:rPr>
        <w:t>*Interpret with caution due to low sample size</w:t>
      </w:r>
      <w:r w:rsidR="000048C4" w:rsidRPr="00866EAE">
        <w:rPr>
          <w:b w:val="0"/>
          <w:bCs/>
          <w:sz w:val="18"/>
          <w:szCs w:val="18"/>
        </w:rPr>
        <w:t>.</w:t>
      </w:r>
      <w:bookmarkStart w:id="35" w:name="_Toc151365189"/>
      <w:bookmarkEnd w:id="34"/>
    </w:p>
    <w:p w14:paraId="023AE89A" w14:textId="01E8DBA9" w:rsidR="00DB24E5" w:rsidRDefault="00DB24E5" w:rsidP="00DB24E5">
      <w:r>
        <w:t>I</w:t>
      </w:r>
      <w:r w:rsidRPr="00DB24E5">
        <w:t xml:space="preserve">n the September quarter 2024, a </w:t>
      </w:r>
      <w:r w:rsidR="009B7ADD">
        <w:t>larger</w:t>
      </w:r>
      <w:r w:rsidR="009B7ADD" w:rsidRPr="00DB24E5">
        <w:t xml:space="preserve"> </w:t>
      </w:r>
      <w:r w:rsidRPr="00DB24E5">
        <w:t xml:space="preserve">proportion of recruiting employers experienced recruitment difficulties in regions that are further away from large population hubs. Outer Regional, Remote and Very Remote Australia recorded a recruitment </w:t>
      </w:r>
      <w:r>
        <w:t xml:space="preserve">difficulty </w:t>
      </w:r>
      <w:r w:rsidRPr="00DB24E5">
        <w:t xml:space="preserve">rate of </w:t>
      </w:r>
      <w:r w:rsidR="009B7ADD">
        <w:t>53</w:t>
      </w:r>
      <w:r w:rsidRPr="00DB24E5">
        <w:t>%</w:t>
      </w:r>
      <w:r w:rsidR="00341254">
        <w:t xml:space="preserve"> </w:t>
      </w:r>
      <w:r w:rsidRPr="00DB24E5">
        <w:t xml:space="preserve">compared with </w:t>
      </w:r>
      <w:r w:rsidR="009B7ADD">
        <w:t>47</w:t>
      </w:r>
      <w:r w:rsidRPr="00DB24E5">
        <w:t>% for Australia’s major cities</w:t>
      </w:r>
      <w:r>
        <w:t>, declining</w:t>
      </w:r>
      <w:r w:rsidRPr="00DB24E5">
        <w:t xml:space="preserve"> </w:t>
      </w:r>
      <w:r w:rsidR="00FF5421">
        <w:t xml:space="preserve">over the year </w:t>
      </w:r>
      <w:r>
        <w:t xml:space="preserve">by </w:t>
      </w:r>
      <w:r w:rsidR="009B7ADD">
        <w:t>14</w:t>
      </w:r>
      <w:r w:rsidR="005A08A4">
        <w:t>pp</w:t>
      </w:r>
      <w:r>
        <w:t xml:space="preserve"> and </w:t>
      </w:r>
      <w:r w:rsidR="009B7ADD">
        <w:t>10</w:t>
      </w:r>
      <w:r w:rsidR="005A08A4">
        <w:t>pp</w:t>
      </w:r>
      <w:r>
        <w:t xml:space="preserve"> respectively.</w:t>
      </w:r>
    </w:p>
    <w:p w14:paraId="4C84220D" w14:textId="5D3F89F5" w:rsidR="00134302" w:rsidRPr="006A790D" w:rsidRDefault="00DB24E5" w:rsidP="0066718D">
      <w:r w:rsidRPr="00DB24E5">
        <w:t xml:space="preserve">Inner Regional Australia recorded both the highest level of recruitment difficulty (57%) and the highest proportion of employers expecting to increase their staffing level in the next </w:t>
      </w:r>
      <w:r w:rsidR="00341254">
        <w:t>3</w:t>
      </w:r>
      <w:r w:rsidRPr="00DB24E5">
        <w:t xml:space="preserve"> months (24%).</w:t>
      </w:r>
      <w:r>
        <w:t xml:space="preserve"> Both </w:t>
      </w:r>
      <w:r w:rsidRPr="00DB24E5">
        <w:t>Outer Regional, Remote and Very Remote Australia</w:t>
      </w:r>
      <w:r>
        <w:t xml:space="preserve"> and </w:t>
      </w:r>
      <w:r w:rsidRPr="00DB24E5">
        <w:t>Australia’s major cities</w:t>
      </w:r>
      <w:r>
        <w:t xml:space="preserve"> recorded a 5</w:t>
      </w:r>
      <w:r w:rsidR="005A08A4">
        <w:t>pp</w:t>
      </w:r>
      <w:r>
        <w:t xml:space="preserve"> decrease in the recruitment rate.</w:t>
      </w:r>
    </w:p>
    <w:p w14:paraId="4262EBCD" w14:textId="50119CF1" w:rsidR="006A790D" w:rsidRDefault="006A790D" w:rsidP="00A56B84">
      <w:pPr>
        <w:pStyle w:val="Caption"/>
        <w:spacing w:before="160" w:after="120"/>
      </w:pPr>
      <w:r w:rsidRPr="00A56B84">
        <w:t xml:space="preserve">Table </w:t>
      </w:r>
      <w:r w:rsidR="003923C3" w:rsidRPr="00A56B84">
        <w:t>9</w:t>
      </w:r>
      <w:r w:rsidR="00AC0D52" w:rsidRPr="00A56B84">
        <w:t>:</w:t>
      </w:r>
      <w:r w:rsidRPr="00A56B84">
        <w:t xml:space="preserve"> Key</w:t>
      </w:r>
      <w:r w:rsidRPr="0007468B">
        <w:t xml:space="preserve"> indicators by occupation, September quarter 2024</w:t>
      </w:r>
    </w:p>
    <w:tbl>
      <w:tblPr>
        <w:tblStyle w:val="GridTable3"/>
        <w:tblW w:w="8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1276"/>
        <w:gridCol w:w="1277"/>
        <w:gridCol w:w="1277"/>
        <w:gridCol w:w="1277"/>
      </w:tblGrid>
      <w:tr w:rsidR="00A56B84" w:rsidRPr="00A56B84" w14:paraId="31C97EB8" w14:textId="77777777" w:rsidTr="00A56B84">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3831" w:type="dxa"/>
            <w:shd w:val="clear" w:color="auto" w:fill="012749" w:themeFill="accent3"/>
            <w:vAlign w:val="bottom"/>
          </w:tcPr>
          <w:p w14:paraId="3A62053F" w14:textId="77777777" w:rsidR="00A56B84" w:rsidRPr="00A56B84" w:rsidRDefault="00A56B84">
            <w:pPr>
              <w:rPr>
                <w:rFonts w:cs="Arial"/>
                <w:color w:val="FFFFFF" w:themeColor="background1"/>
                <w:sz w:val="20"/>
                <w:szCs w:val="20"/>
                <w:lang w:val="en-US"/>
              </w:rPr>
            </w:pPr>
          </w:p>
        </w:tc>
        <w:tc>
          <w:tcPr>
            <w:tcW w:w="2553" w:type="dxa"/>
            <w:gridSpan w:val="2"/>
            <w:shd w:val="clear" w:color="auto" w:fill="012749" w:themeFill="accent3"/>
            <w:vAlign w:val="center"/>
          </w:tcPr>
          <w:p w14:paraId="5D700ED6" w14:textId="77777777" w:rsidR="00A56B84" w:rsidRPr="00A56B84" w:rsidRDefault="00A56B8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56B84">
              <w:rPr>
                <w:rFonts w:cs="Arial"/>
                <w:sz w:val="20"/>
                <w:szCs w:val="20"/>
              </w:rPr>
              <w:t>Recruitment difficulty rate</w:t>
            </w:r>
          </w:p>
        </w:tc>
        <w:tc>
          <w:tcPr>
            <w:tcW w:w="2554" w:type="dxa"/>
            <w:gridSpan w:val="2"/>
            <w:shd w:val="clear" w:color="auto" w:fill="012749" w:themeFill="accent3"/>
            <w:vAlign w:val="center"/>
          </w:tcPr>
          <w:p w14:paraId="2EF6167D" w14:textId="77777777" w:rsidR="00A56B84" w:rsidRPr="00A56B84" w:rsidRDefault="00A56B8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56B84">
              <w:rPr>
                <w:rFonts w:cs="Arial"/>
                <w:sz w:val="20"/>
                <w:szCs w:val="20"/>
              </w:rPr>
              <w:t>Vacancies taking longer than 1 month to fill</w:t>
            </w:r>
          </w:p>
        </w:tc>
      </w:tr>
      <w:tr w:rsidR="00A56B84" w:rsidRPr="00A56B84" w14:paraId="1430BF2D" w14:textId="77777777" w:rsidTr="00A56B8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31" w:type="dxa"/>
            <w:shd w:val="clear" w:color="auto" w:fill="012749" w:themeFill="accent3"/>
            <w:vAlign w:val="bottom"/>
          </w:tcPr>
          <w:p w14:paraId="1A0F335C" w14:textId="77777777" w:rsidR="00A56B84" w:rsidRPr="00A56B84" w:rsidRDefault="00A56B84">
            <w:pPr>
              <w:rPr>
                <w:rFonts w:cs="Arial"/>
                <w:color w:val="FFFFFF" w:themeColor="background1"/>
                <w:sz w:val="20"/>
                <w:szCs w:val="20"/>
                <w:lang w:val="en-US"/>
              </w:rPr>
            </w:pPr>
          </w:p>
        </w:tc>
        <w:tc>
          <w:tcPr>
            <w:tcW w:w="1276" w:type="dxa"/>
            <w:shd w:val="clear" w:color="auto" w:fill="012749" w:themeFill="accent3"/>
            <w:vAlign w:val="center"/>
          </w:tcPr>
          <w:p w14:paraId="54321415" w14:textId="77777777"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56B84">
              <w:rPr>
                <w:rFonts w:cs="Arial"/>
                <w:sz w:val="20"/>
                <w:szCs w:val="20"/>
              </w:rPr>
              <w:t>% of recruiting employers</w:t>
            </w:r>
          </w:p>
        </w:tc>
        <w:tc>
          <w:tcPr>
            <w:tcW w:w="1277" w:type="dxa"/>
            <w:shd w:val="clear" w:color="auto" w:fill="012749" w:themeFill="accent3"/>
            <w:vAlign w:val="center"/>
          </w:tcPr>
          <w:p w14:paraId="2039444B" w14:textId="749771BF"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56B84">
              <w:rPr>
                <w:rFonts w:cs="Arial"/>
                <w:sz w:val="20"/>
                <w:szCs w:val="20"/>
              </w:rPr>
              <w:t>Annual change</w:t>
            </w:r>
            <w:r w:rsidRPr="00A56B84">
              <w:rPr>
                <w:rFonts w:cs="Arial"/>
                <w:sz w:val="20"/>
                <w:szCs w:val="20"/>
              </w:rPr>
              <w:br/>
              <w:t>(</w:t>
            </w:r>
            <w:r w:rsidR="005A08A4">
              <w:rPr>
                <w:rFonts w:cs="Arial"/>
                <w:sz w:val="20"/>
                <w:szCs w:val="20"/>
              </w:rPr>
              <w:t>pp</w:t>
            </w:r>
            <w:r w:rsidRPr="00A56B84">
              <w:rPr>
                <w:rFonts w:cs="Arial"/>
                <w:sz w:val="20"/>
                <w:szCs w:val="20"/>
              </w:rPr>
              <w:t>)</w:t>
            </w:r>
          </w:p>
        </w:tc>
        <w:tc>
          <w:tcPr>
            <w:tcW w:w="1277" w:type="dxa"/>
            <w:shd w:val="clear" w:color="auto" w:fill="012749" w:themeFill="accent3"/>
            <w:vAlign w:val="center"/>
          </w:tcPr>
          <w:p w14:paraId="4FFDC2D8" w14:textId="77777777"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56B84">
              <w:rPr>
                <w:rFonts w:cs="Arial"/>
                <w:sz w:val="20"/>
                <w:szCs w:val="20"/>
              </w:rPr>
              <w:t>% of recruiting employers</w:t>
            </w:r>
          </w:p>
        </w:tc>
        <w:tc>
          <w:tcPr>
            <w:tcW w:w="1277" w:type="dxa"/>
            <w:shd w:val="clear" w:color="auto" w:fill="012749" w:themeFill="accent3"/>
            <w:vAlign w:val="center"/>
          </w:tcPr>
          <w:p w14:paraId="5528AAE4" w14:textId="4EB2744B"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56B84">
              <w:rPr>
                <w:rFonts w:cs="Arial"/>
                <w:sz w:val="20"/>
                <w:szCs w:val="20"/>
              </w:rPr>
              <w:t>Annual change</w:t>
            </w:r>
            <w:r w:rsidRPr="00A56B84">
              <w:rPr>
                <w:rFonts w:cs="Arial"/>
                <w:sz w:val="20"/>
                <w:szCs w:val="20"/>
              </w:rPr>
              <w:br/>
              <w:t>(</w:t>
            </w:r>
            <w:r w:rsidR="005A08A4">
              <w:rPr>
                <w:rFonts w:cs="Arial"/>
                <w:sz w:val="20"/>
                <w:szCs w:val="20"/>
              </w:rPr>
              <w:t>pp</w:t>
            </w:r>
            <w:r w:rsidRPr="00A56B84">
              <w:rPr>
                <w:rFonts w:cs="Arial"/>
                <w:sz w:val="20"/>
                <w:szCs w:val="20"/>
              </w:rPr>
              <w:t>)</w:t>
            </w:r>
          </w:p>
        </w:tc>
      </w:tr>
      <w:tr w:rsidR="00A56B84" w:rsidRPr="00A56B84" w14:paraId="2CBD4F80" w14:textId="77777777" w:rsidTr="00A56B84">
        <w:trPr>
          <w:cantSplit/>
          <w:jc w:val="center"/>
        </w:trPr>
        <w:tc>
          <w:tcPr>
            <w:cnfStyle w:val="001000000000" w:firstRow="0" w:lastRow="0" w:firstColumn="1" w:lastColumn="0" w:oddVBand="0" w:evenVBand="0" w:oddHBand="0" w:evenHBand="0" w:firstRowFirstColumn="0" w:firstRowLastColumn="0" w:lastRowFirstColumn="0" w:lastRowLastColumn="0"/>
            <w:tcW w:w="3831" w:type="dxa"/>
            <w:vAlign w:val="center"/>
          </w:tcPr>
          <w:p w14:paraId="2D22ECBA" w14:textId="77777777" w:rsidR="00A56B84" w:rsidRPr="00A56B84" w:rsidRDefault="00A56B84">
            <w:pPr>
              <w:jc w:val="left"/>
              <w:rPr>
                <w:rFonts w:cs="Arial"/>
                <w:i w:val="0"/>
                <w:iCs w:val="0"/>
                <w:sz w:val="20"/>
                <w:szCs w:val="20"/>
                <w:lang w:val="en-US"/>
              </w:rPr>
            </w:pPr>
            <w:r w:rsidRPr="00A56B84">
              <w:rPr>
                <w:rFonts w:cs="Arial"/>
                <w:i w:val="0"/>
                <w:iCs w:val="0"/>
                <w:sz w:val="20"/>
                <w:szCs w:val="20"/>
                <w:lang w:val="en-US"/>
              </w:rPr>
              <w:t>Professionals</w:t>
            </w:r>
          </w:p>
        </w:tc>
        <w:tc>
          <w:tcPr>
            <w:tcW w:w="1276" w:type="dxa"/>
            <w:shd w:val="clear" w:color="auto" w:fill="auto"/>
            <w:vAlign w:val="center"/>
          </w:tcPr>
          <w:p w14:paraId="2FE06B12" w14:textId="608DEA38"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A56B84">
              <w:rPr>
                <w:rFonts w:cs="Arial"/>
                <w:sz w:val="20"/>
                <w:szCs w:val="20"/>
              </w:rPr>
              <w:t>64</w:t>
            </w:r>
          </w:p>
        </w:tc>
        <w:tc>
          <w:tcPr>
            <w:tcW w:w="1277" w:type="dxa"/>
            <w:shd w:val="clear" w:color="auto" w:fill="auto"/>
            <w:vAlign w:val="center"/>
          </w:tcPr>
          <w:p w14:paraId="4F7860AA" w14:textId="3F5F461A"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A56B84">
              <w:rPr>
                <w:rFonts w:cs="Arial"/>
                <w:sz w:val="20"/>
                <w:szCs w:val="20"/>
              </w:rPr>
              <w:t>-4</w:t>
            </w:r>
          </w:p>
        </w:tc>
        <w:tc>
          <w:tcPr>
            <w:tcW w:w="1277" w:type="dxa"/>
            <w:shd w:val="clear" w:color="auto" w:fill="auto"/>
            <w:vAlign w:val="center"/>
          </w:tcPr>
          <w:p w14:paraId="58212C67" w14:textId="45113288"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6B84">
              <w:rPr>
                <w:rFonts w:cs="Arial"/>
                <w:sz w:val="20"/>
                <w:szCs w:val="20"/>
              </w:rPr>
              <w:t xml:space="preserve">67* </w:t>
            </w:r>
          </w:p>
        </w:tc>
        <w:tc>
          <w:tcPr>
            <w:tcW w:w="1277" w:type="dxa"/>
            <w:shd w:val="clear" w:color="auto" w:fill="auto"/>
            <w:vAlign w:val="center"/>
          </w:tcPr>
          <w:p w14:paraId="0BB152AC" w14:textId="3FCC5224"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6B84">
              <w:rPr>
                <w:rFonts w:cs="Arial"/>
                <w:sz w:val="20"/>
                <w:szCs w:val="20"/>
              </w:rPr>
              <w:t>-7*</w:t>
            </w:r>
          </w:p>
        </w:tc>
      </w:tr>
      <w:tr w:rsidR="00A56B84" w:rsidRPr="00A56B84" w14:paraId="361C7342" w14:textId="77777777" w:rsidTr="00A56B8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31" w:type="dxa"/>
            <w:shd w:val="clear" w:color="auto" w:fill="D9D9D9" w:themeFill="background1" w:themeFillShade="D9"/>
            <w:vAlign w:val="center"/>
          </w:tcPr>
          <w:p w14:paraId="759FB21F" w14:textId="77777777" w:rsidR="00A56B84" w:rsidRPr="00A56B84" w:rsidRDefault="00A56B84">
            <w:pPr>
              <w:jc w:val="left"/>
              <w:rPr>
                <w:rFonts w:cs="Arial"/>
                <w:i w:val="0"/>
                <w:iCs w:val="0"/>
                <w:sz w:val="20"/>
                <w:szCs w:val="20"/>
                <w:lang w:val="en-US"/>
              </w:rPr>
            </w:pPr>
            <w:r w:rsidRPr="00A56B84">
              <w:rPr>
                <w:rFonts w:cs="Arial"/>
                <w:i w:val="0"/>
                <w:iCs w:val="0"/>
                <w:sz w:val="20"/>
                <w:szCs w:val="20"/>
                <w:lang w:val="en-US"/>
              </w:rPr>
              <w:t>Technicians and Trades Workers</w:t>
            </w:r>
          </w:p>
        </w:tc>
        <w:tc>
          <w:tcPr>
            <w:tcW w:w="1276" w:type="dxa"/>
            <w:shd w:val="clear" w:color="auto" w:fill="D9D9D9" w:themeFill="background1" w:themeFillShade="D9"/>
            <w:vAlign w:val="center"/>
          </w:tcPr>
          <w:p w14:paraId="0A813A30" w14:textId="1C77F48A"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A56B84">
              <w:rPr>
                <w:rFonts w:cs="Arial"/>
                <w:sz w:val="20"/>
                <w:szCs w:val="20"/>
              </w:rPr>
              <w:t>63</w:t>
            </w:r>
          </w:p>
        </w:tc>
        <w:tc>
          <w:tcPr>
            <w:tcW w:w="1277" w:type="dxa"/>
            <w:shd w:val="clear" w:color="auto" w:fill="D9D9D9" w:themeFill="background1" w:themeFillShade="D9"/>
            <w:vAlign w:val="center"/>
          </w:tcPr>
          <w:p w14:paraId="1AA1FEB5" w14:textId="40ED1438"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A56B84">
              <w:rPr>
                <w:rFonts w:cs="Arial"/>
                <w:sz w:val="20"/>
                <w:szCs w:val="20"/>
              </w:rPr>
              <w:t>-12</w:t>
            </w:r>
          </w:p>
        </w:tc>
        <w:tc>
          <w:tcPr>
            <w:tcW w:w="1277" w:type="dxa"/>
            <w:shd w:val="clear" w:color="auto" w:fill="D9D9D9" w:themeFill="background1" w:themeFillShade="D9"/>
            <w:vAlign w:val="center"/>
          </w:tcPr>
          <w:p w14:paraId="53B5333B" w14:textId="622D8A20"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56B84">
              <w:rPr>
                <w:rFonts w:cs="Arial"/>
                <w:sz w:val="20"/>
                <w:szCs w:val="20"/>
              </w:rPr>
              <w:t>60</w:t>
            </w:r>
          </w:p>
        </w:tc>
        <w:tc>
          <w:tcPr>
            <w:tcW w:w="1277" w:type="dxa"/>
            <w:shd w:val="clear" w:color="auto" w:fill="D9D9D9" w:themeFill="background1" w:themeFillShade="D9"/>
            <w:vAlign w:val="center"/>
          </w:tcPr>
          <w:p w14:paraId="697B313A" w14:textId="0818C90B"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56B84">
              <w:rPr>
                <w:rFonts w:cs="Arial"/>
                <w:sz w:val="20"/>
                <w:szCs w:val="20"/>
              </w:rPr>
              <w:t>-16</w:t>
            </w:r>
          </w:p>
        </w:tc>
      </w:tr>
      <w:tr w:rsidR="00A56B84" w:rsidRPr="00A56B84" w14:paraId="574086DB" w14:textId="77777777" w:rsidTr="00A56B84">
        <w:trPr>
          <w:cantSplit/>
          <w:jc w:val="center"/>
        </w:trPr>
        <w:tc>
          <w:tcPr>
            <w:cnfStyle w:val="001000000000" w:firstRow="0" w:lastRow="0" w:firstColumn="1" w:lastColumn="0" w:oddVBand="0" w:evenVBand="0" w:oddHBand="0" w:evenHBand="0" w:firstRowFirstColumn="0" w:firstRowLastColumn="0" w:lastRowFirstColumn="0" w:lastRowLastColumn="0"/>
            <w:tcW w:w="3831" w:type="dxa"/>
            <w:vAlign w:val="center"/>
          </w:tcPr>
          <w:p w14:paraId="7C7E881C" w14:textId="77777777" w:rsidR="00A56B84" w:rsidRPr="00A56B84" w:rsidRDefault="00A56B84">
            <w:pPr>
              <w:jc w:val="left"/>
              <w:rPr>
                <w:rFonts w:cs="Arial"/>
                <w:i w:val="0"/>
                <w:iCs w:val="0"/>
                <w:sz w:val="20"/>
                <w:szCs w:val="20"/>
                <w:lang w:val="en-US"/>
              </w:rPr>
            </w:pPr>
            <w:r w:rsidRPr="00A56B84">
              <w:rPr>
                <w:rFonts w:cs="Arial"/>
                <w:i w:val="0"/>
                <w:iCs w:val="0"/>
                <w:sz w:val="20"/>
                <w:szCs w:val="20"/>
                <w:lang w:val="en-US"/>
              </w:rPr>
              <w:t>Community &amp; Personal Service Workers</w:t>
            </w:r>
          </w:p>
        </w:tc>
        <w:tc>
          <w:tcPr>
            <w:tcW w:w="1276" w:type="dxa"/>
            <w:shd w:val="clear" w:color="auto" w:fill="FFFFFF" w:themeFill="background1"/>
            <w:vAlign w:val="center"/>
          </w:tcPr>
          <w:p w14:paraId="1D3891E9" w14:textId="39E54F30"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A56B84">
              <w:rPr>
                <w:rFonts w:cs="Arial"/>
                <w:sz w:val="20"/>
                <w:szCs w:val="20"/>
              </w:rPr>
              <w:t>53</w:t>
            </w:r>
          </w:p>
        </w:tc>
        <w:tc>
          <w:tcPr>
            <w:tcW w:w="1277" w:type="dxa"/>
            <w:shd w:val="clear" w:color="auto" w:fill="FFFFFF" w:themeFill="background1"/>
            <w:vAlign w:val="center"/>
          </w:tcPr>
          <w:p w14:paraId="1E425550" w14:textId="2D1BB403"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A56B84">
              <w:rPr>
                <w:rFonts w:cs="Arial"/>
                <w:sz w:val="20"/>
                <w:szCs w:val="20"/>
              </w:rPr>
              <w:t>-7</w:t>
            </w:r>
          </w:p>
        </w:tc>
        <w:tc>
          <w:tcPr>
            <w:tcW w:w="1277" w:type="dxa"/>
            <w:shd w:val="clear" w:color="auto" w:fill="FFFFFF" w:themeFill="background1"/>
            <w:vAlign w:val="center"/>
          </w:tcPr>
          <w:p w14:paraId="71CFA458" w14:textId="1AD5AD2F"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6B84">
              <w:rPr>
                <w:rFonts w:cs="Arial"/>
                <w:sz w:val="20"/>
                <w:szCs w:val="20"/>
              </w:rPr>
              <w:t>45</w:t>
            </w:r>
          </w:p>
        </w:tc>
        <w:tc>
          <w:tcPr>
            <w:tcW w:w="1277" w:type="dxa"/>
            <w:shd w:val="clear" w:color="auto" w:fill="FFFFFF" w:themeFill="background1"/>
            <w:vAlign w:val="center"/>
          </w:tcPr>
          <w:p w14:paraId="45E0AC58" w14:textId="1261B29A"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6B84">
              <w:rPr>
                <w:rFonts w:cs="Arial"/>
                <w:sz w:val="20"/>
                <w:szCs w:val="20"/>
              </w:rPr>
              <w:t>-11</w:t>
            </w:r>
          </w:p>
        </w:tc>
      </w:tr>
      <w:tr w:rsidR="00A56B84" w:rsidRPr="00A56B84" w14:paraId="5185CB9F" w14:textId="77777777" w:rsidTr="00A56B8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31" w:type="dxa"/>
            <w:shd w:val="clear" w:color="auto" w:fill="D9D9D9" w:themeFill="background1" w:themeFillShade="D9"/>
            <w:vAlign w:val="center"/>
          </w:tcPr>
          <w:p w14:paraId="6182660F" w14:textId="77777777" w:rsidR="00A56B84" w:rsidRPr="00A56B84" w:rsidRDefault="00A56B84">
            <w:pPr>
              <w:jc w:val="left"/>
              <w:rPr>
                <w:rFonts w:cs="Arial"/>
                <w:i w:val="0"/>
                <w:iCs w:val="0"/>
                <w:sz w:val="20"/>
                <w:szCs w:val="20"/>
                <w:lang w:val="en-US"/>
              </w:rPr>
            </w:pPr>
            <w:r w:rsidRPr="00A56B84">
              <w:rPr>
                <w:rFonts w:cs="Arial"/>
                <w:i w:val="0"/>
                <w:iCs w:val="0"/>
                <w:sz w:val="20"/>
                <w:szCs w:val="20"/>
                <w:lang w:val="en-US"/>
              </w:rPr>
              <w:t>Clerical and Administrative Workers</w:t>
            </w:r>
          </w:p>
        </w:tc>
        <w:tc>
          <w:tcPr>
            <w:tcW w:w="1276" w:type="dxa"/>
            <w:shd w:val="clear" w:color="auto" w:fill="D9D9D9" w:themeFill="background1" w:themeFillShade="D9"/>
            <w:vAlign w:val="center"/>
          </w:tcPr>
          <w:p w14:paraId="629239DE" w14:textId="490D7F35"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A56B84">
              <w:rPr>
                <w:rFonts w:cs="Arial"/>
                <w:sz w:val="20"/>
                <w:szCs w:val="20"/>
              </w:rPr>
              <w:t>37</w:t>
            </w:r>
          </w:p>
        </w:tc>
        <w:tc>
          <w:tcPr>
            <w:tcW w:w="1277" w:type="dxa"/>
            <w:shd w:val="clear" w:color="auto" w:fill="D9D9D9" w:themeFill="background1" w:themeFillShade="D9"/>
            <w:vAlign w:val="center"/>
          </w:tcPr>
          <w:p w14:paraId="1EC2F37C" w14:textId="25D5F61D"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A56B84">
              <w:rPr>
                <w:rFonts w:cs="Arial"/>
                <w:sz w:val="20"/>
                <w:szCs w:val="20"/>
              </w:rPr>
              <w:t>-6</w:t>
            </w:r>
          </w:p>
        </w:tc>
        <w:tc>
          <w:tcPr>
            <w:tcW w:w="1277" w:type="dxa"/>
            <w:shd w:val="clear" w:color="auto" w:fill="D9D9D9" w:themeFill="background1" w:themeFillShade="D9"/>
            <w:vAlign w:val="center"/>
          </w:tcPr>
          <w:p w14:paraId="38039CDC" w14:textId="1C4F728E"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56B84">
              <w:rPr>
                <w:rFonts w:cs="Arial"/>
                <w:sz w:val="20"/>
                <w:szCs w:val="20"/>
              </w:rPr>
              <w:t xml:space="preserve">32* </w:t>
            </w:r>
          </w:p>
        </w:tc>
        <w:tc>
          <w:tcPr>
            <w:tcW w:w="1277" w:type="dxa"/>
            <w:shd w:val="clear" w:color="auto" w:fill="D9D9D9" w:themeFill="background1" w:themeFillShade="D9"/>
            <w:vAlign w:val="center"/>
          </w:tcPr>
          <w:p w14:paraId="7DA58254" w14:textId="2EEA7805"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56B84">
              <w:rPr>
                <w:rFonts w:cs="Arial"/>
                <w:sz w:val="20"/>
                <w:szCs w:val="20"/>
              </w:rPr>
              <w:t>-14*</w:t>
            </w:r>
          </w:p>
        </w:tc>
      </w:tr>
      <w:tr w:rsidR="00A56B84" w:rsidRPr="00A56B84" w14:paraId="01F522B2" w14:textId="77777777" w:rsidTr="00A56B84">
        <w:trPr>
          <w:cantSplit/>
          <w:jc w:val="center"/>
        </w:trPr>
        <w:tc>
          <w:tcPr>
            <w:cnfStyle w:val="001000000000" w:firstRow="0" w:lastRow="0" w:firstColumn="1" w:lastColumn="0" w:oddVBand="0" w:evenVBand="0" w:oddHBand="0" w:evenHBand="0" w:firstRowFirstColumn="0" w:firstRowLastColumn="0" w:lastRowFirstColumn="0" w:lastRowLastColumn="0"/>
            <w:tcW w:w="3831" w:type="dxa"/>
            <w:vAlign w:val="center"/>
          </w:tcPr>
          <w:p w14:paraId="14E17D63" w14:textId="77777777" w:rsidR="00A56B84" w:rsidRPr="00A56B84" w:rsidRDefault="00A56B84">
            <w:pPr>
              <w:jc w:val="left"/>
              <w:rPr>
                <w:rFonts w:cs="Arial"/>
                <w:i w:val="0"/>
                <w:iCs w:val="0"/>
                <w:sz w:val="20"/>
                <w:szCs w:val="20"/>
                <w:lang w:val="en-US"/>
              </w:rPr>
            </w:pPr>
            <w:r w:rsidRPr="00A56B84">
              <w:rPr>
                <w:rFonts w:cs="Arial"/>
                <w:i w:val="0"/>
                <w:iCs w:val="0"/>
                <w:sz w:val="20"/>
                <w:szCs w:val="20"/>
                <w:lang w:val="en-US"/>
              </w:rPr>
              <w:t>Sales Workers</w:t>
            </w:r>
          </w:p>
        </w:tc>
        <w:tc>
          <w:tcPr>
            <w:tcW w:w="1276" w:type="dxa"/>
            <w:shd w:val="clear" w:color="auto" w:fill="auto"/>
            <w:vAlign w:val="center"/>
          </w:tcPr>
          <w:p w14:paraId="299404A6" w14:textId="740B27C3"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A56B84">
              <w:rPr>
                <w:rFonts w:cs="Arial"/>
                <w:sz w:val="20"/>
                <w:szCs w:val="20"/>
              </w:rPr>
              <w:t>32</w:t>
            </w:r>
          </w:p>
        </w:tc>
        <w:tc>
          <w:tcPr>
            <w:tcW w:w="1277" w:type="dxa"/>
            <w:shd w:val="clear" w:color="auto" w:fill="auto"/>
            <w:vAlign w:val="center"/>
          </w:tcPr>
          <w:p w14:paraId="2E832B4C" w14:textId="6B015CC6"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A56B84">
              <w:rPr>
                <w:rFonts w:cs="Arial"/>
                <w:sz w:val="20"/>
                <w:szCs w:val="20"/>
              </w:rPr>
              <w:t>-20</w:t>
            </w:r>
          </w:p>
        </w:tc>
        <w:tc>
          <w:tcPr>
            <w:tcW w:w="1277" w:type="dxa"/>
            <w:shd w:val="clear" w:color="auto" w:fill="auto"/>
            <w:vAlign w:val="center"/>
          </w:tcPr>
          <w:p w14:paraId="7920D806" w14:textId="2E50F85D"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6B84">
              <w:rPr>
                <w:rFonts w:cs="Arial"/>
                <w:sz w:val="20"/>
                <w:szCs w:val="20"/>
              </w:rPr>
              <w:t>30</w:t>
            </w:r>
          </w:p>
        </w:tc>
        <w:tc>
          <w:tcPr>
            <w:tcW w:w="1277" w:type="dxa"/>
            <w:shd w:val="clear" w:color="auto" w:fill="auto"/>
            <w:vAlign w:val="center"/>
          </w:tcPr>
          <w:p w14:paraId="7C0C6113" w14:textId="7354D8EE"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6B84">
              <w:rPr>
                <w:rFonts w:cs="Arial"/>
                <w:sz w:val="20"/>
                <w:szCs w:val="20"/>
              </w:rPr>
              <w:t>-17</w:t>
            </w:r>
          </w:p>
        </w:tc>
      </w:tr>
      <w:tr w:rsidR="00A56B84" w:rsidRPr="00A56B84" w14:paraId="014A8BDD" w14:textId="77777777" w:rsidTr="00A56B8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831" w:type="dxa"/>
            <w:shd w:val="clear" w:color="auto" w:fill="D9D9D9" w:themeFill="background1" w:themeFillShade="D9"/>
            <w:vAlign w:val="center"/>
          </w:tcPr>
          <w:p w14:paraId="3440C5D4" w14:textId="77777777" w:rsidR="00A56B84" w:rsidRPr="00A56B84" w:rsidRDefault="00A56B84">
            <w:pPr>
              <w:jc w:val="left"/>
              <w:rPr>
                <w:rFonts w:cs="Arial"/>
                <w:i w:val="0"/>
                <w:iCs w:val="0"/>
                <w:sz w:val="20"/>
                <w:szCs w:val="20"/>
                <w:lang w:val="en-US"/>
              </w:rPr>
            </w:pPr>
            <w:r w:rsidRPr="00A56B84">
              <w:rPr>
                <w:rFonts w:cs="Arial"/>
                <w:i w:val="0"/>
                <w:iCs w:val="0"/>
                <w:sz w:val="20"/>
                <w:szCs w:val="20"/>
                <w:lang w:val="en-US"/>
              </w:rPr>
              <w:t>Machinery Operators and Drivers</w:t>
            </w:r>
          </w:p>
        </w:tc>
        <w:tc>
          <w:tcPr>
            <w:tcW w:w="1276" w:type="dxa"/>
            <w:shd w:val="clear" w:color="auto" w:fill="D9D9D9" w:themeFill="background1" w:themeFillShade="D9"/>
            <w:vAlign w:val="center"/>
          </w:tcPr>
          <w:p w14:paraId="33F23494" w14:textId="191317CD"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A56B84">
              <w:rPr>
                <w:rFonts w:cs="Arial"/>
                <w:sz w:val="20"/>
                <w:szCs w:val="20"/>
              </w:rPr>
              <w:t xml:space="preserve">52* </w:t>
            </w:r>
          </w:p>
        </w:tc>
        <w:tc>
          <w:tcPr>
            <w:tcW w:w="1277" w:type="dxa"/>
            <w:shd w:val="clear" w:color="auto" w:fill="D9D9D9" w:themeFill="background1" w:themeFillShade="D9"/>
            <w:vAlign w:val="center"/>
          </w:tcPr>
          <w:p w14:paraId="6DD7E515" w14:textId="0C84D856"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A56B84">
              <w:rPr>
                <w:rFonts w:cs="Arial"/>
                <w:sz w:val="20"/>
                <w:szCs w:val="20"/>
              </w:rPr>
              <w:t>-5*</w:t>
            </w:r>
          </w:p>
        </w:tc>
        <w:tc>
          <w:tcPr>
            <w:tcW w:w="1277" w:type="dxa"/>
            <w:shd w:val="clear" w:color="auto" w:fill="D9D9D9" w:themeFill="background1" w:themeFillShade="D9"/>
            <w:vAlign w:val="center"/>
          </w:tcPr>
          <w:p w14:paraId="0E7C563C" w14:textId="5F6C0BF2"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56B84">
              <w:rPr>
                <w:rFonts w:cs="Arial"/>
                <w:sz w:val="20"/>
                <w:szCs w:val="20"/>
              </w:rPr>
              <w:t xml:space="preserve">35* </w:t>
            </w:r>
          </w:p>
        </w:tc>
        <w:tc>
          <w:tcPr>
            <w:tcW w:w="1277" w:type="dxa"/>
            <w:shd w:val="clear" w:color="auto" w:fill="D9D9D9" w:themeFill="background1" w:themeFillShade="D9"/>
            <w:vAlign w:val="center"/>
          </w:tcPr>
          <w:p w14:paraId="5304FC29" w14:textId="4F131F4D" w:rsidR="00A56B84" w:rsidRPr="00A56B84" w:rsidRDefault="00A56B8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56B84">
              <w:rPr>
                <w:rFonts w:cs="Arial"/>
                <w:sz w:val="20"/>
                <w:szCs w:val="20"/>
              </w:rPr>
              <w:t>-12*</w:t>
            </w:r>
          </w:p>
        </w:tc>
      </w:tr>
      <w:tr w:rsidR="00A56B84" w:rsidRPr="00A56B84" w14:paraId="30FA1DFC" w14:textId="77777777" w:rsidTr="00A56B84">
        <w:trPr>
          <w:cantSplit/>
          <w:jc w:val="center"/>
        </w:trPr>
        <w:tc>
          <w:tcPr>
            <w:cnfStyle w:val="001000000000" w:firstRow="0" w:lastRow="0" w:firstColumn="1" w:lastColumn="0" w:oddVBand="0" w:evenVBand="0" w:oddHBand="0" w:evenHBand="0" w:firstRowFirstColumn="0" w:firstRowLastColumn="0" w:lastRowFirstColumn="0" w:lastRowLastColumn="0"/>
            <w:tcW w:w="3831" w:type="dxa"/>
            <w:tcBorders>
              <w:bottom w:val="single" w:sz="4" w:space="0" w:color="auto"/>
            </w:tcBorders>
            <w:vAlign w:val="center"/>
          </w:tcPr>
          <w:p w14:paraId="23E43E08" w14:textId="77777777" w:rsidR="00A56B84" w:rsidRPr="00A56B84" w:rsidRDefault="00A56B84">
            <w:pPr>
              <w:jc w:val="left"/>
              <w:rPr>
                <w:rFonts w:cs="Arial"/>
                <w:i w:val="0"/>
                <w:iCs w:val="0"/>
                <w:sz w:val="20"/>
                <w:szCs w:val="20"/>
                <w:lang w:val="en-US"/>
              </w:rPr>
            </w:pPr>
            <w:r w:rsidRPr="00A56B84">
              <w:rPr>
                <w:rFonts w:cs="Arial"/>
                <w:i w:val="0"/>
                <w:iCs w:val="0"/>
                <w:sz w:val="20"/>
                <w:szCs w:val="20"/>
                <w:lang w:val="en-US"/>
              </w:rPr>
              <w:t>Labourers</w:t>
            </w:r>
          </w:p>
        </w:tc>
        <w:tc>
          <w:tcPr>
            <w:tcW w:w="1276" w:type="dxa"/>
            <w:tcBorders>
              <w:bottom w:val="single" w:sz="4" w:space="0" w:color="auto"/>
            </w:tcBorders>
            <w:shd w:val="clear" w:color="auto" w:fill="auto"/>
            <w:vAlign w:val="center"/>
          </w:tcPr>
          <w:p w14:paraId="062C7AD9" w14:textId="2BA4A564"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A56B84">
              <w:rPr>
                <w:rFonts w:cs="Arial"/>
                <w:sz w:val="20"/>
                <w:szCs w:val="20"/>
              </w:rPr>
              <w:t>44</w:t>
            </w:r>
          </w:p>
        </w:tc>
        <w:tc>
          <w:tcPr>
            <w:tcW w:w="1277" w:type="dxa"/>
            <w:tcBorders>
              <w:bottom w:val="single" w:sz="4" w:space="0" w:color="auto"/>
            </w:tcBorders>
            <w:shd w:val="clear" w:color="auto" w:fill="auto"/>
            <w:vAlign w:val="center"/>
          </w:tcPr>
          <w:p w14:paraId="73718FD0" w14:textId="6669ADB1"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US"/>
              </w:rPr>
            </w:pPr>
            <w:r w:rsidRPr="00A56B84">
              <w:rPr>
                <w:rFonts w:cs="Arial"/>
                <w:sz w:val="20"/>
                <w:szCs w:val="20"/>
              </w:rPr>
              <w:t>-4</w:t>
            </w:r>
          </w:p>
        </w:tc>
        <w:tc>
          <w:tcPr>
            <w:tcW w:w="1277" w:type="dxa"/>
            <w:tcBorders>
              <w:bottom w:val="single" w:sz="4" w:space="0" w:color="auto"/>
            </w:tcBorders>
            <w:shd w:val="clear" w:color="auto" w:fill="auto"/>
            <w:vAlign w:val="center"/>
          </w:tcPr>
          <w:p w14:paraId="66A710DD" w14:textId="7F393A43"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6B84">
              <w:rPr>
                <w:rFonts w:cs="Arial"/>
                <w:sz w:val="20"/>
                <w:szCs w:val="20"/>
              </w:rPr>
              <w:t>28</w:t>
            </w:r>
          </w:p>
        </w:tc>
        <w:tc>
          <w:tcPr>
            <w:tcW w:w="1277" w:type="dxa"/>
            <w:tcBorders>
              <w:bottom w:val="single" w:sz="4" w:space="0" w:color="auto"/>
            </w:tcBorders>
            <w:shd w:val="clear" w:color="auto" w:fill="auto"/>
            <w:vAlign w:val="center"/>
          </w:tcPr>
          <w:p w14:paraId="323EDEE7" w14:textId="517D09CF" w:rsidR="00A56B84" w:rsidRPr="00A56B84" w:rsidRDefault="00A56B8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6B84">
              <w:rPr>
                <w:rFonts w:cs="Arial"/>
                <w:sz w:val="20"/>
                <w:szCs w:val="20"/>
              </w:rPr>
              <w:t>-13</w:t>
            </w:r>
          </w:p>
        </w:tc>
      </w:tr>
    </w:tbl>
    <w:p w14:paraId="4BB69F9E" w14:textId="076D35ED" w:rsidR="001516E7" w:rsidRDefault="00474080" w:rsidP="006260EA">
      <w:pPr>
        <w:spacing w:before="240"/>
        <w:rPr>
          <w:sz w:val="18"/>
          <w:szCs w:val="18"/>
        </w:rPr>
      </w:pPr>
      <w:r>
        <w:rPr>
          <w:sz w:val="18"/>
          <w:szCs w:val="18"/>
        </w:rPr>
        <w:t>Source: JSA</w:t>
      </w:r>
      <w:r w:rsidRPr="00474080">
        <w:rPr>
          <w:sz w:val="18"/>
          <w:szCs w:val="18"/>
        </w:rPr>
        <w:t xml:space="preserve">, </w:t>
      </w:r>
      <w:r w:rsidR="00623868">
        <w:rPr>
          <w:sz w:val="18"/>
          <w:szCs w:val="18"/>
        </w:rPr>
        <w:t>REOS</w:t>
      </w:r>
      <w:r>
        <w:rPr>
          <w:sz w:val="18"/>
          <w:szCs w:val="18"/>
        </w:rPr>
        <w:t>,</w:t>
      </w:r>
      <w:r w:rsidRPr="00474080">
        <w:rPr>
          <w:sz w:val="18"/>
          <w:szCs w:val="18"/>
        </w:rPr>
        <w:t xml:space="preserve"> September quarter 2024</w:t>
      </w:r>
      <w:r w:rsidR="00B521F5">
        <w:rPr>
          <w:sz w:val="18"/>
          <w:szCs w:val="18"/>
        </w:rPr>
        <w:br/>
      </w:r>
      <w:r w:rsidR="002A0044">
        <w:rPr>
          <w:sz w:val="18"/>
          <w:szCs w:val="18"/>
        </w:rPr>
        <w:t xml:space="preserve">Note: </w:t>
      </w:r>
      <w:r w:rsidR="00B94EA6">
        <w:rPr>
          <w:sz w:val="18"/>
          <w:szCs w:val="18"/>
        </w:rPr>
        <w:t>D</w:t>
      </w:r>
      <w:r w:rsidR="002A0044">
        <w:rPr>
          <w:sz w:val="18"/>
          <w:szCs w:val="18"/>
        </w:rPr>
        <w:t xml:space="preserve">ata for Managers are not available, due to small sample sizes. </w:t>
      </w:r>
      <w:r w:rsidR="00B521F5">
        <w:rPr>
          <w:sz w:val="18"/>
          <w:szCs w:val="18"/>
        </w:rPr>
        <w:t>T</w:t>
      </w:r>
      <w:r w:rsidR="00B521F5" w:rsidRPr="00B521F5">
        <w:rPr>
          <w:sz w:val="18"/>
          <w:szCs w:val="18"/>
        </w:rPr>
        <w:t>he proportion of recruiting employers unable to fill all their vacancies within a month excludes employers with unfilled vacancies who have been recruiting for less than a month.</w:t>
      </w:r>
    </w:p>
    <w:p w14:paraId="5021103E" w14:textId="77777777" w:rsidR="00B521F5" w:rsidRPr="00866EAE" w:rsidRDefault="00B521F5" w:rsidP="00B521F5">
      <w:pPr>
        <w:pStyle w:val="ChartandTablelabel"/>
        <w:rPr>
          <w:b w:val="0"/>
          <w:bCs/>
          <w:sz w:val="18"/>
          <w:szCs w:val="18"/>
        </w:rPr>
      </w:pPr>
      <w:r w:rsidRPr="00866EAE">
        <w:rPr>
          <w:b w:val="0"/>
          <w:bCs/>
          <w:sz w:val="18"/>
          <w:szCs w:val="18"/>
        </w:rPr>
        <w:t>*Interpret with caution due to low sample size.</w:t>
      </w:r>
    </w:p>
    <w:p w14:paraId="735361DF" w14:textId="699C523F" w:rsidR="00474080" w:rsidRDefault="006A790D" w:rsidP="00FE3A27">
      <w:pPr>
        <w:rPr>
          <w:rFonts w:eastAsia="Arial" w:cs="Times New Roman"/>
        </w:rPr>
      </w:pPr>
      <w:r w:rsidRPr="00A56B84">
        <w:rPr>
          <w:rFonts w:eastAsia="Arial" w:cs="Times New Roman"/>
        </w:rPr>
        <w:lastRenderedPageBreak/>
        <w:t>In the September quarter 2024,</w:t>
      </w:r>
      <w:r w:rsidR="00AC0D52" w:rsidRPr="00A56B84">
        <w:rPr>
          <w:rFonts w:eastAsia="Arial" w:cs="Times New Roman"/>
        </w:rPr>
        <w:t xml:space="preserve"> Professionals recorded </w:t>
      </w:r>
      <w:r w:rsidRPr="00A56B84">
        <w:rPr>
          <w:rFonts w:eastAsia="Arial" w:cs="Times New Roman"/>
        </w:rPr>
        <w:t>the highest recruitment difficulty rate (64%)</w:t>
      </w:r>
      <w:r w:rsidR="00EF11FC">
        <w:rPr>
          <w:rFonts w:eastAsia="Arial" w:cs="Times New Roman"/>
        </w:rPr>
        <w:t>.</w:t>
      </w:r>
      <w:r w:rsidR="0048545B">
        <w:rPr>
          <w:rFonts w:eastAsia="Arial" w:cs="Times New Roman"/>
        </w:rPr>
        <w:t xml:space="preserve"> </w:t>
      </w:r>
      <w:r w:rsidR="00EF11FC">
        <w:rPr>
          <w:rFonts w:eastAsia="Arial" w:cs="Times New Roman"/>
        </w:rPr>
        <w:t xml:space="preserve">The proportion of recruiting employers with </w:t>
      </w:r>
      <w:r w:rsidR="00341254" w:rsidRPr="00A56B84">
        <w:rPr>
          <w:rFonts w:eastAsia="Arial" w:cs="Times New Roman"/>
        </w:rPr>
        <w:t>v</w:t>
      </w:r>
      <w:r w:rsidR="00AC0D52" w:rsidRPr="00A56B84">
        <w:rPr>
          <w:rFonts w:eastAsia="Arial" w:cs="Times New Roman"/>
        </w:rPr>
        <w:t xml:space="preserve">acancies taking longer than 1 month to fill </w:t>
      </w:r>
      <w:r w:rsidR="002E538D">
        <w:rPr>
          <w:rFonts w:eastAsia="Arial" w:cs="Times New Roman"/>
        </w:rPr>
        <w:t xml:space="preserve">was also highest for </w:t>
      </w:r>
      <w:r w:rsidR="00884414">
        <w:rPr>
          <w:rFonts w:eastAsia="Arial" w:cs="Times New Roman"/>
        </w:rPr>
        <w:t xml:space="preserve">those </w:t>
      </w:r>
      <w:r w:rsidR="007F3E00">
        <w:rPr>
          <w:rFonts w:eastAsia="Arial" w:cs="Times New Roman"/>
        </w:rPr>
        <w:t xml:space="preserve">recruiting for </w:t>
      </w:r>
      <w:r w:rsidR="002E538D">
        <w:rPr>
          <w:rFonts w:eastAsia="Arial" w:cs="Times New Roman"/>
        </w:rPr>
        <w:t>Professional</w:t>
      </w:r>
      <w:r w:rsidR="000B6414">
        <w:rPr>
          <w:rFonts w:eastAsia="Arial" w:cs="Times New Roman"/>
        </w:rPr>
        <w:t>s</w:t>
      </w:r>
      <w:r w:rsidR="00D814B4">
        <w:rPr>
          <w:rFonts w:eastAsia="Arial" w:cs="Times New Roman"/>
        </w:rPr>
        <w:t xml:space="preserve"> </w:t>
      </w:r>
      <w:r w:rsidR="00AC0D52" w:rsidRPr="00A56B84">
        <w:rPr>
          <w:rFonts w:eastAsia="Arial" w:cs="Times New Roman"/>
        </w:rPr>
        <w:t>(67%)</w:t>
      </w:r>
      <w:r w:rsidRPr="00A56B84">
        <w:rPr>
          <w:rFonts w:eastAsia="Arial" w:cs="Times New Roman"/>
        </w:rPr>
        <w:t>. Technicians and Trades Workers recorded a large decrease in recruitment difficulty over the year (down by 12</w:t>
      </w:r>
      <w:r w:rsidR="005A08A4">
        <w:rPr>
          <w:rFonts w:eastAsia="Arial" w:cs="Times New Roman"/>
        </w:rPr>
        <w:t>pp</w:t>
      </w:r>
      <w:r w:rsidRPr="00A56B84">
        <w:rPr>
          <w:rFonts w:eastAsia="Arial" w:cs="Times New Roman"/>
        </w:rPr>
        <w:t xml:space="preserve">) to stand at 63%. Compared with a year ago, there are declines in both the recruitment difficulty rate and the </w:t>
      </w:r>
      <w:r w:rsidR="000B7C1A">
        <w:rPr>
          <w:rFonts w:eastAsia="Arial" w:cs="Times New Roman"/>
        </w:rPr>
        <w:t>proportion of recruiting employers with</w:t>
      </w:r>
      <w:r w:rsidRPr="00A56B84">
        <w:rPr>
          <w:rFonts w:eastAsia="Arial" w:cs="Times New Roman"/>
        </w:rPr>
        <w:t xml:space="preserve"> vacancies taking longer than one month to fill across all reported occupation groups.</w:t>
      </w:r>
    </w:p>
    <w:p w14:paraId="2C3AF020" w14:textId="2D0C2E5A" w:rsidR="00FE3A27" w:rsidRPr="00A56B84" w:rsidRDefault="00FE3A27" w:rsidP="00FE3A27">
      <w:pPr>
        <w:rPr>
          <w:rFonts w:eastAsia="Arial" w:cs="Times New Roman"/>
        </w:rPr>
      </w:pPr>
      <w:r w:rsidRPr="00A56B84">
        <w:rPr>
          <w:rFonts w:eastAsia="Arial" w:cs="Times New Roman"/>
        </w:rPr>
        <w:t xml:space="preserve">In the September quarter 2024, the Accommodation and Food Services industry recorded the highest recruitment rate (59%), while Wholesale Trade recorded the lowest rate (36%). Recruitment difficulty </w:t>
      </w:r>
      <w:r w:rsidR="006A790D" w:rsidRPr="00A56B84">
        <w:rPr>
          <w:rFonts w:eastAsia="Arial" w:cs="Times New Roman"/>
        </w:rPr>
        <w:t>remined elevated in the</w:t>
      </w:r>
      <w:r w:rsidRPr="00A56B84">
        <w:rPr>
          <w:rFonts w:eastAsia="Arial" w:cs="Times New Roman"/>
        </w:rPr>
        <w:t xml:space="preserve"> Construction (59%) </w:t>
      </w:r>
      <w:r w:rsidR="006A790D" w:rsidRPr="00A56B84">
        <w:rPr>
          <w:rFonts w:eastAsia="Arial" w:cs="Times New Roman"/>
        </w:rPr>
        <w:t>and</w:t>
      </w:r>
      <w:r w:rsidRPr="00A56B84">
        <w:rPr>
          <w:rFonts w:eastAsia="Arial" w:cs="Times New Roman"/>
        </w:rPr>
        <w:t xml:space="preserve"> Manufacturing (57%)</w:t>
      </w:r>
      <w:r w:rsidR="006A790D" w:rsidRPr="00A56B84">
        <w:rPr>
          <w:rFonts w:eastAsia="Arial" w:cs="Times New Roman"/>
        </w:rPr>
        <w:t xml:space="preserve"> industries</w:t>
      </w:r>
      <w:r w:rsidRPr="00A56B84">
        <w:rPr>
          <w:rFonts w:eastAsia="Arial" w:cs="Times New Roman"/>
        </w:rPr>
        <w:t>. Meanwhile, the Accommodation and Food Services industry reported the lowest recruitment difficulty rate (36%) and the largest proportion of employers expecting to increase staff (31%).</w:t>
      </w:r>
    </w:p>
    <w:p w14:paraId="014E3B9D" w14:textId="77777777" w:rsidR="008E29A7" w:rsidRPr="00DD4C71" w:rsidRDefault="008E29A7" w:rsidP="00D80281"/>
    <w:p w14:paraId="67AE1803" w14:textId="77777777" w:rsidR="00F71E2C" w:rsidRPr="00DD4C71" w:rsidRDefault="00F71E2C">
      <w:pPr>
        <w:spacing w:after="160" w:line="259" w:lineRule="auto"/>
        <w:rPr>
          <w:rFonts w:asciiTheme="minorHAnsi" w:hAnsiTheme="minorHAnsi"/>
        </w:rPr>
      </w:pPr>
      <w:bookmarkStart w:id="36" w:name="_Toc151365197"/>
      <w:bookmarkStart w:id="37" w:name="_Toc152324314"/>
      <w:bookmarkStart w:id="38" w:name="_Toc151365198"/>
      <w:bookmarkStart w:id="39" w:name="_Toc148899378"/>
      <w:bookmarkEnd w:id="35"/>
      <w:r w:rsidRPr="00DD4C71">
        <w:rPr>
          <w:rFonts w:asciiTheme="minorHAnsi" w:hAnsiTheme="minorHAnsi"/>
        </w:rPr>
        <w:br w:type="page"/>
      </w:r>
    </w:p>
    <w:bookmarkStart w:id="40" w:name="_Toc151365204"/>
    <w:bookmarkStart w:id="41" w:name="_Toc152324321"/>
    <w:bookmarkStart w:id="42" w:name="_Toc166140515"/>
    <w:bookmarkStart w:id="43" w:name="_Toc182561813"/>
    <w:p w14:paraId="763C356D" w14:textId="37F5B036" w:rsidR="00F71E2C" w:rsidRPr="00361329" w:rsidRDefault="00F71E2C" w:rsidP="006260EA">
      <w:pPr>
        <w:pStyle w:val="Heading2"/>
        <w:spacing w:after="240"/>
        <w:rPr>
          <w:sz w:val="28"/>
          <w:szCs w:val="28"/>
        </w:rPr>
      </w:pPr>
      <w:r w:rsidRPr="00361329">
        <w:rPr>
          <w:noProof/>
          <w:color w:val="2B579A"/>
          <w:sz w:val="28"/>
          <w:szCs w:val="24"/>
          <w:shd w:val="clear" w:color="auto" w:fill="E6E6E6"/>
          <w14:ligatures w14:val="standard"/>
          <w14:numForm w14:val="lining"/>
          <w14:numSpacing w14:val="proportional"/>
        </w:rPr>
        <w:lastRenderedPageBreak/>
        <mc:AlternateContent>
          <mc:Choice Requires="wpg">
            <w:drawing>
              <wp:anchor distT="0" distB="0" distL="114300" distR="114300" simplePos="0" relativeHeight="251658243" behindDoc="1" locked="0" layoutInCell="1" allowOverlap="1" wp14:anchorId="71058373" wp14:editId="7057AEFB">
                <wp:simplePos x="0" y="0"/>
                <wp:positionH relativeFrom="margin">
                  <wp:posOffset>-318052</wp:posOffset>
                </wp:positionH>
                <wp:positionV relativeFrom="page">
                  <wp:posOffset>628153</wp:posOffset>
                </wp:positionV>
                <wp:extent cx="6345141" cy="8539701"/>
                <wp:effectExtent l="0" t="0" r="0" b="0"/>
                <wp:wrapNone/>
                <wp:docPr id="407028653" name="Group 407028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45141" cy="8539701"/>
                          <a:chOff x="0" y="-2"/>
                          <a:chExt cx="5577937" cy="3731616"/>
                        </a:xfrm>
                      </wpg:grpSpPr>
                      <wps:wsp>
                        <wps:cNvPr id="1373675626" name="Rectangle 1373675626">
                          <a:extLst>
                            <a:ext uri="{C183D7F6-B498-43B3-948B-1728B52AA6E4}">
                              <adec:decorative xmlns:adec="http://schemas.microsoft.com/office/drawing/2017/decorative" val="1"/>
                            </a:ext>
                          </a:extLst>
                        </wps:cNvPr>
                        <wps:cNvSpPr/>
                        <wps:spPr>
                          <a:xfrm>
                            <a:off x="0" y="-2"/>
                            <a:ext cx="5577937" cy="3731616"/>
                          </a:xfrm>
                          <a:prstGeom prst="rect">
                            <a:avLst/>
                          </a:prstGeom>
                          <a:solidFill>
                            <a:schemeClr val="bg1">
                              <a:lumMod val="95000"/>
                            </a:schemeClr>
                          </a:solidFill>
                          <a:ln>
                            <a:noFill/>
                          </a:ln>
                          <a:effectLst/>
                        </wps:spPr>
                        <wps:style>
                          <a:lnRef idx="2">
                            <a:schemeClr val="accent1">
                              <a:shade val="50000"/>
                            </a:schemeClr>
                          </a:lnRef>
                          <a:fillRef idx="1">
                            <a:schemeClr val="accent1"/>
                          </a:fillRef>
                          <a:effectRef idx="0">
                            <a:scrgbClr r="0" g="0" b="0"/>
                          </a:effectRef>
                          <a:fontRef idx="minor">
                            <a:schemeClr val="lt1"/>
                          </a:fontRef>
                        </wps:style>
                        <wps:txbx>
                          <w:txbxContent>
                            <w:p w14:paraId="1CDC21EE" w14:textId="66F24548" w:rsidR="00F71E2C" w:rsidRPr="00B93C08" w:rsidRDefault="00F71E2C" w:rsidP="00F71E2C">
                              <w:pPr>
                                <w:rPr>
                                  <w14:numForm w14:val="lining"/>
                                  <w14:numSpacing w14:val="proportional"/>
                                </w:rPr>
                              </w:pPr>
                            </w:p>
                          </w:txbxContent>
                        </wps:txbx>
                        <wps:bodyPr spcFirstLastPara="0" wrap="square" lIns="288000" tIns="108000" rIns="144000" bIns="108000" anchor="t">
                          <a:noAutofit/>
                        </wps:bodyPr>
                      </wps:wsp>
                      <wps:wsp>
                        <wps:cNvPr id="1916986810" name="Rectangle 1916986810"/>
                        <wps:cNvSpPr/>
                        <wps:spPr>
                          <a:xfrm>
                            <a:off x="0" y="0"/>
                            <a:ext cx="133350" cy="3722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058373" id="Group 407028653" o:spid="_x0000_s1027" alt="&quot;&quot;" style="position:absolute;margin-left:-25.05pt;margin-top:49.45pt;width:499.6pt;height:672.4pt;z-index:-251658237;mso-position-horizontal-relative:margin;mso-position-vertical-relative:page" coordorigin="" coordsize="55779,3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">
                <v:rect id="Rectangle 1373675626" o:spid="_x0000_s1028" alt="&quot;&quot;" style="position:absolute;width:55779;height:3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" fillcolor="#f2f2f2 [3052]" stroked="f" strokeweight="1pt">
                  <v:textbox inset="8mm,3mm,4mm,3mm">
                    <w:txbxContent>
                      <w:p w14:paraId="1CDC21EE" w14:textId="66F24548" w:rsidR="00F71E2C" w:rsidRPr="00B93C08" w:rsidRDefault="00F71E2C" w:rsidP="00F71E2C">
                        <w:pPr>
                          <w:rPr>
                            <w14:numForm w14:val="lining"/>
                            <w14:numSpacing w14:val="proportional"/>
                          </w:rPr>
                        </w:pPr>
                      </w:p>
                    </w:txbxContent>
                  </v:textbox>
                </v:rect>
                <v:rect id="Rectangle 1916986810" o:spid="_x0000_s1029" style="position:absolute;width:1333;height:37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" fillcolor="#d2de5a [3214]" stroked="f" strokeweight="1pt"/>
                <w10:wrap anchorx="margin" anchory="page"/>
              </v:group>
            </w:pict>
          </mc:Fallback>
        </mc:AlternateContent>
      </w:r>
      <w:r w:rsidRPr="00361329">
        <w:rPr>
          <w:sz w:val="28"/>
          <w:szCs w:val="28"/>
        </w:rPr>
        <w:t xml:space="preserve">In focus: </w:t>
      </w:r>
      <w:bookmarkStart w:id="44" w:name="_Hlk182231111"/>
      <w:bookmarkEnd w:id="40"/>
      <w:bookmarkEnd w:id="41"/>
      <w:bookmarkEnd w:id="42"/>
      <w:r w:rsidR="0043161B" w:rsidRPr="00361329">
        <w:rPr>
          <w:sz w:val="28"/>
          <w:szCs w:val="28"/>
        </w:rPr>
        <w:t xml:space="preserve">Labour demand </w:t>
      </w:r>
      <w:r w:rsidR="00C35CDB">
        <w:rPr>
          <w:sz w:val="28"/>
          <w:szCs w:val="28"/>
        </w:rPr>
        <w:t xml:space="preserve">and </w:t>
      </w:r>
      <w:r w:rsidR="00F346D8">
        <w:rPr>
          <w:sz w:val="28"/>
          <w:szCs w:val="28"/>
        </w:rPr>
        <w:t>difficulties</w:t>
      </w:r>
      <w:r w:rsidR="00C35CDB">
        <w:rPr>
          <w:sz w:val="28"/>
          <w:szCs w:val="28"/>
        </w:rPr>
        <w:t xml:space="preserve"> </w:t>
      </w:r>
      <w:r w:rsidR="00F346D8">
        <w:rPr>
          <w:sz w:val="28"/>
          <w:szCs w:val="28"/>
        </w:rPr>
        <w:t>facing</w:t>
      </w:r>
      <w:r w:rsidR="0043161B" w:rsidRPr="00361329">
        <w:rPr>
          <w:sz w:val="28"/>
          <w:szCs w:val="28"/>
        </w:rPr>
        <w:t xml:space="preserve"> Veterinarians</w:t>
      </w:r>
      <w:bookmarkEnd w:id="43"/>
      <w:r w:rsidR="0043161B" w:rsidRPr="00361329">
        <w:rPr>
          <w:sz w:val="28"/>
          <w:szCs w:val="28"/>
        </w:rPr>
        <w:t xml:space="preserve"> </w:t>
      </w:r>
      <w:bookmarkEnd w:id="44"/>
    </w:p>
    <w:p w14:paraId="61C4CD47" w14:textId="50E40D40" w:rsidR="007F6B75" w:rsidRDefault="0043161B" w:rsidP="006260EA">
      <w:r>
        <w:t xml:space="preserve">Recent increases in online job advertisements for Veterinarians in </w:t>
      </w:r>
      <w:r w:rsidR="00DC13C6">
        <w:t xml:space="preserve">the </w:t>
      </w:r>
      <w:r>
        <w:t xml:space="preserve">IVI results are further indicators of the difficulties confronting this workforce. A combination of labour market conditions </w:t>
      </w:r>
      <w:r w:rsidR="31FB7F2E">
        <w:t>creates</w:t>
      </w:r>
      <w:r>
        <w:t xml:space="preserve"> a diverse set of challenges</w:t>
      </w:r>
      <w:r w:rsidR="00935972">
        <w:t xml:space="preserve"> for Veter</w:t>
      </w:r>
      <w:r w:rsidR="00D24D5A">
        <w:t>inarians</w:t>
      </w:r>
      <w:r>
        <w:t>.</w:t>
      </w:r>
    </w:p>
    <w:p w14:paraId="39366F65" w14:textId="477BF21E" w:rsidR="00BF308B" w:rsidRDefault="0043161B" w:rsidP="007F6B75">
      <w:r>
        <w:t>Historically, Veterinarians and related occupations have recorded remarkably low numbers of online job advertisements in the IVI.</w:t>
      </w:r>
      <w:bookmarkStart w:id="45" w:name="_Ref173249958"/>
      <w:bookmarkStart w:id="46" w:name="_Ref173226377"/>
      <w:r w:rsidR="003F3BEB">
        <w:t xml:space="preserve"> Below explores recent trends to this occupation.</w:t>
      </w:r>
      <w:r w:rsidR="00361329">
        <w:rPr>
          <w:rStyle w:val="FootnoteReference"/>
        </w:rPr>
        <w:footnoteReference w:id="7"/>
      </w:r>
    </w:p>
    <w:p w14:paraId="27E03EAD" w14:textId="08BDC635" w:rsidR="00227575" w:rsidRPr="00BF308B" w:rsidRDefault="00BF308B" w:rsidP="007F6B75">
      <w:pPr>
        <w:rPr>
          <w:rFonts w:cs="Arial"/>
          <w:b/>
          <w:bCs/>
          <w:sz w:val="18"/>
          <w:szCs w:val="18"/>
        </w:rPr>
      </w:pPr>
      <w:r w:rsidRPr="00341254">
        <w:rPr>
          <w:b/>
          <w:bCs/>
          <w:sz w:val="18"/>
          <w:szCs w:val="18"/>
        </w:rPr>
        <w:t xml:space="preserve">Figure </w:t>
      </w:r>
      <w:r w:rsidR="003923C3" w:rsidRPr="00341254">
        <w:rPr>
          <w:b/>
          <w:bCs/>
          <w:sz w:val="18"/>
          <w:szCs w:val="18"/>
        </w:rPr>
        <w:t>10</w:t>
      </w:r>
      <w:r w:rsidRPr="00341254">
        <w:rPr>
          <w:b/>
          <w:bCs/>
          <w:sz w:val="18"/>
          <w:szCs w:val="18"/>
        </w:rPr>
        <w:t>: Job</w:t>
      </w:r>
      <w:r w:rsidRPr="00BF308B">
        <w:rPr>
          <w:b/>
          <w:bCs/>
          <w:sz w:val="18"/>
          <w:szCs w:val="18"/>
        </w:rPr>
        <w:t xml:space="preserve"> advertisements for Veterinarians and Veterinary Nurses, September 2006 to September 2024</w:t>
      </w:r>
      <w:r w:rsidR="003F3BEB" w:rsidRPr="00BF308B">
        <w:rPr>
          <w:b/>
          <w:bCs/>
          <w:sz w:val="18"/>
          <w:szCs w:val="18"/>
        </w:rPr>
        <w:t xml:space="preserve"> </w:t>
      </w:r>
    </w:p>
    <w:p w14:paraId="17CC54B0" w14:textId="08348A14" w:rsidR="00227575" w:rsidRDefault="00BF308B" w:rsidP="007F6B75">
      <w:pPr>
        <w:rPr>
          <w:rFonts w:cs="Arial"/>
        </w:rPr>
      </w:pPr>
      <w:r>
        <w:rPr>
          <w:noProof/>
        </w:rPr>
        <w:drawing>
          <wp:inline distT="0" distB="0" distL="0" distR="0" wp14:anchorId="62A1DC16" wp14:editId="70480D48">
            <wp:extent cx="5579745" cy="3133725"/>
            <wp:effectExtent l="0" t="0" r="1905" b="0"/>
            <wp:docPr id="2022078026" name="Chart 1" descr="Figure 10 is a line graph showing the number of online job advertisements for Veterinarians and Veterinary Nurses from September 2006 to September 2024. This figure shows that the very low number of online job advertisements captured in the Internet Vacancy Index for these occupations, fewer than 50 each month, persisted across the series until the COVID-19 downturn. Following this persistent trend, the number of online job advertisements increased sharply for both occupations, peaking at 250 for Veterinarians and 150 for Veterinary Nurses in late 2023. Despite considerable volatility and notable declines since these peak values, the number of online job advertisements continue at elevated levels in current Internet Vacancy Index data.">
              <a:extLst xmlns:a="http://schemas.openxmlformats.org/drawingml/2006/main">
                <a:ext uri="{FF2B5EF4-FFF2-40B4-BE49-F238E27FC236}">
                  <a16:creationId xmlns:a16="http://schemas.microsoft.com/office/drawing/2014/main" id="{B105AAE3-4785-4931-AD71-628424347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65F6129" w14:textId="52FBBD67" w:rsidR="00BF308B" w:rsidRPr="00A56B84" w:rsidRDefault="00BF308B" w:rsidP="006260EA">
      <w:pPr>
        <w:rPr>
          <w:rFonts w:cs="Arial"/>
          <w:sz w:val="18"/>
          <w:szCs w:val="18"/>
        </w:rPr>
      </w:pPr>
      <w:r w:rsidRPr="00A56B84">
        <w:rPr>
          <w:rFonts w:cs="Arial"/>
          <w:sz w:val="18"/>
          <w:szCs w:val="18"/>
        </w:rPr>
        <w:t xml:space="preserve">Source: Jobs and Skills Australia, </w:t>
      </w:r>
      <w:r w:rsidR="00623868">
        <w:rPr>
          <w:rFonts w:cs="Arial"/>
          <w:sz w:val="18"/>
          <w:szCs w:val="18"/>
        </w:rPr>
        <w:t>IVI</w:t>
      </w:r>
      <w:r w:rsidRPr="00A56B84">
        <w:rPr>
          <w:rFonts w:cs="Arial"/>
          <w:sz w:val="18"/>
          <w:szCs w:val="18"/>
        </w:rPr>
        <w:t>, 3-month average data, September 2024.</w:t>
      </w:r>
    </w:p>
    <w:p w14:paraId="7763DC76" w14:textId="64FAAC71" w:rsidR="007F6B75" w:rsidRDefault="0043161B" w:rsidP="006260EA">
      <w:r>
        <w:t>O</w:t>
      </w:r>
      <w:r w:rsidRPr="0043161B">
        <w:t>ver the decade preceding the COVID-19 downturn, there were 18 job advertisements for</w:t>
      </w:r>
      <w:r>
        <w:t xml:space="preserve"> </w:t>
      </w:r>
      <w:r w:rsidRPr="0043161B">
        <w:t xml:space="preserve">Veterinarians on average each month recorded in the </w:t>
      </w:r>
      <w:r>
        <w:t>IVI</w:t>
      </w:r>
      <w:r w:rsidRPr="0043161B">
        <w:t>.</w:t>
      </w:r>
      <w:r w:rsidR="003F3BEB">
        <w:t xml:space="preserve"> Comparatively </w:t>
      </w:r>
      <w:r w:rsidR="003F3BEB" w:rsidRPr="0043161B">
        <w:t xml:space="preserve">190 advertisements </w:t>
      </w:r>
      <w:r w:rsidR="00DC13C6">
        <w:t xml:space="preserve">were </w:t>
      </w:r>
      <w:r w:rsidR="003F3BEB" w:rsidRPr="0043161B">
        <w:t>recorded in September 2024.</w:t>
      </w:r>
      <w:r w:rsidRPr="0043161B">
        <w:t xml:space="preserve"> Since the COVID-19 downturn,</w:t>
      </w:r>
      <w:r>
        <w:t xml:space="preserve"> </w:t>
      </w:r>
      <w:r w:rsidRPr="0043161B">
        <w:t xml:space="preserve">the number of vacancies for Veterinarians (and related occupations such as Veterinary Nurses) posted to nonspecialised job boards increased </w:t>
      </w:r>
      <w:r w:rsidR="00DC13C6">
        <w:t>significantly</w:t>
      </w:r>
      <w:r w:rsidR="003F3BEB">
        <w:t>.</w:t>
      </w:r>
    </w:p>
    <w:p w14:paraId="36CFC5CD" w14:textId="457E74A1" w:rsidR="003F3BEB" w:rsidRDefault="003F3BEB" w:rsidP="006260EA">
      <w:r>
        <w:t xml:space="preserve">Over 2014 to 2023, </w:t>
      </w:r>
      <w:r w:rsidRPr="003F3BEB">
        <w:t>the average time to fill vacancies increased from 8 weeks to 25 weeks.</w:t>
      </w:r>
      <w:r>
        <w:t xml:space="preserve"> T</w:t>
      </w:r>
      <w:r w:rsidRPr="003F3BEB">
        <w:t>he proportion of vacancies open to</w:t>
      </w:r>
      <w:r>
        <w:t xml:space="preserve"> </w:t>
      </w:r>
      <w:r w:rsidRPr="003F3BEB">
        <w:t>applications from graduates more than doubled to half of all vacancies.</w:t>
      </w:r>
      <w:r w:rsidR="00361329">
        <w:rPr>
          <w:rStyle w:val="FootnoteReference"/>
          <w:rFonts w:cs="Arial"/>
        </w:rPr>
        <w:footnoteReference w:id="8"/>
      </w:r>
      <w:r w:rsidRPr="003F3BEB">
        <w:t xml:space="preserve"> These indicators align with results from </w:t>
      </w:r>
      <w:r w:rsidR="00BF308B">
        <w:t>JSA’s</w:t>
      </w:r>
      <w:r w:rsidRPr="003F3BEB">
        <w:t xml:space="preserve"> Occupational Shortage List </w:t>
      </w:r>
      <w:r w:rsidR="00DC13C6">
        <w:t>which</w:t>
      </w:r>
      <w:r w:rsidRPr="003F3BEB">
        <w:t xml:space="preserve"> found Veterinarians and related occupations </w:t>
      </w:r>
      <w:r w:rsidR="00DC13C6">
        <w:t xml:space="preserve">are </w:t>
      </w:r>
      <w:r w:rsidRPr="003F3BEB">
        <w:t>in persistent shortage.</w:t>
      </w:r>
      <w:r>
        <w:rPr>
          <w:rStyle w:val="FootnoteReference"/>
          <w:rFonts w:cs="Arial"/>
        </w:rPr>
        <w:footnoteReference w:id="9"/>
      </w:r>
      <w:r>
        <w:t xml:space="preserve"> </w:t>
      </w:r>
      <w:r w:rsidRPr="003F3BEB">
        <w:t>Similarly, since international borders re-opened, temporary skill visa grants for Veterinarians have exceeded pre-</w:t>
      </w:r>
      <w:r w:rsidR="00BF308B">
        <w:t>pandemic</w:t>
      </w:r>
      <w:r w:rsidRPr="003F3BEB">
        <w:t xml:space="preserve"> levels.</w:t>
      </w:r>
      <w:r>
        <w:rPr>
          <w:rStyle w:val="FootnoteReference"/>
          <w:rFonts w:cs="Arial"/>
        </w:rPr>
        <w:footnoteReference w:id="10"/>
      </w:r>
    </w:p>
    <w:p w14:paraId="05128A4D" w14:textId="3CE0AD4F" w:rsidR="003F3BEB" w:rsidRDefault="003F3BEB" w:rsidP="006260EA">
      <w:r w:rsidRPr="003F3BEB">
        <w:t>Labour Force</w:t>
      </w:r>
      <w:r>
        <w:t xml:space="preserve"> </w:t>
      </w:r>
      <w:r w:rsidRPr="003F3BEB">
        <w:t>Trending data show</w:t>
      </w:r>
      <w:r>
        <w:t>ed</w:t>
      </w:r>
      <w:r w:rsidRPr="003F3BEB">
        <w:t xml:space="preserve"> employment for Veterinarians (up by 32.1%, to almost 14,000) has grown </w:t>
      </w:r>
      <w:bookmarkStart w:id="47" w:name="_Int_0h1FB5s9"/>
      <w:r w:rsidRPr="003F3BEB">
        <w:t>nearly three-times</w:t>
      </w:r>
      <w:bookmarkEnd w:id="47"/>
      <w:r w:rsidRPr="003F3BEB">
        <w:t xml:space="preserve"> faster</w:t>
      </w:r>
      <w:r>
        <w:t xml:space="preserve"> </w:t>
      </w:r>
      <w:r w:rsidRPr="003F3BEB">
        <w:t xml:space="preserve">than the national average (up by 12.3%) over the last </w:t>
      </w:r>
      <w:r w:rsidR="00361329">
        <w:t>5</w:t>
      </w:r>
      <w:r w:rsidRPr="003F3BEB">
        <w:t xml:space="preserve"> years.</w:t>
      </w:r>
      <w:r w:rsidR="00BF308B">
        <w:rPr>
          <w:rStyle w:val="FootnoteReference"/>
          <w:rFonts w:cs="Arial"/>
        </w:rPr>
        <w:footnoteReference w:id="11"/>
      </w:r>
      <w:r w:rsidRPr="00BF308B">
        <w:rPr>
          <w:vertAlign w:val="superscript"/>
        </w:rPr>
        <w:t xml:space="preserve"> </w:t>
      </w:r>
      <w:r w:rsidRPr="003F3BEB">
        <w:t>The number of Australians holding Veterinary Science</w:t>
      </w:r>
      <w:r>
        <w:t xml:space="preserve"> </w:t>
      </w:r>
      <w:r w:rsidRPr="003F3BEB">
        <w:t>qualifications increased by 61.3% from the 2011 to the 2021 census, to almost 18,000. More than half of this growth</w:t>
      </w:r>
      <w:r>
        <w:t xml:space="preserve"> </w:t>
      </w:r>
      <w:r w:rsidRPr="003F3BEB">
        <w:t>came between 2016 and 2021.</w:t>
      </w:r>
    </w:p>
    <w:p w14:paraId="5FF63556" w14:textId="07BADD72" w:rsidR="008564DD" w:rsidRPr="002D355E" w:rsidRDefault="008564DD" w:rsidP="00320647">
      <w:pPr>
        <w:pStyle w:val="Heading1"/>
      </w:pPr>
      <w:bookmarkStart w:id="48" w:name="_Toc151365205"/>
      <w:bookmarkStart w:id="49" w:name="_Toc182561814"/>
      <w:bookmarkEnd w:id="36"/>
      <w:bookmarkEnd w:id="37"/>
      <w:bookmarkEnd w:id="38"/>
      <w:bookmarkEnd w:id="39"/>
      <w:bookmarkEnd w:id="45"/>
      <w:bookmarkEnd w:id="46"/>
      <w:r w:rsidRPr="002D355E">
        <w:lastRenderedPageBreak/>
        <w:t>Jobs and Skills Australia resources</w:t>
      </w:r>
      <w:bookmarkStart w:id="50" w:name="_Hlk150771271"/>
      <w:bookmarkEnd w:id="48"/>
      <w:bookmarkEnd w:id="49"/>
    </w:p>
    <w:p w14:paraId="036902CE" w14:textId="09AC911E" w:rsidR="008564DD" w:rsidRPr="002D355E" w:rsidRDefault="008564DD" w:rsidP="00320647">
      <w:r w:rsidRPr="002D355E">
        <w:t xml:space="preserve">Key data, resources and reports can be found on the </w:t>
      </w:r>
      <w:r w:rsidR="00397229" w:rsidRPr="002D355E">
        <w:t xml:space="preserve">Jobs and Skills Australia </w:t>
      </w:r>
      <w:r w:rsidRPr="002D355E">
        <w:t xml:space="preserve">website: </w:t>
      </w:r>
      <w:hyperlink r:id="rId33" w:history="1">
        <w:r w:rsidRPr="002D355E">
          <w:rPr>
            <w:rStyle w:val="Hyperlink"/>
          </w:rPr>
          <w:t>https://www.jobsandskills.gov.au/</w:t>
        </w:r>
      </w:hyperlink>
    </w:p>
    <w:p w14:paraId="6E9D5527" w14:textId="77777777" w:rsidR="008564DD" w:rsidRPr="002D355E" w:rsidRDefault="008564DD" w:rsidP="00320647"/>
    <w:tbl>
      <w:tblPr>
        <w:tblStyle w:val="JSATable1"/>
        <w:tblW w:w="9006" w:type="dxa"/>
        <w:tblLayout w:type="fixed"/>
        <w:tblLook w:val="0020" w:firstRow="1" w:lastRow="0" w:firstColumn="0" w:lastColumn="0" w:noHBand="0" w:noVBand="0"/>
      </w:tblPr>
      <w:tblGrid>
        <w:gridCol w:w="5529"/>
        <w:gridCol w:w="3477"/>
      </w:tblGrid>
      <w:tr w:rsidR="008564DD" w:rsidRPr="002D355E" w14:paraId="0DFB3118" w14:textId="77777777" w:rsidTr="1E0B05D9">
        <w:trPr>
          <w:cnfStyle w:val="100000000000" w:firstRow="1" w:lastRow="0" w:firstColumn="0" w:lastColumn="0" w:oddVBand="0" w:evenVBand="0" w:oddHBand="0" w:evenHBand="0" w:firstRowFirstColumn="0" w:firstRowLastColumn="0" w:lastRowFirstColumn="0" w:lastRowLastColumn="0"/>
          <w:trHeight w:val="400"/>
        </w:trPr>
        <w:tc>
          <w:tcPr>
            <w:tcW w:w="5529" w:type="dxa"/>
            <w:shd w:val="clear" w:color="auto" w:fill="012749" w:themeFill="accent3"/>
            <w:vAlign w:val="center"/>
          </w:tcPr>
          <w:p w14:paraId="24D89B7A" w14:textId="77777777" w:rsidR="008564DD" w:rsidRPr="002D355E" w:rsidRDefault="008564DD" w:rsidP="00320647">
            <w:pPr>
              <w:spacing w:before="100"/>
              <w:rPr>
                <w:b/>
                <w:bCs/>
                <w:sz w:val="20"/>
                <w:szCs w:val="20"/>
              </w:rPr>
            </w:pPr>
            <w:r w:rsidRPr="002D355E">
              <w:rPr>
                <w:b/>
                <w:bCs/>
                <w:sz w:val="20"/>
                <w:szCs w:val="20"/>
              </w:rPr>
              <w:t>Resource</w:t>
            </w:r>
          </w:p>
        </w:tc>
        <w:tc>
          <w:tcPr>
            <w:tcW w:w="3477" w:type="dxa"/>
            <w:shd w:val="clear" w:color="auto" w:fill="012749" w:themeFill="accent3"/>
            <w:vAlign w:val="center"/>
          </w:tcPr>
          <w:p w14:paraId="24D156C9" w14:textId="77777777" w:rsidR="008564DD" w:rsidRPr="002D355E" w:rsidRDefault="008564DD" w:rsidP="00320647">
            <w:pPr>
              <w:spacing w:before="100"/>
              <w:rPr>
                <w:b/>
                <w:bCs/>
                <w:sz w:val="20"/>
                <w:szCs w:val="20"/>
              </w:rPr>
            </w:pPr>
            <w:r w:rsidRPr="002D355E">
              <w:rPr>
                <w:b/>
                <w:bCs/>
                <w:sz w:val="20"/>
                <w:szCs w:val="20"/>
              </w:rPr>
              <w:t>Publication notes</w:t>
            </w:r>
          </w:p>
        </w:tc>
      </w:tr>
      <w:tr w:rsidR="008564DD" w:rsidRPr="002D355E" w14:paraId="089DD4E6" w14:textId="77777777">
        <w:trPr>
          <w:trHeight w:val="400"/>
        </w:trPr>
        <w:tc>
          <w:tcPr>
            <w:tcW w:w="5529" w:type="dxa"/>
            <w:vAlign w:val="center"/>
          </w:tcPr>
          <w:p w14:paraId="7897118C" w14:textId="77777777" w:rsidR="008564DD" w:rsidRPr="002D355E" w:rsidRDefault="008564DD" w:rsidP="00320647">
            <w:pPr>
              <w:rPr>
                <w:sz w:val="20"/>
                <w:szCs w:val="20"/>
              </w:rPr>
            </w:pPr>
            <w:hyperlink r:id="rId34" w:history="1">
              <w:r w:rsidRPr="002D355E">
                <w:rPr>
                  <w:rStyle w:val="Hyperlink"/>
                  <w:sz w:val="20"/>
                  <w:szCs w:val="20"/>
                </w:rPr>
                <w:t>Internet Vacancy Index</w:t>
              </w:r>
            </w:hyperlink>
            <w:r w:rsidRPr="002D355E">
              <w:rPr>
                <w:sz w:val="20"/>
                <w:szCs w:val="20"/>
              </w:rPr>
              <w:t xml:space="preserve"> </w:t>
            </w:r>
          </w:p>
          <w:p w14:paraId="56893207" w14:textId="77777777" w:rsidR="008564DD" w:rsidRPr="002D355E" w:rsidRDefault="008564DD" w:rsidP="00320647">
            <w:pPr>
              <w:rPr>
                <w:sz w:val="20"/>
                <w:szCs w:val="20"/>
              </w:rPr>
            </w:pPr>
            <w:r w:rsidRPr="002D355E">
              <w:rPr>
                <w:sz w:val="20"/>
                <w:szCs w:val="20"/>
              </w:rPr>
              <w:t>The Internet Vacancy Index (IVI) is a monthly count of online job advertisements compiled by Jobs and Skills Australia.</w:t>
            </w:r>
          </w:p>
        </w:tc>
        <w:tc>
          <w:tcPr>
            <w:tcW w:w="3477" w:type="dxa"/>
            <w:vAlign w:val="center"/>
          </w:tcPr>
          <w:p w14:paraId="68510E48" w14:textId="77777777" w:rsidR="008564DD" w:rsidRPr="002D355E" w:rsidRDefault="008564DD" w:rsidP="00320647">
            <w:pPr>
              <w:rPr>
                <w:sz w:val="20"/>
                <w:szCs w:val="20"/>
              </w:rPr>
            </w:pPr>
            <w:r w:rsidRPr="002D355E">
              <w:rPr>
                <w:sz w:val="20"/>
                <w:szCs w:val="20"/>
              </w:rPr>
              <w:t>The Vacancy Report is published on the third Wednesday of the month.</w:t>
            </w:r>
          </w:p>
        </w:tc>
      </w:tr>
      <w:tr w:rsidR="008564DD" w:rsidRPr="002D355E" w14:paraId="11DCC66E" w14:textId="77777777">
        <w:trPr>
          <w:cnfStyle w:val="000000010000" w:firstRow="0" w:lastRow="0" w:firstColumn="0" w:lastColumn="0" w:oddVBand="0" w:evenVBand="0" w:oddHBand="0" w:evenHBand="1" w:firstRowFirstColumn="0" w:firstRowLastColumn="0" w:lastRowFirstColumn="0" w:lastRowLastColumn="0"/>
          <w:trHeight w:val="400"/>
        </w:trPr>
        <w:tc>
          <w:tcPr>
            <w:tcW w:w="5529" w:type="dxa"/>
            <w:vAlign w:val="center"/>
          </w:tcPr>
          <w:p w14:paraId="29FD2EE2" w14:textId="77777777" w:rsidR="008564DD" w:rsidRPr="002D355E" w:rsidRDefault="008564DD" w:rsidP="00320647">
            <w:pPr>
              <w:rPr>
                <w:sz w:val="20"/>
                <w:szCs w:val="20"/>
              </w:rPr>
            </w:pPr>
            <w:hyperlink r:id="rId35" w:history="1">
              <w:r w:rsidRPr="002D355E">
                <w:rPr>
                  <w:rStyle w:val="Hyperlink"/>
                  <w:sz w:val="20"/>
                  <w:szCs w:val="20"/>
                </w:rPr>
                <w:t>Recruitment Experiences and Outlook Survey</w:t>
              </w:r>
            </w:hyperlink>
          </w:p>
          <w:p w14:paraId="70FC57D6" w14:textId="77777777" w:rsidR="008564DD" w:rsidRPr="002D355E" w:rsidRDefault="008564DD" w:rsidP="00320647">
            <w:pPr>
              <w:rPr>
                <w:sz w:val="20"/>
                <w:szCs w:val="20"/>
              </w:rPr>
            </w:pPr>
            <w:r w:rsidRPr="002D355E">
              <w:rPr>
                <w:sz w:val="20"/>
                <w:szCs w:val="20"/>
              </w:rPr>
              <w:t>Survey of at least 1000 employers each month to find out about their experience when recruiting staff.</w:t>
            </w:r>
          </w:p>
        </w:tc>
        <w:tc>
          <w:tcPr>
            <w:tcW w:w="3477" w:type="dxa"/>
            <w:vAlign w:val="center"/>
          </w:tcPr>
          <w:p w14:paraId="1BC28E60" w14:textId="77777777" w:rsidR="008564DD" w:rsidRPr="002D355E" w:rsidRDefault="008564DD" w:rsidP="00320647">
            <w:pPr>
              <w:rPr>
                <w:sz w:val="20"/>
                <w:szCs w:val="20"/>
              </w:rPr>
            </w:pPr>
            <w:r w:rsidRPr="002D355E">
              <w:rPr>
                <w:sz w:val="20"/>
                <w:szCs w:val="20"/>
              </w:rPr>
              <w:t>The Recruitment Insights Report is published on the third Tuesday of the month, while regular special topic Spotlight reports are also published monthly.</w:t>
            </w:r>
          </w:p>
        </w:tc>
      </w:tr>
      <w:tr w:rsidR="008564DD" w:rsidRPr="002D355E" w14:paraId="29B9FE96" w14:textId="77777777">
        <w:trPr>
          <w:trHeight w:val="400"/>
        </w:trPr>
        <w:tc>
          <w:tcPr>
            <w:tcW w:w="5529" w:type="dxa"/>
            <w:vAlign w:val="center"/>
          </w:tcPr>
          <w:p w14:paraId="5DB51D5C" w14:textId="1600FB5F" w:rsidR="008564DD" w:rsidRPr="002D355E" w:rsidRDefault="00624F2A" w:rsidP="00320647">
            <w:pPr>
              <w:rPr>
                <w:sz w:val="20"/>
                <w:szCs w:val="20"/>
              </w:rPr>
            </w:pPr>
            <w:r>
              <w:t xml:space="preserve">Occupation </w:t>
            </w:r>
            <w:hyperlink r:id="rId36" w:history="1">
              <w:r w:rsidR="008564DD" w:rsidRPr="002D355E">
                <w:rPr>
                  <w:rStyle w:val="Hyperlink"/>
                  <w:sz w:val="20"/>
                  <w:szCs w:val="20"/>
                </w:rPr>
                <w:t>Shortages Analysis</w:t>
              </w:r>
            </w:hyperlink>
          </w:p>
          <w:p w14:paraId="0834437E" w14:textId="5229E4DF" w:rsidR="008564DD" w:rsidRPr="002D355E" w:rsidRDefault="00624F2A" w:rsidP="00320647">
            <w:pPr>
              <w:rPr>
                <w:sz w:val="20"/>
                <w:szCs w:val="20"/>
              </w:rPr>
            </w:pPr>
            <w:r>
              <w:rPr>
                <w:sz w:val="20"/>
                <w:szCs w:val="20"/>
              </w:rPr>
              <w:t>Occupation</w:t>
            </w:r>
            <w:r w:rsidR="008564DD" w:rsidRPr="002D355E">
              <w:rPr>
                <w:sz w:val="20"/>
                <w:szCs w:val="20"/>
              </w:rPr>
              <w:t xml:space="preserve"> shortage analysis including the annual </w:t>
            </w:r>
            <w:r w:rsidR="00E325A5">
              <w:rPr>
                <w:sz w:val="20"/>
                <w:szCs w:val="20"/>
              </w:rPr>
              <w:t xml:space="preserve">Occupation Shortage List (OSL) </w:t>
            </w:r>
            <w:r w:rsidR="008564DD" w:rsidRPr="002D355E">
              <w:rPr>
                <w:sz w:val="20"/>
                <w:szCs w:val="20"/>
              </w:rPr>
              <w:t xml:space="preserve">and reports on </w:t>
            </w:r>
            <w:r w:rsidR="00E53B97">
              <w:rPr>
                <w:sz w:val="20"/>
                <w:szCs w:val="20"/>
              </w:rPr>
              <w:t xml:space="preserve">occupation </w:t>
            </w:r>
            <w:r w:rsidR="2C47DC8B" w:rsidRPr="5CCEB08E">
              <w:rPr>
                <w:sz w:val="20"/>
                <w:szCs w:val="20"/>
              </w:rPr>
              <w:t>s</w:t>
            </w:r>
            <w:r w:rsidR="008564DD" w:rsidRPr="002D355E">
              <w:rPr>
                <w:sz w:val="20"/>
                <w:szCs w:val="20"/>
              </w:rPr>
              <w:t>hortages.</w:t>
            </w:r>
          </w:p>
        </w:tc>
        <w:tc>
          <w:tcPr>
            <w:tcW w:w="3477" w:type="dxa"/>
            <w:vAlign w:val="center"/>
          </w:tcPr>
          <w:p w14:paraId="580DEFEB" w14:textId="0BC98741" w:rsidR="008564DD" w:rsidRPr="002D355E" w:rsidRDefault="008564DD" w:rsidP="00320647">
            <w:pPr>
              <w:rPr>
                <w:sz w:val="20"/>
                <w:szCs w:val="20"/>
              </w:rPr>
            </w:pPr>
            <w:r w:rsidRPr="002D355E">
              <w:rPr>
                <w:sz w:val="20"/>
                <w:szCs w:val="20"/>
              </w:rPr>
              <w:t xml:space="preserve">The </w:t>
            </w:r>
            <w:r w:rsidR="00E325A5">
              <w:rPr>
                <w:sz w:val="20"/>
                <w:szCs w:val="20"/>
              </w:rPr>
              <w:t xml:space="preserve">OSL (previously the Skills Priority List) </w:t>
            </w:r>
            <w:r w:rsidRPr="002D355E">
              <w:rPr>
                <w:sz w:val="20"/>
                <w:szCs w:val="20"/>
              </w:rPr>
              <w:t xml:space="preserve">is released annually (around September), while the </w:t>
            </w:r>
            <w:r w:rsidR="00E325A5">
              <w:rPr>
                <w:sz w:val="20"/>
                <w:szCs w:val="20"/>
              </w:rPr>
              <w:t>Occupation</w:t>
            </w:r>
            <w:r w:rsidR="00E325A5" w:rsidRPr="002D355E">
              <w:rPr>
                <w:sz w:val="20"/>
                <w:szCs w:val="20"/>
              </w:rPr>
              <w:t xml:space="preserve"> </w:t>
            </w:r>
            <w:r w:rsidRPr="002D355E">
              <w:rPr>
                <w:sz w:val="20"/>
                <w:szCs w:val="20"/>
              </w:rPr>
              <w:t>Shortage Quarterly provides quarterly insights.</w:t>
            </w:r>
          </w:p>
        </w:tc>
      </w:tr>
      <w:tr w:rsidR="008564DD" w:rsidRPr="002D355E" w14:paraId="4AD17AAB" w14:textId="77777777">
        <w:trPr>
          <w:cnfStyle w:val="000000010000" w:firstRow="0" w:lastRow="0" w:firstColumn="0" w:lastColumn="0" w:oddVBand="0" w:evenVBand="0" w:oddHBand="0" w:evenHBand="1" w:firstRowFirstColumn="0" w:firstRowLastColumn="0" w:lastRowFirstColumn="0" w:lastRowLastColumn="0"/>
          <w:trHeight w:val="415"/>
        </w:trPr>
        <w:tc>
          <w:tcPr>
            <w:tcW w:w="5529" w:type="dxa"/>
            <w:vAlign w:val="center"/>
          </w:tcPr>
          <w:p w14:paraId="5F688FC4" w14:textId="77777777" w:rsidR="008564DD" w:rsidRPr="002D355E" w:rsidRDefault="008564DD" w:rsidP="00320647">
            <w:pPr>
              <w:rPr>
                <w:rStyle w:val="Hyperlink"/>
                <w:sz w:val="20"/>
                <w:szCs w:val="20"/>
              </w:rPr>
            </w:pPr>
            <w:r w:rsidRPr="002D355E">
              <w:rPr>
                <w:sz w:val="20"/>
                <w:szCs w:val="20"/>
              </w:rPr>
              <w:fldChar w:fldCharType="begin"/>
            </w:r>
            <w:r w:rsidRPr="002D355E">
              <w:rPr>
                <w:sz w:val="20"/>
                <w:szCs w:val="20"/>
              </w:rPr>
              <w:instrText>HYPERLINK "https://www.jobsandskills.gov.au/data/small-area-labour-markets"</w:instrText>
            </w:r>
            <w:r w:rsidRPr="002D355E">
              <w:rPr>
                <w:sz w:val="20"/>
                <w:szCs w:val="20"/>
              </w:rPr>
            </w:r>
            <w:r w:rsidRPr="002D355E">
              <w:rPr>
                <w:sz w:val="20"/>
                <w:szCs w:val="20"/>
              </w:rPr>
              <w:fldChar w:fldCharType="separate"/>
            </w:r>
            <w:r w:rsidRPr="002D355E">
              <w:rPr>
                <w:rStyle w:val="Hyperlink"/>
                <w:sz w:val="20"/>
                <w:szCs w:val="20"/>
              </w:rPr>
              <w:t>Small Area Labour Markets (SALM)</w:t>
            </w:r>
          </w:p>
          <w:p w14:paraId="496032C9" w14:textId="0E10A304" w:rsidR="008564DD" w:rsidRPr="002D355E" w:rsidRDefault="008564DD" w:rsidP="00320647">
            <w:pPr>
              <w:rPr>
                <w:sz w:val="20"/>
                <w:szCs w:val="20"/>
              </w:rPr>
            </w:pPr>
            <w:r w:rsidRPr="002D355E">
              <w:rPr>
                <w:sz w:val="20"/>
                <w:szCs w:val="20"/>
              </w:rPr>
              <w:fldChar w:fldCharType="end"/>
            </w:r>
            <w:r w:rsidRPr="002D355E">
              <w:rPr>
                <w:sz w:val="20"/>
                <w:szCs w:val="20"/>
              </w:rPr>
              <w:t>Estimates of unemployment and the unemployment rate at the Statistical Area Level 2 (SA2) and Local Government Area (LGA) level</w:t>
            </w:r>
            <w:r w:rsidR="00BF1248" w:rsidRPr="002D355E">
              <w:rPr>
                <w:sz w:val="20"/>
                <w:szCs w:val="20"/>
              </w:rPr>
              <w:t>.</w:t>
            </w:r>
          </w:p>
        </w:tc>
        <w:tc>
          <w:tcPr>
            <w:tcW w:w="3477" w:type="dxa"/>
            <w:vAlign w:val="center"/>
          </w:tcPr>
          <w:p w14:paraId="0A892808" w14:textId="77777777" w:rsidR="008564DD" w:rsidRPr="002D355E" w:rsidRDefault="008564DD" w:rsidP="00320647">
            <w:pPr>
              <w:rPr>
                <w:sz w:val="20"/>
                <w:szCs w:val="20"/>
              </w:rPr>
            </w:pPr>
            <w:r w:rsidRPr="002D355E">
              <w:rPr>
                <w:sz w:val="20"/>
                <w:szCs w:val="20"/>
              </w:rPr>
              <w:t>SALM data are released quarterly.</w:t>
            </w:r>
          </w:p>
        </w:tc>
      </w:tr>
      <w:tr w:rsidR="005A31CD" w:rsidRPr="002D355E" w14:paraId="6502D338" w14:textId="77777777">
        <w:trPr>
          <w:trHeight w:val="400"/>
        </w:trPr>
        <w:tc>
          <w:tcPr>
            <w:tcW w:w="5529" w:type="dxa"/>
            <w:vAlign w:val="center"/>
          </w:tcPr>
          <w:p w14:paraId="45220276" w14:textId="77777777" w:rsidR="005A31CD" w:rsidRPr="002D355E" w:rsidRDefault="005A31CD" w:rsidP="005A31CD">
            <w:pPr>
              <w:rPr>
                <w:sz w:val="20"/>
                <w:szCs w:val="20"/>
              </w:rPr>
            </w:pPr>
            <w:hyperlink r:id="rId37" w:history="1">
              <w:r w:rsidRPr="002D355E">
                <w:rPr>
                  <w:rStyle w:val="Hyperlink"/>
                  <w:sz w:val="20"/>
                  <w:szCs w:val="20"/>
                </w:rPr>
                <w:t>Jobs and Skills Atlas</w:t>
              </w:r>
            </w:hyperlink>
          </w:p>
          <w:p w14:paraId="1CFC67E4" w14:textId="44C54D1F" w:rsidR="005A31CD" w:rsidRPr="002D355E" w:rsidRDefault="005A31CD" w:rsidP="005A31CD">
            <w:pPr>
              <w:rPr>
                <w:sz w:val="20"/>
                <w:szCs w:val="20"/>
              </w:rPr>
            </w:pPr>
            <w:r w:rsidRPr="002D355E">
              <w:rPr>
                <w:sz w:val="20"/>
                <w:szCs w:val="20"/>
              </w:rPr>
              <w:t>Provides an overview of the labour market at national, state and regional level by occupations, skills and industries.</w:t>
            </w:r>
          </w:p>
        </w:tc>
        <w:tc>
          <w:tcPr>
            <w:tcW w:w="3477" w:type="dxa"/>
            <w:vAlign w:val="center"/>
          </w:tcPr>
          <w:p w14:paraId="1A2A54C5" w14:textId="602C7973" w:rsidR="005A31CD" w:rsidRPr="002D355E" w:rsidRDefault="005A31CD" w:rsidP="005A31CD">
            <w:pPr>
              <w:rPr>
                <w:sz w:val="20"/>
                <w:szCs w:val="20"/>
              </w:rPr>
            </w:pPr>
            <w:r w:rsidRPr="002D355E">
              <w:rPr>
                <w:sz w:val="20"/>
                <w:szCs w:val="20"/>
              </w:rPr>
              <w:t>Atlas will be updated with the data for the previous month, by the last Friday of every month.</w:t>
            </w:r>
          </w:p>
        </w:tc>
      </w:tr>
      <w:tr w:rsidR="005A31CD" w:rsidRPr="002D355E" w14:paraId="0A7916E8" w14:textId="77777777">
        <w:trPr>
          <w:cnfStyle w:val="000000010000" w:firstRow="0" w:lastRow="0" w:firstColumn="0" w:lastColumn="0" w:oddVBand="0" w:evenVBand="0" w:oddHBand="0" w:evenHBand="1" w:firstRowFirstColumn="0" w:firstRowLastColumn="0" w:lastRowFirstColumn="0" w:lastRowLastColumn="0"/>
          <w:trHeight w:val="400"/>
        </w:trPr>
        <w:tc>
          <w:tcPr>
            <w:tcW w:w="5529" w:type="dxa"/>
            <w:vAlign w:val="center"/>
          </w:tcPr>
          <w:p w14:paraId="253C0CCB" w14:textId="77777777" w:rsidR="005A31CD" w:rsidRPr="002D355E" w:rsidRDefault="005A31CD" w:rsidP="005A31CD">
            <w:pPr>
              <w:rPr>
                <w:sz w:val="20"/>
                <w:szCs w:val="20"/>
              </w:rPr>
            </w:pPr>
            <w:hyperlink r:id="rId38" w:history="1">
              <w:r w:rsidRPr="002D355E">
                <w:rPr>
                  <w:rStyle w:val="Hyperlink"/>
                  <w:sz w:val="20"/>
                  <w:szCs w:val="20"/>
                </w:rPr>
                <w:t>Employment Region Dashboards and Profile</w:t>
              </w:r>
            </w:hyperlink>
          </w:p>
          <w:p w14:paraId="6E2B8925" w14:textId="0BC37D53" w:rsidR="005A31CD" w:rsidRPr="002D355E" w:rsidRDefault="005A31CD" w:rsidP="005A31CD">
            <w:pPr>
              <w:rPr>
                <w:sz w:val="20"/>
                <w:szCs w:val="20"/>
              </w:rPr>
            </w:pPr>
            <w:r w:rsidRPr="002D355E">
              <w:rPr>
                <w:sz w:val="20"/>
                <w:szCs w:val="20"/>
              </w:rPr>
              <w:t>Monthly Labour Market Dashboards, Recruitment Trends and Employer Needs Profiles, and Industry Profiles.</w:t>
            </w:r>
          </w:p>
        </w:tc>
        <w:tc>
          <w:tcPr>
            <w:tcW w:w="3477" w:type="dxa"/>
            <w:vAlign w:val="center"/>
          </w:tcPr>
          <w:p w14:paraId="173940D6" w14:textId="13122982" w:rsidR="005A31CD" w:rsidRPr="002D355E" w:rsidRDefault="005A31CD" w:rsidP="005A31CD">
            <w:pPr>
              <w:rPr>
                <w:sz w:val="20"/>
                <w:szCs w:val="20"/>
              </w:rPr>
            </w:pPr>
          </w:p>
        </w:tc>
      </w:tr>
      <w:tr w:rsidR="005A31CD" w:rsidRPr="002D355E" w14:paraId="7D81A47F" w14:textId="77777777">
        <w:trPr>
          <w:trHeight w:val="400"/>
        </w:trPr>
        <w:tc>
          <w:tcPr>
            <w:tcW w:w="5529" w:type="dxa"/>
            <w:vAlign w:val="center"/>
          </w:tcPr>
          <w:p w14:paraId="65AB87C1" w14:textId="77777777" w:rsidR="005A31CD" w:rsidRPr="002D355E" w:rsidRDefault="005A31CD" w:rsidP="005A31CD">
            <w:pPr>
              <w:rPr>
                <w:sz w:val="20"/>
                <w:szCs w:val="20"/>
              </w:rPr>
            </w:pPr>
            <w:hyperlink r:id="rId39" w:history="1">
              <w:r w:rsidRPr="002D355E">
                <w:rPr>
                  <w:rStyle w:val="Hyperlink"/>
                  <w:sz w:val="20"/>
                  <w:szCs w:val="20"/>
                </w:rPr>
                <w:t>Nowcast of Employment Region and Occupation (NERO)</w:t>
              </w:r>
            </w:hyperlink>
          </w:p>
          <w:p w14:paraId="0D659C0B" w14:textId="0083F692" w:rsidR="005A31CD" w:rsidRPr="002D355E" w:rsidRDefault="005A31CD" w:rsidP="005A31CD">
            <w:pPr>
              <w:rPr>
                <w:sz w:val="20"/>
                <w:szCs w:val="20"/>
              </w:rPr>
            </w:pPr>
            <w:r w:rsidRPr="002D355E">
              <w:rPr>
                <w:sz w:val="20"/>
                <w:szCs w:val="20"/>
              </w:rPr>
              <w:t>Experimental dataset providing information on employment in 355 occupations across 88 regions in Australia.</w:t>
            </w:r>
          </w:p>
        </w:tc>
        <w:tc>
          <w:tcPr>
            <w:tcW w:w="3477" w:type="dxa"/>
            <w:vAlign w:val="center"/>
          </w:tcPr>
          <w:p w14:paraId="0E20058D" w14:textId="6196F164" w:rsidR="005A31CD" w:rsidRPr="002D355E" w:rsidRDefault="005A31CD" w:rsidP="005A31CD">
            <w:pPr>
              <w:rPr>
                <w:sz w:val="20"/>
                <w:szCs w:val="20"/>
              </w:rPr>
            </w:pPr>
            <w:r w:rsidRPr="002D355E">
              <w:rPr>
                <w:sz w:val="20"/>
                <w:szCs w:val="20"/>
              </w:rPr>
              <w:t>NERO data will be updated monthly.</w:t>
            </w:r>
          </w:p>
        </w:tc>
      </w:tr>
      <w:tr w:rsidR="005A31CD" w:rsidRPr="00B93C08" w14:paraId="0B39D896" w14:textId="77777777" w:rsidTr="00C96860">
        <w:trPr>
          <w:cnfStyle w:val="000000010000" w:firstRow="0" w:lastRow="0" w:firstColumn="0" w:lastColumn="0" w:oddVBand="0" w:evenVBand="0" w:oddHBand="0" w:evenHBand="1" w:firstRowFirstColumn="0" w:firstRowLastColumn="0" w:lastRowFirstColumn="0" w:lastRowLastColumn="0"/>
          <w:trHeight w:val="400"/>
        </w:trPr>
        <w:tc>
          <w:tcPr>
            <w:tcW w:w="5529" w:type="dxa"/>
            <w:tcBorders>
              <w:bottom w:val="nil"/>
            </w:tcBorders>
            <w:vAlign w:val="center"/>
          </w:tcPr>
          <w:p w14:paraId="76B76590" w14:textId="77777777" w:rsidR="005A31CD" w:rsidRPr="002D355E" w:rsidRDefault="005A31CD" w:rsidP="005A31CD">
            <w:pPr>
              <w:rPr>
                <w:color w:val="013D73" w:themeColor="accent3" w:themeTint="E6"/>
                <w:sz w:val="20"/>
                <w:szCs w:val="20"/>
                <w:u w:val="single"/>
              </w:rPr>
            </w:pPr>
            <w:r w:rsidRPr="002D355E">
              <w:rPr>
                <w:color w:val="013D73" w:themeColor="accent3" w:themeTint="E6"/>
                <w:sz w:val="20"/>
                <w:szCs w:val="20"/>
                <w:u w:val="single"/>
              </w:rPr>
              <w:t>International Labour Market Update</w:t>
            </w:r>
          </w:p>
          <w:p w14:paraId="531B2F51" w14:textId="74C0419E" w:rsidR="005A31CD" w:rsidRPr="002D355E" w:rsidRDefault="005A31CD" w:rsidP="005A31CD">
            <w:pPr>
              <w:rPr>
                <w:sz w:val="20"/>
                <w:szCs w:val="20"/>
              </w:rPr>
            </w:pPr>
            <w:r w:rsidRPr="002D355E">
              <w:rPr>
                <w:sz w:val="20"/>
                <w:szCs w:val="20"/>
              </w:rPr>
              <w:t>Provides key labour market data for Australia and selected overseas countries and country groups.</w:t>
            </w:r>
          </w:p>
        </w:tc>
        <w:tc>
          <w:tcPr>
            <w:tcW w:w="3477" w:type="dxa"/>
            <w:tcBorders>
              <w:bottom w:val="nil"/>
            </w:tcBorders>
            <w:vAlign w:val="center"/>
          </w:tcPr>
          <w:p w14:paraId="54F30CAB" w14:textId="772B32D9" w:rsidR="005A31CD" w:rsidRPr="00B93C08" w:rsidRDefault="005A31CD" w:rsidP="005A31CD">
            <w:pPr>
              <w:rPr>
                <w:sz w:val="20"/>
                <w:szCs w:val="20"/>
              </w:rPr>
            </w:pPr>
            <w:r w:rsidRPr="00361329">
              <w:rPr>
                <w:sz w:val="20"/>
                <w:szCs w:val="20"/>
              </w:rPr>
              <w:t xml:space="preserve">The </w:t>
            </w:r>
            <w:hyperlink r:id="rId40" w:history="1">
              <w:r w:rsidR="00361329" w:rsidRPr="00361329">
                <w:rPr>
                  <w:rStyle w:val="Hyperlink"/>
                  <w:sz w:val="20"/>
                  <w:szCs w:val="20"/>
                </w:rPr>
                <w:t>August</w:t>
              </w:r>
              <w:r w:rsidR="00FE3D1D" w:rsidRPr="00361329">
                <w:rPr>
                  <w:rStyle w:val="Hyperlink"/>
                  <w:sz w:val="20"/>
                  <w:szCs w:val="20"/>
                </w:rPr>
                <w:t xml:space="preserve"> 2024 report</w:t>
              </w:r>
            </w:hyperlink>
            <w:r w:rsidRPr="00361329">
              <w:rPr>
                <w:sz w:val="20"/>
                <w:szCs w:val="20"/>
              </w:rPr>
              <w:t xml:space="preserve"> is</w:t>
            </w:r>
            <w:r w:rsidRPr="002D355E">
              <w:rPr>
                <w:sz w:val="20"/>
                <w:szCs w:val="20"/>
              </w:rPr>
              <w:t xml:space="preserve"> currently available.</w:t>
            </w:r>
          </w:p>
        </w:tc>
      </w:tr>
      <w:tr w:rsidR="008564DD" w:rsidRPr="00B93C08" w14:paraId="415F6873" w14:textId="77777777" w:rsidTr="00C96860">
        <w:trPr>
          <w:trHeight w:val="400"/>
        </w:trPr>
        <w:tc>
          <w:tcPr>
            <w:tcW w:w="5529" w:type="dxa"/>
            <w:tcBorders>
              <w:bottom w:val="nil"/>
            </w:tcBorders>
            <w:vAlign w:val="center"/>
          </w:tcPr>
          <w:p w14:paraId="5D5EA332" w14:textId="03B3F1DB" w:rsidR="008564DD" w:rsidRPr="00B93C08" w:rsidRDefault="008564DD" w:rsidP="00320647">
            <w:pPr>
              <w:rPr>
                <w:sz w:val="20"/>
                <w:szCs w:val="20"/>
              </w:rPr>
            </w:pPr>
          </w:p>
        </w:tc>
        <w:tc>
          <w:tcPr>
            <w:tcW w:w="3477" w:type="dxa"/>
            <w:tcBorders>
              <w:bottom w:val="nil"/>
            </w:tcBorders>
            <w:vAlign w:val="center"/>
          </w:tcPr>
          <w:p w14:paraId="12A79081" w14:textId="4B0BFDB4" w:rsidR="008564DD" w:rsidRPr="00B93C08" w:rsidRDefault="008564DD" w:rsidP="00320647">
            <w:pPr>
              <w:rPr>
                <w:sz w:val="20"/>
                <w:szCs w:val="20"/>
              </w:rPr>
            </w:pPr>
          </w:p>
        </w:tc>
      </w:tr>
    </w:tbl>
    <w:p w14:paraId="2832C9E3" w14:textId="62678F58" w:rsidR="00B11937" w:rsidRPr="00B11937" w:rsidRDefault="00B11937" w:rsidP="008F2021">
      <w:pPr>
        <w:spacing w:after="160" w:line="259" w:lineRule="auto"/>
      </w:pPr>
      <w:bookmarkStart w:id="51" w:name="_Appendix"/>
      <w:bookmarkStart w:id="52" w:name="_Appendix_A"/>
      <w:bookmarkEnd w:id="50"/>
      <w:bookmarkEnd w:id="51"/>
      <w:bookmarkEnd w:id="52"/>
    </w:p>
    <w:sectPr w:rsidR="00B11937" w:rsidRPr="00B11937" w:rsidSect="00685DA5">
      <w:headerReference w:type="default" r:id="rId41"/>
      <w:headerReference w:type="first" r:id="rId42"/>
      <w:footerReference w:type="first" r:id="rId43"/>
      <w:pgSz w:w="11906" w:h="16838"/>
      <w:pgMar w:top="1276" w:right="1440" w:bottom="1134" w:left="1440" w:header="0" w:footer="53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F8B09" w14:textId="77777777" w:rsidR="00A969A6" w:rsidRPr="00B93C08" w:rsidRDefault="00A969A6" w:rsidP="008C0056">
      <w:r w:rsidRPr="00B93C08">
        <w:separator/>
      </w:r>
    </w:p>
  </w:endnote>
  <w:endnote w:type="continuationSeparator" w:id="0">
    <w:p w14:paraId="3505B2F6" w14:textId="77777777" w:rsidR="00A969A6" w:rsidRPr="00B93C08" w:rsidRDefault="00A969A6" w:rsidP="008C0056">
      <w:r w:rsidRPr="00B93C08">
        <w:continuationSeparator/>
      </w:r>
    </w:p>
  </w:endnote>
  <w:endnote w:type="continuationNotice" w:id="1">
    <w:p w14:paraId="0025ABF5" w14:textId="77777777" w:rsidR="00A969A6" w:rsidRPr="00B93C08" w:rsidRDefault="00A969A6"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962066"/>
      <w:docPartObj>
        <w:docPartGallery w:val="Page Numbers (Bottom of Page)"/>
        <w:docPartUnique/>
      </w:docPartObj>
    </w:sdtPr>
    <w:sdtEndPr>
      <w:rPr>
        <w:noProof/>
      </w:rPr>
    </w:sdtEndPr>
    <w:sdtContent>
      <w:p w14:paraId="1B3EAEA9" w14:textId="23D7C35A" w:rsidR="00685DA5" w:rsidRDefault="00685DA5" w:rsidP="00685DA5">
        <w:pPr>
          <w:pStyle w:val="Footer"/>
          <w:jc w:val="right"/>
          <w:rPr>
            <w:noProof/>
          </w:rPr>
        </w:pPr>
        <w:r w:rsidRPr="00685DA5">
          <w:t>Jobs and Skills Australia – Labour Market</w:t>
        </w:r>
        <w:r>
          <w:t xml:space="preserve"> Update </w:t>
        </w:r>
        <w:r>
          <w:tab/>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rsidRPr="00B93C08" w14:paraId="20DF6BD7" w14:textId="77777777" w:rsidTr="576AB269">
      <w:trPr>
        <w:trHeight w:val="300"/>
      </w:trPr>
      <w:tc>
        <w:tcPr>
          <w:tcW w:w="3005" w:type="dxa"/>
        </w:tcPr>
        <w:p w14:paraId="023A381E" w14:textId="2E603919" w:rsidR="576AB269" w:rsidRPr="00B93C08" w:rsidRDefault="576AB269" w:rsidP="576AB269">
          <w:pPr>
            <w:pStyle w:val="Header"/>
            <w:ind w:left="-115"/>
          </w:pPr>
        </w:p>
      </w:tc>
      <w:tc>
        <w:tcPr>
          <w:tcW w:w="3005" w:type="dxa"/>
        </w:tcPr>
        <w:p w14:paraId="4AB0E096" w14:textId="1E1D98F6" w:rsidR="576AB269" w:rsidRPr="00B93C08" w:rsidRDefault="576AB269" w:rsidP="576AB269">
          <w:pPr>
            <w:pStyle w:val="Header"/>
            <w:jc w:val="center"/>
          </w:pPr>
        </w:p>
      </w:tc>
      <w:tc>
        <w:tcPr>
          <w:tcW w:w="3005" w:type="dxa"/>
        </w:tcPr>
        <w:p w14:paraId="2548FA19" w14:textId="4BA48CB4" w:rsidR="576AB269" w:rsidRPr="00B93C08" w:rsidRDefault="576AB269" w:rsidP="576AB269">
          <w:pPr>
            <w:pStyle w:val="Header"/>
            <w:ind w:right="-115"/>
            <w:jc w:val="right"/>
          </w:pPr>
        </w:p>
      </w:tc>
    </w:tr>
  </w:tbl>
  <w:p w14:paraId="486D0428" w14:textId="4AFBFF1C" w:rsidR="002042EF" w:rsidRPr="00B93C08" w:rsidRDefault="00204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C59F" w14:textId="4B5722AD" w:rsidR="00FF439D" w:rsidRPr="00B93C08" w:rsidRDefault="00685DA5">
    <w:pPr>
      <w:pStyle w:val="Footer"/>
    </w:pPr>
    <w:r w:rsidRPr="00685DA5">
      <w:t>Jobs and Skills Australia – Labour Market Update</w:t>
    </w:r>
    <w:r>
      <w:ptab w:relativeTo="margin" w:alignment="center" w:leader="none"/>
    </w:r>
    <w:r>
      <w:ptab w:relativeTo="margin" w:alignment="right" w:leader="none"/>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B72AC" w14:textId="613FBA83" w:rsidR="00685DA5" w:rsidRPr="00B93C08" w:rsidRDefault="00685DA5">
    <w:pPr>
      <w:pStyle w:val="Footer"/>
    </w:pPr>
    <w:r w:rsidRPr="00685DA5">
      <w:t>Jobs and Skills Australia – Labour Market Update</w:t>
    </w:r>
    <w:r>
      <w:ptab w:relativeTo="margin" w:alignment="center" w:leader="none"/>
    </w:r>
    <w:r>
      <w:ptab w:relativeTo="margin" w:alignment="right" w:leader="none"/>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A7BE" w14:textId="168FEEB0" w:rsidR="00685DA5" w:rsidRPr="00B93C08" w:rsidRDefault="00685DA5">
    <w:pPr>
      <w:pStyle w:val="Footer"/>
    </w:pPr>
    <w:r w:rsidRPr="00685DA5">
      <w:t>Jobs and Skills Australia – Labour Market Update</w:t>
    </w:r>
    <w:r>
      <w:ptab w:relativeTo="margin" w:alignment="center" w:leader="none"/>
    </w:r>
    <w:r>
      <w:ptab w:relativeTo="margin" w:alignment="right" w:leader="none"/>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4BD73" w14:textId="77777777" w:rsidR="00A969A6" w:rsidRPr="00B93C08" w:rsidRDefault="00A969A6" w:rsidP="008C0056"/>
  </w:footnote>
  <w:footnote w:type="continuationSeparator" w:id="0">
    <w:p w14:paraId="7608376A" w14:textId="77777777" w:rsidR="00A969A6" w:rsidRPr="00B93C08" w:rsidRDefault="00A969A6" w:rsidP="008C0056">
      <w:r w:rsidRPr="00B93C08">
        <w:continuationSeparator/>
      </w:r>
    </w:p>
  </w:footnote>
  <w:footnote w:type="continuationNotice" w:id="1">
    <w:p w14:paraId="04A4FC6B" w14:textId="77777777" w:rsidR="00A969A6" w:rsidRPr="00B93C08" w:rsidRDefault="00A969A6" w:rsidP="008C0056"/>
  </w:footnote>
  <w:footnote w:id="2">
    <w:p w14:paraId="0B0D99FF" w14:textId="780BFFA4" w:rsidR="000704FB" w:rsidRPr="002A6BE4" w:rsidRDefault="000704FB">
      <w:pPr>
        <w:pStyle w:val="FootnoteText"/>
        <w:rPr>
          <w:sz w:val="16"/>
          <w:szCs w:val="16"/>
        </w:rPr>
      </w:pPr>
      <w:r w:rsidRPr="002A6BE4">
        <w:rPr>
          <w:rStyle w:val="FootnoteReference"/>
          <w:sz w:val="16"/>
          <w:szCs w:val="16"/>
        </w:rPr>
        <w:footnoteRef/>
      </w:r>
      <w:r w:rsidRPr="002A6BE4">
        <w:rPr>
          <w:sz w:val="16"/>
          <w:szCs w:val="16"/>
        </w:rPr>
        <w:t xml:space="preserve"> </w:t>
      </w:r>
      <w:r w:rsidRPr="002A6BE4">
        <w:rPr>
          <w:rFonts w:eastAsiaTheme="majorEastAsia" w:cs="Arial"/>
          <w:sz w:val="16"/>
          <w:szCs w:val="16"/>
        </w:rPr>
        <w:t xml:space="preserve">The industry, occupation and skill level employment data in the analysis below are sourced from ABS, Labour Force, Australia, Detailed, </w:t>
      </w:r>
      <w:r w:rsidR="00FD77CD">
        <w:rPr>
          <w:rFonts w:eastAsiaTheme="majorEastAsia" w:cs="Arial"/>
          <w:sz w:val="16"/>
          <w:szCs w:val="16"/>
        </w:rPr>
        <w:t>August</w:t>
      </w:r>
      <w:r w:rsidR="00FD77CD" w:rsidRPr="002A6BE4">
        <w:rPr>
          <w:rFonts w:eastAsiaTheme="majorEastAsia" w:cs="Arial"/>
          <w:sz w:val="16"/>
          <w:szCs w:val="16"/>
        </w:rPr>
        <w:t xml:space="preserve"> </w:t>
      </w:r>
      <w:r w:rsidRPr="002A6BE4">
        <w:rPr>
          <w:rFonts w:eastAsiaTheme="majorEastAsia" w:cs="Arial"/>
          <w:sz w:val="16"/>
          <w:szCs w:val="16"/>
        </w:rPr>
        <w:t xml:space="preserve">2024 and trended by </w:t>
      </w:r>
      <w:r w:rsidR="009F37C4">
        <w:rPr>
          <w:rFonts w:eastAsiaTheme="majorEastAsia" w:cs="Arial"/>
          <w:sz w:val="16"/>
          <w:szCs w:val="16"/>
        </w:rPr>
        <w:t>JSA</w:t>
      </w:r>
      <w:r w:rsidRPr="002A6BE4">
        <w:rPr>
          <w:rFonts w:eastAsiaTheme="majorEastAsia" w:cs="Arial"/>
          <w:sz w:val="16"/>
          <w:szCs w:val="16"/>
        </w:rPr>
        <w:t xml:space="preserve">, while total employment data </w:t>
      </w:r>
      <w:r w:rsidR="00FD77CD">
        <w:rPr>
          <w:rFonts w:eastAsiaTheme="majorEastAsia" w:cs="Arial"/>
          <w:sz w:val="16"/>
          <w:szCs w:val="16"/>
        </w:rPr>
        <w:t>are</w:t>
      </w:r>
      <w:r w:rsidRPr="002A6BE4">
        <w:rPr>
          <w:rFonts w:eastAsiaTheme="majorEastAsia" w:cs="Arial"/>
          <w:sz w:val="16"/>
          <w:szCs w:val="16"/>
        </w:rPr>
        <w:t xml:space="preserve"> trended by the ABS.</w:t>
      </w:r>
    </w:p>
  </w:footnote>
  <w:footnote w:id="3">
    <w:p w14:paraId="6576990A" w14:textId="2696DF26" w:rsidR="00330F63" w:rsidRPr="00B93C08" w:rsidRDefault="00330F63" w:rsidP="00330F63">
      <w:pPr>
        <w:pStyle w:val="FootnoteText"/>
        <w:rPr>
          <w:sz w:val="18"/>
          <w:szCs w:val="18"/>
        </w:rPr>
      </w:pPr>
      <w:r w:rsidRPr="009F37C4">
        <w:rPr>
          <w:rStyle w:val="FootnoteReference"/>
          <w:sz w:val="16"/>
          <w:szCs w:val="16"/>
        </w:rPr>
        <w:footnoteRef/>
      </w:r>
      <w:r w:rsidRPr="009F37C4">
        <w:rPr>
          <w:sz w:val="16"/>
          <w:szCs w:val="16"/>
        </w:rPr>
        <w:t xml:space="preserve"> </w:t>
      </w:r>
      <w:r w:rsidRPr="009F37C4">
        <w:rPr>
          <w:rFonts w:cs="Arial"/>
          <w:sz w:val="16"/>
          <w:szCs w:val="16"/>
        </w:rPr>
        <w:t>Occupation group data are trended by JSA. Total employment data are trended by the ABS. JSA and ABS use distinct trending methodologies, therefore occupation group data do not sum to total employment figures.</w:t>
      </w:r>
    </w:p>
  </w:footnote>
  <w:footnote w:id="4">
    <w:p w14:paraId="1938C8DF" w14:textId="77777777" w:rsidR="00FC6DA6" w:rsidRPr="00B93C08" w:rsidRDefault="00FC6DA6" w:rsidP="00FC6DA6">
      <w:pPr>
        <w:pStyle w:val="FootnoteText"/>
        <w:rPr>
          <w:sz w:val="18"/>
          <w:szCs w:val="18"/>
        </w:rPr>
      </w:pPr>
      <w:r w:rsidRPr="00BE066B">
        <w:rPr>
          <w:rStyle w:val="FootnoteReference"/>
          <w:sz w:val="16"/>
          <w:szCs w:val="16"/>
        </w:rPr>
        <w:footnoteRef/>
      </w:r>
      <w:r w:rsidRPr="00BE066B">
        <w:rPr>
          <w:sz w:val="16"/>
          <w:szCs w:val="16"/>
        </w:rPr>
        <w:t xml:space="preserve"> </w:t>
      </w:r>
      <w:r w:rsidRPr="00BE066B">
        <w:rPr>
          <w:rFonts w:cs="Arial"/>
          <w:sz w:val="16"/>
          <w:szCs w:val="16"/>
        </w:rPr>
        <w:t>Skill Level data are trended by Jobs and Skills Australia. Total employment data are trended by the ABS. Jobs and Skills Australia and ABS use different trending methodologies, and Skill Level data do not sum to total employment figures.</w:t>
      </w:r>
    </w:p>
  </w:footnote>
  <w:footnote w:id="5">
    <w:p w14:paraId="0D3E5820" w14:textId="77777777" w:rsidR="00BF03DE" w:rsidRPr="002E05DA" w:rsidRDefault="00BF03DE" w:rsidP="00BF03DE">
      <w:pPr>
        <w:pStyle w:val="FootnoteText"/>
        <w:rPr>
          <w:sz w:val="16"/>
          <w:szCs w:val="16"/>
        </w:rPr>
      </w:pPr>
      <w:r w:rsidRPr="002E05DA">
        <w:rPr>
          <w:rStyle w:val="FootnoteReference"/>
          <w:sz w:val="16"/>
          <w:szCs w:val="16"/>
        </w:rPr>
        <w:footnoteRef/>
      </w:r>
      <w:r w:rsidRPr="002E05DA">
        <w:rPr>
          <w:sz w:val="16"/>
          <w:szCs w:val="16"/>
        </w:rPr>
        <w:t xml:space="preserve"> The suitability gap is the difference between the number of qualified applicants per vacancy and suitable applicants per vacancy, as a percentage of the number of qualified applicants per vacancy. </w:t>
      </w:r>
    </w:p>
  </w:footnote>
  <w:footnote w:id="6">
    <w:p w14:paraId="1B3A03B1" w14:textId="77777777" w:rsidR="004F1CC9" w:rsidRDefault="004F1CC9" w:rsidP="004F1CC9">
      <w:r w:rsidRPr="00BF2061">
        <w:rPr>
          <w:rStyle w:val="FootnoteReference"/>
          <w:color w:val="000000"/>
          <w:sz w:val="16"/>
          <w:szCs w:val="16"/>
        </w:rPr>
        <w:footnoteRef/>
      </w:r>
      <w:r>
        <w:t xml:space="preserve"> </w:t>
      </w:r>
      <w:r w:rsidRPr="00BF2061">
        <w:rPr>
          <w:color w:val="000000"/>
          <w:sz w:val="16"/>
          <w:szCs w:val="16"/>
        </w:rPr>
        <w:t>Skill Level 3 occupations are generally those with Vocational Education and Training as the primary pathway to the labour market. These occupations typically require a Certificate III/IV.</w:t>
      </w:r>
      <w:r>
        <w:t xml:space="preserve"> </w:t>
      </w:r>
    </w:p>
  </w:footnote>
  <w:footnote w:id="7">
    <w:p w14:paraId="79043ACB" w14:textId="7F5B2039" w:rsidR="00361329" w:rsidRPr="00361329" w:rsidRDefault="00361329">
      <w:pPr>
        <w:pStyle w:val="FootnoteText"/>
        <w:rPr>
          <w:sz w:val="16"/>
          <w:szCs w:val="16"/>
        </w:rPr>
      </w:pPr>
      <w:r w:rsidRPr="00361329">
        <w:rPr>
          <w:rStyle w:val="FootnoteReference"/>
          <w:sz w:val="16"/>
          <w:szCs w:val="16"/>
        </w:rPr>
        <w:footnoteRef/>
      </w:r>
      <w:r w:rsidRPr="00361329">
        <w:rPr>
          <w:sz w:val="16"/>
          <w:szCs w:val="16"/>
        </w:rPr>
        <w:t xml:space="preserve"> The prominence of specialised online job boards for these occupations, not captured in the </w:t>
      </w:r>
      <w:r w:rsidR="00894218">
        <w:rPr>
          <w:sz w:val="16"/>
          <w:szCs w:val="16"/>
        </w:rPr>
        <w:t>IVI</w:t>
      </w:r>
      <w:r w:rsidRPr="00361329">
        <w:rPr>
          <w:sz w:val="16"/>
          <w:szCs w:val="16"/>
        </w:rPr>
        <w:t xml:space="preserve">, limit visibility of recruitment activity for these occupations. For example, </w:t>
      </w:r>
      <w:hyperlink r:id="rId1" w:history="1">
        <w:r w:rsidRPr="00361329">
          <w:rPr>
            <w:rStyle w:val="Hyperlink"/>
            <w:sz w:val="16"/>
            <w:szCs w:val="16"/>
          </w:rPr>
          <w:t>Kookaburra Veterinary Employment</w:t>
        </w:r>
      </w:hyperlink>
      <w:r w:rsidRPr="00361329">
        <w:rPr>
          <w:sz w:val="16"/>
          <w:szCs w:val="16"/>
        </w:rPr>
        <w:t>.</w:t>
      </w:r>
    </w:p>
  </w:footnote>
  <w:footnote w:id="8">
    <w:p w14:paraId="1F4D3003" w14:textId="500B0371" w:rsidR="00361329" w:rsidRPr="00361329" w:rsidRDefault="00361329">
      <w:pPr>
        <w:pStyle w:val="FootnoteText"/>
        <w:rPr>
          <w:sz w:val="16"/>
          <w:szCs w:val="16"/>
        </w:rPr>
      </w:pPr>
      <w:r w:rsidRPr="00361329">
        <w:rPr>
          <w:rStyle w:val="FootnoteReference"/>
          <w:sz w:val="16"/>
          <w:szCs w:val="16"/>
        </w:rPr>
        <w:footnoteRef/>
      </w:r>
      <w:r w:rsidRPr="00361329">
        <w:rPr>
          <w:sz w:val="16"/>
          <w:szCs w:val="16"/>
        </w:rPr>
        <w:t xml:space="preserve"> W Nathan, ‘</w:t>
      </w:r>
      <w:hyperlink r:id="rId2" w:history="1">
        <w:r w:rsidRPr="00361329">
          <w:rPr>
            <w:rStyle w:val="Hyperlink"/>
            <w:sz w:val="16"/>
            <w:szCs w:val="16"/>
          </w:rPr>
          <w:t>Update on the Workplace Staff Shortage</w:t>
        </w:r>
      </w:hyperlink>
      <w:r w:rsidRPr="00361329">
        <w:rPr>
          <w:sz w:val="16"/>
          <w:szCs w:val="16"/>
          <w:u w:val="single"/>
        </w:rPr>
        <w:t xml:space="preserve"> – May 2023</w:t>
      </w:r>
      <w:r w:rsidRPr="00361329">
        <w:rPr>
          <w:sz w:val="16"/>
          <w:szCs w:val="16"/>
        </w:rPr>
        <w:t>’, Kookaburra Veterinary Employment, May 2023.</w:t>
      </w:r>
    </w:p>
  </w:footnote>
  <w:footnote w:id="9">
    <w:p w14:paraId="41EA8E7F" w14:textId="3C273451" w:rsidR="003F3BEB" w:rsidRPr="00361329" w:rsidRDefault="003F3BEB">
      <w:pPr>
        <w:pStyle w:val="FootnoteText"/>
        <w:rPr>
          <w:sz w:val="16"/>
          <w:szCs w:val="16"/>
        </w:rPr>
      </w:pPr>
      <w:r w:rsidRPr="00361329">
        <w:rPr>
          <w:rStyle w:val="FootnoteReference"/>
          <w:sz w:val="16"/>
          <w:szCs w:val="16"/>
        </w:rPr>
        <w:footnoteRef/>
      </w:r>
      <w:r w:rsidRPr="00361329">
        <w:rPr>
          <w:sz w:val="16"/>
          <w:szCs w:val="16"/>
        </w:rPr>
        <w:t xml:space="preserve"> JSA, ‘</w:t>
      </w:r>
      <w:hyperlink r:id="rId3" w:history="1">
        <w:r w:rsidRPr="00361329">
          <w:rPr>
            <w:rStyle w:val="Hyperlink"/>
            <w:sz w:val="16"/>
            <w:szCs w:val="16"/>
          </w:rPr>
          <w:t>Skill Priority List’,</w:t>
        </w:r>
      </w:hyperlink>
      <w:r w:rsidRPr="00361329">
        <w:rPr>
          <w:sz w:val="16"/>
          <w:szCs w:val="16"/>
        </w:rPr>
        <w:t xml:space="preserve"> 2023.</w:t>
      </w:r>
    </w:p>
  </w:footnote>
  <w:footnote w:id="10">
    <w:p w14:paraId="2DFAB310" w14:textId="132F68A9" w:rsidR="003F3BEB" w:rsidRPr="00361329" w:rsidRDefault="003F3BEB">
      <w:pPr>
        <w:pStyle w:val="FootnoteText"/>
        <w:rPr>
          <w:sz w:val="16"/>
          <w:szCs w:val="16"/>
        </w:rPr>
      </w:pPr>
      <w:r w:rsidRPr="00361329">
        <w:rPr>
          <w:rStyle w:val="FootnoteReference"/>
          <w:sz w:val="16"/>
          <w:szCs w:val="16"/>
        </w:rPr>
        <w:footnoteRef/>
      </w:r>
      <w:r w:rsidRPr="00361329">
        <w:rPr>
          <w:sz w:val="16"/>
          <w:szCs w:val="16"/>
        </w:rPr>
        <w:t xml:space="preserve"> Department of Home Affairs</w:t>
      </w:r>
      <w:hyperlink r:id="rId4" w:history="1">
        <w:r w:rsidRPr="00361329">
          <w:rPr>
            <w:rStyle w:val="Hyperlink"/>
            <w:sz w:val="16"/>
            <w:szCs w:val="16"/>
          </w:rPr>
          <w:t>, ‘Temporary Work (skilled) visas granted’</w:t>
        </w:r>
      </w:hyperlink>
      <w:r w:rsidRPr="00361329">
        <w:rPr>
          <w:sz w:val="16"/>
          <w:szCs w:val="16"/>
        </w:rPr>
        <w:t>, July 2024.</w:t>
      </w:r>
    </w:p>
  </w:footnote>
  <w:footnote w:id="11">
    <w:p w14:paraId="27DBB68F" w14:textId="3AA8DD6F" w:rsidR="00BF308B" w:rsidRDefault="00BF308B">
      <w:pPr>
        <w:pStyle w:val="FootnoteText"/>
      </w:pPr>
      <w:r w:rsidRPr="00361329">
        <w:rPr>
          <w:rStyle w:val="FootnoteReference"/>
          <w:sz w:val="16"/>
          <w:szCs w:val="16"/>
        </w:rPr>
        <w:footnoteRef/>
      </w:r>
      <w:r w:rsidRPr="00361329">
        <w:rPr>
          <w:sz w:val="16"/>
          <w:szCs w:val="16"/>
        </w:rPr>
        <w:t xml:space="preserve"> </w:t>
      </w:r>
      <w:r w:rsidRPr="00361329">
        <w:rPr>
          <w:sz w:val="16"/>
          <w:szCs w:val="16"/>
          <w:lang w:val="en-GB"/>
        </w:rPr>
        <w:t xml:space="preserve">JSA, </w:t>
      </w:r>
      <w:hyperlink r:id="rId5" w:history="1">
        <w:r w:rsidRPr="00361329">
          <w:rPr>
            <w:rStyle w:val="Hyperlink"/>
            <w:sz w:val="16"/>
            <w:szCs w:val="16"/>
            <w:lang w:val="en-GB"/>
          </w:rPr>
          <w:t>‘Labour Force Trending’</w:t>
        </w:r>
      </w:hyperlink>
      <w:r w:rsidRPr="00361329">
        <w:rPr>
          <w:sz w:val="16"/>
          <w:szCs w:val="16"/>
        </w:rPr>
        <w:t>, August</w:t>
      </w:r>
      <w:r w:rsidRPr="00361329">
        <w:rPr>
          <w:b/>
          <w:bCs/>
          <w:sz w:val="16"/>
          <w:szCs w:val="16"/>
        </w:rPr>
        <w:t xml:space="preserve"> </w:t>
      </w:r>
      <w:r w:rsidRPr="00361329">
        <w:rPr>
          <w:sz w:val="16"/>
          <w:szCs w:val="16"/>
        </w:rPr>
        <w:t>2024; ABS, Labour Force, Australia, trend data, August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rsidRPr="00B93C08" w14:paraId="5A712252" w14:textId="77777777" w:rsidTr="576AB269">
      <w:trPr>
        <w:trHeight w:val="300"/>
      </w:trPr>
      <w:tc>
        <w:tcPr>
          <w:tcW w:w="3005" w:type="dxa"/>
        </w:tcPr>
        <w:p w14:paraId="4D4D91D2" w14:textId="6A42D6FB" w:rsidR="576AB269" w:rsidRPr="00B93C08" w:rsidRDefault="576AB269" w:rsidP="576AB269">
          <w:pPr>
            <w:pStyle w:val="Header"/>
            <w:ind w:left="-115"/>
          </w:pPr>
        </w:p>
      </w:tc>
      <w:tc>
        <w:tcPr>
          <w:tcW w:w="3005" w:type="dxa"/>
        </w:tcPr>
        <w:p w14:paraId="51609BDA" w14:textId="0A0C651B" w:rsidR="576AB269" w:rsidRPr="00B93C08" w:rsidRDefault="576AB269" w:rsidP="576AB269">
          <w:pPr>
            <w:pStyle w:val="Header"/>
            <w:jc w:val="center"/>
          </w:pPr>
        </w:p>
      </w:tc>
      <w:tc>
        <w:tcPr>
          <w:tcW w:w="3005" w:type="dxa"/>
        </w:tcPr>
        <w:p w14:paraId="1E653625" w14:textId="30193F51" w:rsidR="576AB269" w:rsidRPr="00B93C08" w:rsidRDefault="576AB269" w:rsidP="576AB269">
          <w:pPr>
            <w:pStyle w:val="Header"/>
            <w:ind w:right="-115"/>
            <w:jc w:val="right"/>
          </w:pPr>
        </w:p>
      </w:tc>
    </w:tr>
  </w:tbl>
  <w:p w14:paraId="3730D40E" w14:textId="1FC5D652" w:rsidR="576AB269" w:rsidRPr="00B93C08"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rsidRPr="00B93C08" w14:paraId="06EBD6A4" w14:textId="77777777" w:rsidTr="576AB269">
      <w:trPr>
        <w:trHeight w:val="300"/>
      </w:trPr>
      <w:tc>
        <w:tcPr>
          <w:tcW w:w="3005" w:type="dxa"/>
        </w:tcPr>
        <w:p w14:paraId="6FA94443" w14:textId="074FC6DD" w:rsidR="576AB269" w:rsidRPr="00B93C08" w:rsidRDefault="576AB269" w:rsidP="576AB269">
          <w:pPr>
            <w:pStyle w:val="Header"/>
            <w:ind w:left="-115"/>
          </w:pPr>
        </w:p>
      </w:tc>
      <w:tc>
        <w:tcPr>
          <w:tcW w:w="3005" w:type="dxa"/>
        </w:tcPr>
        <w:p w14:paraId="30F5AC60" w14:textId="2B5DCB08" w:rsidR="576AB269" w:rsidRPr="00B93C08" w:rsidRDefault="576AB269" w:rsidP="576AB269">
          <w:pPr>
            <w:pStyle w:val="Header"/>
            <w:jc w:val="center"/>
          </w:pPr>
        </w:p>
      </w:tc>
      <w:tc>
        <w:tcPr>
          <w:tcW w:w="3005" w:type="dxa"/>
        </w:tcPr>
        <w:p w14:paraId="2EAF1768" w14:textId="027CFF36" w:rsidR="576AB269" w:rsidRPr="00B93C08" w:rsidRDefault="576AB269" w:rsidP="576AB269">
          <w:pPr>
            <w:pStyle w:val="Header"/>
            <w:ind w:right="-115"/>
            <w:jc w:val="right"/>
          </w:pPr>
        </w:p>
      </w:tc>
    </w:tr>
  </w:tbl>
  <w:p w14:paraId="0532DD90" w14:textId="67F12944" w:rsidR="576AB269" w:rsidRPr="00B93C08"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6FDD3" w14:textId="77777777" w:rsidR="006A35A8" w:rsidRPr="00B93C08" w:rsidRDefault="006A35A8" w:rsidP="007001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6A35A8" w:rsidRPr="00B93C08" w14:paraId="0374925C" w14:textId="77777777" w:rsidTr="576AB269">
      <w:trPr>
        <w:trHeight w:val="300"/>
      </w:trPr>
      <w:tc>
        <w:tcPr>
          <w:tcW w:w="3005" w:type="dxa"/>
        </w:tcPr>
        <w:p w14:paraId="5955B751" w14:textId="77777777" w:rsidR="006A35A8" w:rsidRPr="00B93C08" w:rsidRDefault="006A35A8" w:rsidP="576AB269">
          <w:pPr>
            <w:pStyle w:val="Header"/>
            <w:ind w:left="-115"/>
          </w:pPr>
        </w:p>
      </w:tc>
      <w:tc>
        <w:tcPr>
          <w:tcW w:w="3005" w:type="dxa"/>
        </w:tcPr>
        <w:p w14:paraId="486672B8" w14:textId="77777777" w:rsidR="006A35A8" w:rsidRPr="00B93C08" w:rsidRDefault="006A35A8" w:rsidP="576AB269">
          <w:pPr>
            <w:pStyle w:val="Header"/>
            <w:jc w:val="center"/>
          </w:pPr>
        </w:p>
      </w:tc>
      <w:tc>
        <w:tcPr>
          <w:tcW w:w="3005" w:type="dxa"/>
        </w:tcPr>
        <w:p w14:paraId="1D4BE3F3" w14:textId="77777777" w:rsidR="006A35A8" w:rsidRPr="00B93C08" w:rsidRDefault="006A35A8" w:rsidP="576AB269">
          <w:pPr>
            <w:pStyle w:val="Header"/>
            <w:ind w:right="-115"/>
            <w:jc w:val="right"/>
          </w:pPr>
        </w:p>
      </w:tc>
    </w:tr>
  </w:tbl>
  <w:p w14:paraId="2A1F85ED" w14:textId="77777777" w:rsidR="006A35A8" w:rsidRPr="00B93C08" w:rsidRDefault="006A35A8" w:rsidP="00AA2F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53316" w14:textId="7EFB1D91" w:rsidR="576AB269" w:rsidRPr="00B93C08" w:rsidRDefault="576AB269" w:rsidP="007001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rsidRPr="00B93C08" w14:paraId="5C2BE72E" w14:textId="77777777" w:rsidTr="576AB269">
      <w:trPr>
        <w:trHeight w:val="300"/>
      </w:trPr>
      <w:tc>
        <w:tcPr>
          <w:tcW w:w="3005" w:type="dxa"/>
        </w:tcPr>
        <w:p w14:paraId="5860EF61" w14:textId="59D9ABBB" w:rsidR="576AB269" w:rsidRPr="00B93C08" w:rsidRDefault="576AB269" w:rsidP="576AB269">
          <w:pPr>
            <w:pStyle w:val="Header"/>
            <w:ind w:left="-115"/>
          </w:pPr>
        </w:p>
      </w:tc>
      <w:tc>
        <w:tcPr>
          <w:tcW w:w="3005" w:type="dxa"/>
        </w:tcPr>
        <w:p w14:paraId="51FE75E4" w14:textId="5B3E34E1" w:rsidR="576AB269" w:rsidRPr="00B93C08" w:rsidRDefault="576AB269" w:rsidP="576AB269">
          <w:pPr>
            <w:pStyle w:val="Header"/>
            <w:jc w:val="center"/>
          </w:pPr>
        </w:p>
      </w:tc>
      <w:tc>
        <w:tcPr>
          <w:tcW w:w="3005" w:type="dxa"/>
        </w:tcPr>
        <w:p w14:paraId="3298DFA3" w14:textId="0F46A30B" w:rsidR="576AB269" w:rsidRPr="00B93C08" w:rsidRDefault="576AB269" w:rsidP="576AB269">
          <w:pPr>
            <w:pStyle w:val="Header"/>
            <w:ind w:right="-115"/>
            <w:jc w:val="right"/>
          </w:pPr>
        </w:p>
      </w:tc>
    </w:tr>
  </w:tbl>
  <w:p w14:paraId="6EDC3CA4" w14:textId="3BF3ECCB" w:rsidR="576AB269" w:rsidRPr="00B93C08" w:rsidRDefault="576AB269" w:rsidP="00AA2FE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AC33" w14:textId="77777777" w:rsidR="00685DA5" w:rsidRPr="00B93C08" w:rsidRDefault="00685DA5" w:rsidP="007001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FF439D" w:rsidRPr="00B93C08" w14:paraId="1DD6DEA2" w14:textId="77777777" w:rsidTr="576AB269">
      <w:trPr>
        <w:trHeight w:val="300"/>
      </w:trPr>
      <w:tc>
        <w:tcPr>
          <w:tcW w:w="3005" w:type="dxa"/>
        </w:tcPr>
        <w:p w14:paraId="3BC864F6" w14:textId="77777777" w:rsidR="00FF439D" w:rsidRPr="00B93C08" w:rsidRDefault="00FF439D" w:rsidP="576AB269">
          <w:pPr>
            <w:pStyle w:val="Header"/>
            <w:ind w:left="-115"/>
          </w:pPr>
        </w:p>
      </w:tc>
      <w:tc>
        <w:tcPr>
          <w:tcW w:w="3005" w:type="dxa"/>
        </w:tcPr>
        <w:p w14:paraId="11D5F52E" w14:textId="77777777" w:rsidR="00FF439D" w:rsidRPr="00B93C08" w:rsidRDefault="00FF439D" w:rsidP="576AB269">
          <w:pPr>
            <w:pStyle w:val="Header"/>
            <w:jc w:val="center"/>
          </w:pPr>
        </w:p>
      </w:tc>
      <w:tc>
        <w:tcPr>
          <w:tcW w:w="3005" w:type="dxa"/>
        </w:tcPr>
        <w:p w14:paraId="582BA7F2" w14:textId="77777777" w:rsidR="00FF439D" w:rsidRPr="00B93C08" w:rsidRDefault="00FF439D" w:rsidP="576AB269">
          <w:pPr>
            <w:pStyle w:val="Header"/>
            <w:ind w:right="-115"/>
            <w:jc w:val="right"/>
          </w:pPr>
        </w:p>
      </w:tc>
    </w:tr>
  </w:tbl>
  <w:p w14:paraId="5727C005" w14:textId="77777777" w:rsidR="00FF439D" w:rsidRPr="00B93C08" w:rsidRDefault="00FF439D" w:rsidP="00AA2FE0">
    <w:pPr>
      <w:pStyle w:val="Header"/>
    </w:pPr>
  </w:p>
</w:hdr>
</file>

<file path=word/intelligence2.xml><?xml version="1.0" encoding="utf-8"?>
<int2:intelligence xmlns:int2="http://schemas.microsoft.com/office/intelligence/2020/intelligence" xmlns:oel="http://schemas.microsoft.com/office/2019/extlst">
  <int2:observations>
    <int2:textHash int2:hashCode="kETiMu3jbtFGME" int2:id="AVorzvLs">
      <int2:state int2:value="Rejected" int2:type="AugLoop_Text_Critique"/>
    </int2:textHash>
    <int2:bookmark int2:bookmarkName="_Int_CIAWSTtA" int2:invalidationBookmarkName="" int2:hashCode="3lSZrVPdtZD7WH" int2:id="5m7pQnF0">
      <int2:state int2:value="Rejected" int2:type="AugLoop_Text_Critique"/>
    </int2:bookmark>
    <int2:bookmark int2:bookmarkName="_Int_Wh8MT0gM" int2:invalidationBookmarkName="" int2:hashCode="4n3Oq7/3Jnsvpd" int2:id="9IeQReJb">
      <int2:state int2:value="Rejected" int2:type="AugLoop_Text_Critique"/>
    </int2:bookmark>
    <int2:bookmark int2:bookmarkName="_Int_0h1FB5s9" int2:invalidationBookmarkName="" int2:hashCode="euKl1sGCncVYb3" int2:id="Kwfy35eR">
      <int2:state int2:value="Rejected" int2:type="AugLoop_Text_Critique"/>
    </int2:bookmark>
    <int2:bookmark int2:bookmarkName="_Int_i8Vf0Mgh" int2:invalidationBookmarkName="" int2:hashCode="af2yLWATS+riUZ" int2:id="PQZienPQ">
      <int2:state int2:value="Rejected" int2:type="AugLoop_Text_Critique"/>
    </int2:bookmark>
    <int2:bookmark int2:bookmarkName="_Int_M67qTgKh" int2:invalidationBookmarkName="" int2:hashCode="HsWfY87o6H+ZxG" int2:id="Q8tpdDqR">
      <int2:state int2:value="Rejected" int2:type="AugLoop_Text_Critique"/>
    </int2:bookmark>
    <int2:bookmark int2:bookmarkName="_Int_PpGQgiti" int2:invalidationBookmarkName="" int2:hashCode="ToWwzGaCJJl0QH" int2:id="Qg7dd4xY">
      <int2:state int2:value="Rejected" int2:type="AugLoop_Text_Critique"/>
    </int2:bookmark>
    <int2:bookmark int2:bookmarkName="_Int_ds1rShxM" int2:invalidationBookmarkName="" int2:hashCode="af2yLWATS+riUZ" int2:id="RkFTJ5cG">
      <int2:state int2:value="Rejected" int2:type="AugLoop_Text_Critique"/>
    </int2:bookmark>
    <int2:bookmark int2:bookmarkName="_Int_jBTOPx0A" int2:invalidationBookmarkName="" int2:hashCode="4jA275bBDraI3U" int2:id="VhEv4glb">
      <int2:state int2:value="Rejected" int2:type="AugLoop_Text_Critique"/>
    </int2:bookmark>
    <int2:bookmark int2:bookmarkName="_Int_lccaKUDp" int2:invalidationBookmarkName="" int2:hashCode="ZaMXinDr8WJITD" int2:id="ZjBWTcxT">
      <int2:state int2:value="Rejected" int2:type="AugLoop_Text_Critique"/>
    </int2:bookmark>
    <int2:bookmark int2:bookmarkName="_Int_bK1MBgpY" int2:invalidationBookmarkName="" int2:hashCode="qrCDQi/Ku0Ob65" int2:id="osO05Oi7">
      <int2:state int2:value="Rejected" int2:type="AugLoop_Text_Critique"/>
    </int2:bookmark>
    <int2:bookmark int2:bookmarkName="_Int_Fn8Uky3x" int2:invalidationBookmarkName="" int2:hashCode="FiNCzSReCiV7Qq" int2:id="sxCsyf8i">
      <int2:state int2:value="Rejected" int2:type="AugLoop_Text_Critique"/>
    </int2:bookmark>
    <int2:bookmark int2:bookmarkName="_Int_AxPeAQqc" int2:invalidationBookmarkName="" int2:hashCode="gRnS9t5ZL5E+Jp" int2:id="uNd7UFe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5E853D5"/>
    <w:multiLevelType w:val="hybridMultilevel"/>
    <w:tmpl w:val="2D1605AC"/>
    <w:lvl w:ilvl="0" w:tplc="05A013E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4471B6"/>
    <w:multiLevelType w:val="multilevel"/>
    <w:tmpl w:val="F692C438"/>
    <w:lvl w:ilvl="0">
      <w:start w:val="1"/>
      <w:numFmt w:val="none"/>
      <w:suff w:val="space"/>
      <w:lvlText w:val="Source:"/>
      <w:lvlJc w:val="left"/>
      <w:pPr>
        <w:ind w:left="6181" w:hanging="51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579" w:hanging="360"/>
      </w:pPr>
      <w:rPr>
        <w:rFonts w:hint="default"/>
      </w:rPr>
    </w:lvl>
    <w:lvl w:ilvl="2">
      <w:start w:val="1"/>
      <w:numFmt w:val="none"/>
      <w:lvlText w:val=""/>
      <w:lvlJc w:val="left"/>
      <w:pPr>
        <w:ind w:left="939" w:hanging="360"/>
      </w:pPr>
      <w:rPr>
        <w:rFonts w:hint="default"/>
      </w:rPr>
    </w:lvl>
    <w:lvl w:ilvl="3">
      <w:start w:val="1"/>
      <w:numFmt w:val="none"/>
      <w:lvlText w:val=""/>
      <w:lvlJc w:val="left"/>
      <w:pPr>
        <w:ind w:left="1299" w:hanging="360"/>
      </w:pPr>
      <w:rPr>
        <w:rFonts w:hint="default"/>
      </w:rPr>
    </w:lvl>
    <w:lvl w:ilvl="4">
      <w:start w:val="1"/>
      <w:numFmt w:val="none"/>
      <w:lvlText w:val=""/>
      <w:lvlJc w:val="left"/>
      <w:pPr>
        <w:ind w:left="1659" w:hanging="360"/>
      </w:pPr>
      <w:rPr>
        <w:rFonts w:hint="default"/>
      </w:rPr>
    </w:lvl>
    <w:lvl w:ilvl="5">
      <w:start w:val="1"/>
      <w:numFmt w:val="none"/>
      <w:lvlText w:val=""/>
      <w:lvlJc w:val="left"/>
      <w:pPr>
        <w:ind w:left="2019" w:hanging="360"/>
      </w:pPr>
      <w:rPr>
        <w:rFonts w:hint="default"/>
      </w:rPr>
    </w:lvl>
    <w:lvl w:ilvl="6">
      <w:start w:val="1"/>
      <w:numFmt w:val="none"/>
      <w:lvlText w:val=""/>
      <w:lvlJc w:val="left"/>
      <w:pPr>
        <w:ind w:left="2379" w:hanging="360"/>
      </w:pPr>
      <w:rPr>
        <w:rFonts w:hint="default"/>
      </w:rPr>
    </w:lvl>
    <w:lvl w:ilvl="7">
      <w:start w:val="1"/>
      <w:numFmt w:val="none"/>
      <w:lvlText w:val=""/>
      <w:lvlJc w:val="left"/>
      <w:pPr>
        <w:ind w:left="2739" w:hanging="360"/>
      </w:pPr>
      <w:rPr>
        <w:rFonts w:hint="default"/>
      </w:rPr>
    </w:lvl>
    <w:lvl w:ilvl="8">
      <w:start w:val="1"/>
      <w:numFmt w:val="none"/>
      <w:lvlText w:val=""/>
      <w:lvlJc w:val="left"/>
      <w:pPr>
        <w:ind w:left="3099" w:hanging="360"/>
      </w:pPr>
      <w:rPr>
        <w:rFonts w:hint="default"/>
      </w:rPr>
    </w:lvl>
  </w:abstractNum>
  <w:abstractNum w:abstractNumId="9" w15:restartNumberingAfterBreak="0">
    <w:nsid w:val="15F80B16"/>
    <w:multiLevelType w:val="hybridMultilevel"/>
    <w:tmpl w:val="F85EB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2" w15:restartNumberingAfterBreak="0">
    <w:nsid w:val="1DB15375"/>
    <w:multiLevelType w:val="hybridMultilevel"/>
    <w:tmpl w:val="D5942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C47CB5"/>
    <w:multiLevelType w:val="hybridMultilevel"/>
    <w:tmpl w:val="192CF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E53D4C"/>
    <w:multiLevelType w:val="hybridMultilevel"/>
    <w:tmpl w:val="87B2248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2D4D92"/>
    <w:multiLevelType w:val="hybridMultilevel"/>
    <w:tmpl w:val="4C54A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D405AD"/>
    <w:multiLevelType w:val="hybridMultilevel"/>
    <w:tmpl w:val="EC6EC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6FE67D6"/>
    <w:multiLevelType w:val="hybridMultilevel"/>
    <w:tmpl w:val="8398055E"/>
    <w:name w:val="ListBullets2"/>
    <w:lvl w:ilvl="0" w:tplc="0ED8DFAE">
      <w:start w:val="1"/>
      <w:numFmt w:val="bullet"/>
      <w:lvlText w:val="–"/>
      <w:lvlJc w:val="left"/>
      <w:pPr>
        <w:ind w:left="1060" w:hanging="360"/>
      </w:pPr>
      <w:rPr>
        <w:rFonts w:ascii="Arial Nova" w:hAnsi="Arial Nova"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0"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60483A"/>
    <w:multiLevelType w:val="hybridMultilevel"/>
    <w:tmpl w:val="4AB44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517D03"/>
    <w:multiLevelType w:val="hybridMultilevel"/>
    <w:tmpl w:val="4396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F71802"/>
    <w:multiLevelType w:val="hybridMultilevel"/>
    <w:tmpl w:val="66EA9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CD4332C"/>
    <w:multiLevelType w:val="hybridMultilevel"/>
    <w:tmpl w:val="9C285B0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656947"/>
    <w:multiLevelType w:val="hybridMultilevel"/>
    <w:tmpl w:val="1E2E1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D51323"/>
    <w:multiLevelType w:val="hybridMultilevel"/>
    <w:tmpl w:val="368638B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DA5BBA"/>
    <w:multiLevelType w:val="hybridMultilevel"/>
    <w:tmpl w:val="58EEF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C3035"/>
    <w:multiLevelType w:val="hybridMultilevel"/>
    <w:tmpl w:val="3B8A8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8D1832"/>
    <w:multiLevelType w:val="hybridMultilevel"/>
    <w:tmpl w:val="85AED898"/>
    <w:lvl w:ilvl="0" w:tplc="F1ACFF8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1D6ED4"/>
    <w:multiLevelType w:val="hybridMultilevel"/>
    <w:tmpl w:val="7C80D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3C1AA9"/>
    <w:multiLevelType w:val="hybridMultilevel"/>
    <w:tmpl w:val="E22AF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AC2224"/>
    <w:multiLevelType w:val="hybridMultilevel"/>
    <w:tmpl w:val="1436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35"/>
  </w:num>
  <w:num w:numId="2" w16cid:durableId="1668050683">
    <w:abstractNumId w:val="20"/>
  </w:num>
  <w:num w:numId="3" w16cid:durableId="1683042470">
    <w:abstractNumId w:val="7"/>
  </w:num>
  <w:num w:numId="4" w16cid:durableId="133523604">
    <w:abstractNumId w:val="32"/>
  </w:num>
  <w:num w:numId="5" w16cid:durableId="1994024302">
    <w:abstractNumId w:val="33"/>
  </w:num>
  <w:num w:numId="6" w16cid:durableId="1358852113">
    <w:abstractNumId w:val="18"/>
  </w:num>
  <w:num w:numId="7" w16cid:durableId="2047246184">
    <w:abstractNumId w:val="11"/>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5"/>
  </w:num>
  <w:num w:numId="15" w16cid:durableId="406730085">
    <w:abstractNumId w:val="10"/>
  </w:num>
  <w:num w:numId="16" w16cid:durableId="685862663">
    <w:abstractNumId w:val="8"/>
  </w:num>
  <w:num w:numId="17" w16cid:durableId="1151747917">
    <w:abstractNumId w:val="29"/>
  </w:num>
  <w:num w:numId="18" w16cid:durableId="494801638">
    <w:abstractNumId w:val="6"/>
  </w:num>
  <w:num w:numId="19" w16cid:durableId="82335018">
    <w:abstractNumId w:val="28"/>
  </w:num>
  <w:num w:numId="20" w16cid:durableId="953828657">
    <w:abstractNumId w:val="30"/>
  </w:num>
  <w:num w:numId="21" w16cid:durableId="493378795">
    <w:abstractNumId w:val="24"/>
  </w:num>
  <w:num w:numId="22" w16cid:durableId="843546532">
    <w:abstractNumId w:val="34"/>
  </w:num>
  <w:num w:numId="23" w16cid:durableId="469253812">
    <w:abstractNumId w:val="25"/>
  </w:num>
  <w:num w:numId="24" w16cid:durableId="1546521493">
    <w:abstractNumId w:val="27"/>
  </w:num>
  <w:num w:numId="25" w16cid:durableId="1429614832">
    <w:abstractNumId w:val="16"/>
  </w:num>
  <w:num w:numId="26" w16cid:durableId="1711489178">
    <w:abstractNumId w:val="12"/>
  </w:num>
  <w:num w:numId="27" w16cid:durableId="1292439955">
    <w:abstractNumId w:val="31"/>
  </w:num>
  <w:num w:numId="28" w16cid:durableId="1456095594">
    <w:abstractNumId w:val="19"/>
  </w:num>
  <w:num w:numId="29" w16cid:durableId="288627563">
    <w:abstractNumId w:val="23"/>
  </w:num>
  <w:num w:numId="30" w16cid:durableId="2139909993">
    <w:abstractNumId w:val="14"/>
  </w:num>
  <w:num w:numId="31" w16cid:durableId="1445273578">
    <w:abstractNumId w:val="22"/>
  </w:num>
  <w:num w:numId="32" w16cid:durableId="1426419323">
    <w:abstractNumId w:val="21"/>
  </w:num>
  <w:num w:numId="33" w16cid:durableId="93324595">
    <w:abstractNumId w:val="9"/>
  </w:num>
  <w:num w:numId="34" w16cid:durableId="1543397242">
    <w:abstractNumId w:val="26"/>
  </w:num>
  <w:num w:numId="35" w16cid:durableId="81344409">
    <w:abstractNumId w:val="13"/>
  </w:num>
  <w:num w:numId="36" w16cid:durableId="16182967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DateAndTim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01FD"/>
    <w:rsid w:val="00001192"/>
    <w:rsid w:val="00001F7B"/>
    <w:rsid w:val="000023F8"/>
    <w:rsid w:val="00002C2C"/>
    <w:rsid w:val="00002FDA"/>
    <w:rsid w:val="0000367C"/>
    <w:rsid w:val="0000368A"/>
    <w:rsid w:val="00003E8E"/>
    <w:rsid w:val="00004321"/>
    <w:rsid w:val="000048C4"/>
    <w:rsid w:val="00004BB9"/>
    <w:rsid w:val="000053E0"/>
    <w:rsid w:val="000054D5"/>
    <w:rsid w:val="00006254"/>
    <w:rsid w:val="000067B6"/>
    <w:rsid w:val="00006CD6"/>
    <w:rsid w:val="000070F6"/>
    <w:rsid w:val="00007C0C"/>
    <w:rsid w:val="000103FB"/>
    <w:rsid w:val="00011CE7"/>
    <w:rsid w:val="00014BD0"/>
    <w:rsid w:val="00015F6E"/>
    <w:rsid w:val="0001628F"/>
    <w:rsid w:val="0001634B"/>
    <w:rsid w:val="000167AB"/>
    <w:rsid w:val="00016FF5"/>
    <w:rsid w:val="00017D3D"/>
    <w:rsid w:val="00020B89"/>
    <w:rsid w:val="00020D41"/>
    <w:rsid w:val="000213C2"/>
    <w:rsid w:val="000217E7"/>
    <w:rsid w:val="0002203C"/>
    <w:rsid w:val="000238D5"/>
    <w:rsid w:val="000239C5"/>
    <w:rsid w:val="00023EB1"/>
    <w:rsid w:val="00024E7B"/>
    <w:rsid w:val="000251BB"/>
    <w:rsid w:val="0002530D"/>
    <w:rsid w:val="00025763"/>
    <w:rsid w:val="0002590E"/>
    <w:rsid w:val="00025BD0"/>
    <w:rsid w:val="000261A3"/>
    <w:rsid w:val="0002634D"/>
    <w:rsid w:val="00026615"/>
    <w:rsid w:val="00027225"/>
    <w:rsid w:val="000275AE"/>
    <w:rsid w:val="0002771F"/>
    <w:rsid w:val="0002774C"/>
    <w:rsid w:val="00027AD9"/>
    <w:rsid w:val="00027E86"/>
    <w:rsid w:val="000302F9"/>
    <w:rsid w:val="000302FE"/>
    <w:rsid w:val="00030805"/>
    <w:rsid w:val="00031608"/>
    <w:rsid w:val="00031C84"/>
    <w:rsid w:val="000321B9"/>
    <w:rsid w:val="000328E3"/>
    <w:rsid w:val="0003316F"/>
    <w:rsid w:val="00035962"/>
    <w:rsid w:val="00035EEC"/>
    <w:rsid w:val="00036883"/>
    <w:rsid w:val="00037978"/>
    <w:rsid w:val="00037EB9"/>
    <w:rsid w:val="00040047"/>
    <w:rsid w:val="000404CE"/>
    <w:rsid w:val="0004076D"/>
    <w:rsid w:val="00040E19"/>
    <w:rsid w:val="0004100D"/>
    <w:rsid w:val="00041073"/>
    <w:rsid w:val="0004149A"/>
    <w:rsid w:val="0004185E"/>
    <w:rsid w:val="00041E83"/>
    <w:rsid w:val="00042572"/>
    <w:rsid w:val="00042611"/>
    <w:rsid w:val="00043209"/>
    <w:rsid w:val="000434A1"/>
    <w:rsid w:val="00043B55"/>
    <w:rsid w:val="00045718"/>
    <w:rsid w:val="00045A55"/>
    <w:rsid w:val="00046180"/>
    <w:rsid w:val="00046469"/>
    <w:rsid w:val="000474FB"/>
    <w:rsid w:val="0004777A"/>
    <w:rsid w:val="0005038E"/>
    <w:rsid w:val="0005063F"/>
    <w:rsid w:val="0005073A"/>
    <w:rsid w:val="00051004"/>
    <w:rsid w:val="000517D9"/>
    <w:rsid w:val="00051CBE"/>
    <w:rsid w:val="00051EE3"/>
    <w:rsid w:val="00052913"/>
    <w:rsid w:val="0005295F"/>
    <w:rsid w:val="00052B25"/>
    <w:rsid w:val="00052BFD"/>
    <w:rsid w:val="00052DD0"/>
    <w:rsid w:val="000533DF"/>
    <w:rsid w:val="000546EF"/>
    <w:rsid w:val="00054B3E"/>
    <w:rsid w:val="00054BB1"/>
    <w:rsid w:val="0005518A"/>
    <w:rsid w:val="00055B68"/>
    <w:rsid w:val="00056DAF"/>
    <w:rsid w:val="000572BD"/>
    <w:rsid w:val="000574ED"/>
    <w:rsid w:val="0005788D"/>
    <w:rsid w:val="00057C7D"/>
    <w:rsid w:val="000605BA"/>
    <w:rsid w:val="00060B9E"/>
    <w:rsid w:val="000613E5"/>
    <w:rsid w:val="000614E3"/>
    <w:rsid w:val="000617F3"/>
    <w:rsid w:val="00061D89"/>
    <w:rsid w:val="00062D05"/>
    <w:rsid w:val="00064A0C"/>
    <w:rsid w:val="00064C3E"/>
    <w:rsid w:val="00064F80"/>
    <w:rsid w:val="00065240"/>
    <w:rsid w:val="000653C1"/>
    <w:rsid w:val="000660E1"/>
    <w:rsid w:val="0006644E"/>
    <w:rsid w:val="00066D10"/>
    <w:rsid w:val="00066EA4"/>
    <w:rsid w:val="00067984"/>
    <w:rsid w:val="000703F9"/>
    <w:rsid w:val="000704FB"/>
    <w:rsid w:val="00070F74"/>
    <w:rsid w:val="00071649"/>
    <w:rsid w:val="000717CA"/>
    <w:rsid w:val="00072484"/>
    <w:rsid w:val="00072997"/>
    <w:rsid w:val="0007364B"/>
    <w:rsid w:val="000739B1"/>
    <w:rsid w:val="00073A03"/>
    <w:rsid w:val="00074E67"/>
    <w:rsid w:val="00075878"/>
    <w:rsid w:val="00077790"/>
    <w:rsid w:val="00077BD0"/>
    <w:rsid w:val="000803AE"/>
    <w:rsid w:val="00081C7F"/>
    <w:rsid w:val="00081F2B"/>
    <w:rsid w:val="00081F8F"/>
    <w:rsid w:val="0008205A"/>
    <w:rsid w:val="00083162"/>
    <w:rsid w:val="00083694"/>
    <w:rsid w:val="00083E4C"/>
    <w:rsid w:val="00083ECB"/>
    <w:rsid w:val="00084472"/>
    <w:rsid w:val="000844C9"/>
    <w:rsid w:val="00084C7E"/>
    <w:rsid w:val="00085C41"/>
    <w:rsid w:val="00085F6F"/>
    <w:rsid w:val="00087D9F"/>
    <w:rsid w:val="000906FB"/>
    <w:rsid w:val="00090727"/>
    <w:rsid w:val="00090729"/>
    <w:rsid w:val="00090DED"/>
    <w:rsid w:val="000912F6"/>
    <w:rsid w:val="00091396"/>
    <w:rsid w:val="0009143D"/>
    <w:rsid w:val="000927AC"/>
    <w:rsid w:val="00093B48"/>
    <w:rsid w:val="00095B4E"/>
    <w:rsid w:val="00095E11"/>
    <w:rsid w:val="000961CC"/>
    <w:rsid w:val="0009752F"/>
    <w:rsid w:val="000A0F1E"/>
    <w:rsid w:val="000A11D4"/>
    <w:rsid w:val="000A145A"/>
    <w:rsid w:val="000A1971"/>
    <w:rsid w:val="000A3EED"/>
    <w:rsid w:val="000A46CB"/>
    <w:rsid w:val="000A567A"/>
    <w:rsid w:val="000A5864"/>
    <w:rsid w:val="000A5EB9"/>
    <w:rsid w:val="000A6047"/>
    <w:rsid w:val="000A6A22"/>
    <w:rsid w:val="000A6A3E"/>
    <w:rsid w:val="000A6D86"/>
    <w:rsid w:val="000A725B"/>
    <w:rsid w:val="000A782B"/>
    <w:rsid w:val="000A7989"/>
    <w:rsid w:val="000A7F1E"/>
    <w:rsid w:val="000B0980"/>
    <w:rsid w:val="000B09B5"/>
    <w:rsid w:val="000B1305"/>
    <w:rsid w:val="000B13C9"/>
    <w:rsid w:val="000B1B1A"/>
    <w:rsid w:val="000B1FAA"/>
    <w:rsid w:val="000B21F0"/>
    <w:rsid w:val="000B2A2B"/>
    <w:rsid w:val="000B2C04"/>
    <w:rsid w:val="000B2E68"/>
    <w:rsid w:val="000B336E"/>
    <w:rsid w:val="000B37C3"/>
    <w:rsid w:val="000B3B88"/>
    <w:rsid w:val="000B4510"/>
    <w:rsid w:val="000B4EFD"/>
    <w:rsid w:val="000B4F7D"/>
    <w:rsid w:val="000B5634"/>
    <w:rsid w:val="000B624A"/>
    <w:rsid w:val="000B6324"/>
    <w:rsid w:val="000B6414"/>
    <w:rsid w:val="000B7702"/>
    <w:rsid w:val="000B7A2B"/>
    <w:rsid w:val="000B7BB5"/>
    <w:rsid w:val="000B7C1A"/>
    <w:rsid w:val="000C0BA2"/>
    <w:rsid w:val="000C2444"/>
    <w:rsid w:val="000C3933"/>
    <w:rsid w:val="000C3A97"/>
    <w:rsid w:val="000C3CF2"/>
    <w:rsid w:val="000C48C1"/>
    <w:rsid w:val="000C58D6"/>
    <w:rsid w:val="000C5A8D"/>
    <w:rsid w:val="000C5AB4"/>
    <w:rsid w:val="000C6477"/>
    <w:rsid w:val="000C7B76"/>
    <w:rsid w:val="000C7E9B"/>
    <w:rsid w:val="000D140C"/>
    <w:rsid w:val="000D1801"/>
    <w:rsid w:val="000D29D1"/>
    <w:rsid w:val="000D3A0F"/>
    <w:rsid w:val="000D3F99"/>
    <w:rsid w:val="000D4135"/>
    <w:rsid w:val="000D442D"/>
    <w:rsid w:val="000D4A99"/>
    <w:rsid w:val="000D536D"/>
    <w:rsid w:val="000D54A1"/>
    <w:rsid w:val="000D5C3F"/>
    <w:rsid w:val="000D5FCE"/>
    <w:rsid w:val="000D6253"/>
    <w:rsid w:val="000D6330"/>
    <w:rsid w:val="000D664C"/>
    <w:rsid w:val="000D6745"/>
    <w:rsid w:val="000E0343"/>
    <w:rsid w:val="000E0782"/>
    <w:rsid w:val="000E1E11"/>
    <w:rsid w:val="000E1EEA"/>
    <w:rsid w:val="000E20E1"/>
    <w:rsid w:val="000E22CC"/>
    <w:rsid w:val="000E38BA"/>
    <w:rsid w:val="000E4512"/>
    <w:rsid w:val="000E58F3"/>
    <w:rsid w:val="000E61D5"/>
    <w:rsid w:val="000E65DB"/>
    <w:rsid w:val="000E67FE"/>
    <w:rsid w:val="000E7042"/>
    <w:rsid w:val="000E7349"/>
    <w:rsid w:val="000E7561"/>
    <w:rsid w:val="000F0017"/>
    <w:rsid w:val="000F0241"/>
    <w:rsid w:val="000F064C"/>
    <w:rsid w:val="000F183D"/>
    <w:rsid w:val="000F1B9D"/>
    <w:rsid w:val="000F2BBD"/>
    <w:rsid w:val="000F2DD4"/>
    <w:rsid w:val="000F4237"/>
    <w:rsid w:val="000F561C"/>
    <w:rsid w:val="000F5DF3"/>
    <w:rsid w:val="000F70BC"/>
    <w:rsid w:val="000F71AC"/>
    <w:rsid w:val="000F79D4"/>
    <w:rsid w:val="000F7F28"/>
    <w:rsid w:val="00100E73"/>
    <w:rsid w:val="00100F08"/>
    <w:rsid w:val="001010A8"/>
    <w:rsid w:val="001011C8"/>
    <w:rsid w:val="00101673"/>
    <w:rsid w:val="00101902"/>
    <w:rsid w:val="00101A39"/>
    <w:rsid w:val="00101FBF"/>
    <w:rsid w:val="0010434D"/>
    <w:rsid w:val="00105B51"/>
    <w:rsid w:val="00106421"/>
    <w:rsid w:val="001067C6"/>
    <w:rsid w:val="00107A6D"/>
    <w:rsid w:val="00107D60"/>
    <w:rsid w:val="00110423"/>
    <w:rsid w:val="0011167B"/>
    <w:rsid w:val="00111BA2"/>
    <w:rsid w:val="001134ED"/>
    <w:rsid w:val="001136C3"/>
    <w:rsid w:val="00114379"/>
    <w:rsid w:val="001147EB"/>
    <w:rsid w:val="0011520F"/>
    <w:rsid w:val="0011635C"/>
    <w:rsid w:val="0011691A"/>
    <w:rsid w:val="00116F3E"/>
    <w:rsid w:val="001201D3"/>
    <w:rsid w:val="00120AF5"/>
    <w:rsid w:val="00120E7B"/>
    <w:rsid w:val="00121144"/>
    <w:rsid w:val="00122072"/>
    <w:rsid w:val="001222A9"/>
    <w:rsid w:val="00122D42"/>
    <w:rsid w:val="00122D6C"/>
    <w:rsid w:val="001238BE"/>
    <w:rsid w:val="00123DFA"/>
    <w:rsid w:val="00123E03"/>
    <w:rsid w:val="00124AF5"/>
    <w:rsid w:val="00124D9E"/>
    <w:rsid w:val="00124FB6"/>
    <w:rsid w:val="0012569F"/>
    <w:rsid w:val="00125B16"/>
    <w:rsid w:val="00125C36"/>
    <w:rsid w:val="001260BA"/>
    <w:rsid w:val="001271DD"/>
    <w:rsid w:val="00127BEB"/>
    <w:rsid w:val="001305F9"/>
    <w:rsid w:val="001306D6"/>
    <w:rsid w:val="00131196"/>
    <w:rsid w:val="0013138A"/>
    <w:rsid w:val="0013173F"/>
    <w:rsid w:val="00131E99"/>
    <w:rsid w:val="001324A9"/>
    <w:rsid w:val="001329B4"/>
    <w:rsid w:val="00132FBF"/>
    <w:rsid w:val="0013428E"/>
    <w:rsid w:val="00134302"/>
    <w:rsid w:val="001344B4"/>
    <w:rsid w:val="00134E37"/>
    <w:rsid w:val="001358D6"/>
    <w:rsid w:val="00135D47"/>
    <w:rsid w:val="001365A7"/>
    <w:rsid w:val="00136CE2"/>
    <w:rsid w:val="001374CA"/>
    <w:rsid w:val="00137A23"/>
    <w:rsid w:val="00137C0D"/>
    <w:rsid w:val="0014064C"/>
    <w:rsid w:val="001428BE"/>
    <w:rsid w:val="00142B55"/>
    <w:rsid w:val="00142EAC"/>
    <w:rsid w:val="00143208"/>
    <w:rsid w:val="001432B7"/>
    <w:rsid w:val="00144A81"/>
    <w:rsid w:val="00144B78"/>
    <w:rsid w:val="00144BDF"/>
    <w:rsid w:val="001454FD"/>
    <w:rsid w:val="00145A2A"/>
    <w:rsid w:val="0014764E"/>
    <w:rsid w:val="00147D7F"/>
    <w:rsid w:val="00150345"/>
    <w:rsid w:val="001512BC"/>
    <w:rsid w:val="001514AD"/>
    <w:rsid w:val="001516BF"/>
    <w:rsid w:val="001516E7"/>
    <w:rsid w:val="0015291E"/>
    <w:rsid w:val="00152B4B"/>
    <w:rsid w:val="00152DA8"/>
    <w:rsid w:val="001534AA"/>
    <w:rsid w:val="001534EA"/>
    <w:rsid w:val="00154AA6"/>
    <w:rsid w:val="00155889"/>
    <w:rsid w:val="00155946"/>
    <w:rsid w:val="001572C7"/>
    <w:rsid w:val="00160105"/>
    <w:rsid w:val="0016199F"/>
    <w:rsid w:val="00161B71"/>
    <w:rsid w:val="00161FAC"/>
    <w:rsid w:val="001626A6"/>
    <w:rsid w:val="0016277F"/>
    <w:rsid w:val="00162A22"/>
    <w:rsid w:val="0016376F"/>
    <w:rsid w:val="001643CE"/>
    <w:rsid w:val="00164614"/>
    <w:rsid w:val="00164FDE"/>
    <w:rsid w:val="001652F2"/>
    <w:rsid w:val="00165F87"/>
    <w:rsid w:val="00170249"/>
    <w:rsid w:val="00170433"/>
    <w:rsid w:val="00171811"/>
    <w:rsid w:val="00171BFE"/>
    <w:rsid w:val="001724E2"/>
    <w:rsid w:val="00172CA7"/>
    <w:rsid w:val="00172D77"/>
    <w:rsid w:val="00172DC0"/>
    <w:rsid w:val="00173678"/>
    <w:rsid w:val="001739CB"/>
    <w:rsid w:val="00174AFF"/>
    <w:rsid w:val="00174E71"/>
    <w:rsid w:val="0017574A"/>
    <w:rsid w:val="0017586F"/>
    <w:rsid w:val="00175C80"/>
    <w:rsid w:val="001771AB"/>
    <w:rsid w:val="00177C46"/>
    <w:rsid w:val="001805A7"/>
    <w:rsid w:val="0018148F"/>
    <w:rsid w:val="00182244"/>
    <w:rsid w:val="0018397D"/>
    <w:rsid w:val="00184003"/>
    <w:rsid w:val="001841C0"/>
    <w:rsid w:val="0018426A"/>
    <w:rsid w:val="00184C54"/>
    <w:rsid w:val="00184EF5"/>
    <w:rsid w:val="00185F75"/>
    <w:rsid w:val="001867EC"/>
    <w:rsid w:val="00186812"/>
    <w:rsid w:val="00186BF8"/>
    <w:rsid w:val="00186DC1"/>
    <w:rsid w:val="00186DFB"/>
    <w:rsid w:val="001909D3"/>
    <w:rsid w:val="00190AD7"/>
    <w:rsid w:val="001914FD"/>
    <w:rsid w:val="001918BF"/>
    <w:rsid w:val="00191BC7"/>
    <w:rsid w:val="00191BE4"/>
    <w:rsid w:val="00192839"/>
    <w:rsid w:val="00192BE8"/>
    <w:rsid w:val="00192BED"/>
    <w:rsid w:val="00193439"/>
    <w:rsid w:val="00193487"/>
    <w:rsid w:val="001950A3"/>
    <w:rsid w:val="001954EC"/>
    <w:rsid w:val="00196E5E"/>
    <w:rsid w:val="00196FEA"/>
    <w:rsid w:val="00197A52"/>
    <w:rsid w:val="00197B6B"/>
    <w:rsid w:val="001A1E5E"/>
    <w:rsid w:val="001A22A8"/>
    <w:rsid w:val="001A28F8"/>
    <w:rsid w:val="001A36C8"/>
    <w:rsid w:val="001A38A7"/>
    <w:rsid w:val="001A3E45"/>
    <w:rsid w:val="001A5003"/>
    <w:rsid w:val="001A5C63"/>
    <w:rsid w:val="001A63CD"/>
    <w:rsid w:val="001A71B2"/>
    <w:rsid w:val="001A7548"/>
    <w:rsid w:val="001B081F"/>
    <w:rsid w:val="001B0E02"/>
    <w:rsid w:val="001B0E3E"/>
    <w:rsid w:val="001B1F8B"/>
    <w:rsid w:val="001B2009"/>
    <w:rsid w:val="001B4199"/>
    <w:rsid w:val="001B5011"/>
    <w:rsid w:val="001B7035"/>
    <w:rsid w:val="001B71DD"/>
    <w:rsid w:val="001B725F"/>
    <w:rsid w:val="001B7F1C"/>
    <w:rsid w:val="001C0CB2"/>
    <w:rsid w:val="001C0D18"/>
    <w:rsid w:val="001C11AD"/>
    <w:rsid w:val="001C1A97"/>
    <w:rsid w:val="001C258B"/>
    <w:rsid w:val="001C2CA9"/>
    <w:rsid w:val="001C2CAC"/>
    <w:rsid w:val="001C2E60"/>
    <w:rsid w:val="001C2FA8"/>
    <w:rsid w:val="001C30E6"/>
    <w:rsid w:val="001C381D"/>
    <w:rsid w:val="001C5DC2"/>
    <w:rsid w:val="001C6BA8"/>
    <w:rsid w:val="001C6D03"/>
    <w:rsid w:val="001C6F9B"/>
    <w:rsid w:val="001C7459"/>
    <w:rsid w:val="001C763A"/>
    <w:rsid w:val="001D0190"/>
    <w:rsid w:val="001D0410"/>
    <w:rsid w:val="001D0898"/>
    <w:rsid w:val="001D0943"/>
    <w:rsid w:val="001D16B8"/>
    <w:rsid w:val="001D1FB6"/>
    <w:rsid w:val="001D3129"/>
    <w:rsid w:val="001D3D1B"/>
    <w:rsid w:val="001D54C3"/>
    <w:rsid w:val="001D63DE"/>
    <w:rsid w:val="001D6859"/>
    <w:rsid w:val="001D7936"/>
    <w:rsid w:val="001E0424"/>
    <w:rsid w:val="001E043D"/>
    <w:rsid w:val="001E1DEE"/>
    <w:rsid w:val="001E38FC"/>
    <w:rsid w:val="001E3FE2"/>
    <w:rsid w:val="001E4423"/>
    <w:rsid w:val="001E53B2"/>
    <w:rsid w:val="001E58C4"/>
    <w:rsid w:val="001E5DD5"/>
    <w:rsid w:val="001E5ED9"/>
    <w:rsid w:val="001E6E30"/>
    <w:rsid w:val="001E6EAD"/>
    <w:rsid w:val="001E7AB4"/>
    <w:rsid w:val="001F09FA"/>
    <w:rsid w:val="001F0FD8"/>
    <w:rsid w:val="001F164E"/>
    <w:rsid w:val="001F1CC6"/>
    <w:rsid w:val="001F23B8"/>
    <w:rsid w:val="001F2868"/>
    <w:rsid w:val="001F31BB"/>
    <w:rsid w:val="001F343E"/>
    <w:rsid w:val="001F36D6"/>
    <w:rsid w:val="001F3FE0"/>
    <w:rsid w:val="001F4DA6"/>
    <w:rsid w:val="001F4E83"/>
    <w:rsid w:val="001F59D3"/>
    <w:rsid w:val="001F6330"/>
    <w:rsid w:val="001F66DE"/>
    <w:rsid w:val="001F6E1E"/>
    <w:rsid w:val="001F6F55"/>
    <w:rsid w:val="001F7093"/>
    <w:rsid w:val="001F7129"/>
    <w:rsid w:val="0020008A"/>
    <w:rsid w:val="00200091"/>
    <w:rsid w:val="00200B0E"/>
    <w:rsid w:val="00201984"/>
    <w:rsid w:val="00201AAE"/>
    <w:rsid w:val="0020380E"/>
    <w:rsid w:val="002042EF"/>
    <w:rsid w:val="002048B8"/>
    <w:rsid w:val="00204A8F"/>
    <w:rsid w:val="0020549A"/>
    <w:rsid w:val="00205966"/>
    <w:rsid w:val="00205C78"/>
    <w:rsid w:val="00205E0A"/>
    <w:rsid w:val="00206249"/>
    <w:rsid w:val="00210285"/>
    <w:rsid w:val="00211170"/>
    <w:rsid w:val="00212537"/>
    <w:rsid w:val="0021359D"/>
    <w:rsid w:val="00213D03"/>
    <w:rsid w:val="0021469B"/>
    <w:rsid w:val="002147D5"/>
    <w:rsid w:val="002148C8"/>
    <w:rsid w:val="00214B5E"/>
    <w:rsid w:val="00214C24"/>
    <w:rsid w:val="00215CF2"/>
    <w:rsid w:val="00216001"/>
    <w:rsid w:val="00216DAE"/>
    <w:rsid w:val="00217028"/>
    <w:rsid w:val="00220492"/>
    <w:rsid w:val="002219CB"/>
    <w:rsid w:val="00221AA6"/>
    <w:rsid w:val="00221AF9"/>
    <w:rsid w:val="00221B31"/>
    <w:rsid w:val="002222C4"/>
    <w:rsid w:val="002229E4"/>
    <w:rsid w:val="00223184"/>
    <w:rsid w:val="002235C2"/>
    <w:rsid w:val="00223EF6"/>
    <w:rsid w:val="00225237"/>
    <w:rsid w:val="00225E8E"/>
    <w:rsid w:val="00227450"/>
    <w:rsid w:val="00227575"/>
    <w:rsid w:val="002276A6"/>
    <w:rsid w:val="00227CFF"/>
    <w:rsid w:val="002303FF"/>
    <w:rsid w:val="002316D0"/>
    <w:rsid w:val="0023178F"/>
    <w:rsid w:val="002324EF"/>
    <w:rsid w:val="002336BB"/>
    <w:rsid w:val="00233A75"/>
    <w:rsid w:val="00234070"/>
    <w:rsid w:val="002345F0"/>
    <w:rsid w:val="00234638"/>
    <w:rsid w:val="002357C4"/>
    <w:rsid w:val="0023611D"/>
    <w:rsid w:val="002372B6"/>
    <w:rsid w:val="00237847"/>
    <w:rsid w:val="00237A04"/>
    <w:rsid w:val="00240855"/>
    <w:rsid w:val="00241D20"/>
    <w:rsid w:val="00242593"/>
    <w:rsid w:val="002428F5"/>
    <w:rsid w:val="002432A9"/>
    <w:rsid w:val="00243658"/>
    <w:rsid w:val="0024392D"/>
    <w:rsid w:val="00243D4E"/>
    <w:rsid w:val="002442F6"/>
    <w:rsid w:val="002444B6"/>
    <w:rsid w:val="00244550"/>
    <w:rsid w:val="00244CBF"/>
    <w:rsid w:val="00245923"/>
    <w:rsid w:val="00245B1F"/>
    <w:rsid w:val="0024602A"/>
    <w:rsid w:val="002460CF"/>
    <w:rsid w:val="002475E0"/>
    <w:rsid w:val="00247770"/>
    <w:rsid w:val="002479F3"/>
    <w:rsid w:val="0025056F"/>
    <w:rsid w:val="00253774"/>
    <w:rsid w:val="00253EE4"/>
    <w:rsid w:val="00254D9C"/>
    <w:rsid w:val="002572E5"/>
    <w:rsid w:val="002578EC"/>
    <w:rsid w:val="00257BC9"/>
    <w:rsid w:val="00257D4D"/>
    <w:rsid w:val="00260207"/>
    <w:rsid w:val="00260D01"/>
    <w:rsid w:val="0026109E"/>
    <w:rsid w:val="00261697"/>
    <w:rsid w:val="002618DF"/>
    <w:rsid w:val="00261D00"/>
    <w:rsid w:val="00261DC8"/>
    <w:rsid w:val="00262FF8"/>
    <w:rsid w:val="002632A5"/>
    <w:rsid w:val="0026339A"/>
    <w:rsid w:val="002633D9"/>
    <w:rsid w:val="002642DC"/>
    <w:rsid w:val="002647D4"/>
    <w:rsid w:val="00264AF2"/>
    <w:rsid w:val="0026530D"/>
    <w:rsid w:val="00265C55"/>
    <w:rsid w:val="002660E2"/>
    <w:rsid w:val="0026612A"/>
    <w:rsid w:val="00266F4D"/>
    <w:rsid w:val="00272316"/>
    <w:rsid w:val="002737EA"/>
    <w:rsid w:val="00273992"/>
    <w:rsid w:val="00273F7D"/>
    <w:rsid w:val="002743A1"/>
    <w:rsid w:val="00274D00"/>
    <w:rsid w:val="00275413"/>
    <w:rsid w:val="00275746"/>
    <w:rsid w:val="00275B7D"/>
    <w:rsid w:val="00275CE7"/>
    <w:rsid w:val="00275E2B"/>
    <w:rsid w:val="0027745E"/>
    <w:rsid w:val="00277682"/>
    <w:rsid w:val="00277BFD"/>
    <w:rsid w:val="00280224"/>
    <w:rsid w:val="00280AC6"/>
    <w:rsid w:val="00281AED"/>
    <w:rsid w:val="002820BA"/>
    <w:rsid w:val="002824C3"/>
    <w:rsid w:val="00283872"/>
    <w:rsid w:val="00283A4B"/>
    <w:rsid w:val="00284BA9"/>
    <w:rsid w:val="0028519D"/>
    <w:rsid w:val="0028574B"/>
    <w:rsid w:val="002859FE"/>
    <w:rsid w:val="00286850"/>
    <w:rsid w:val="00286F99"/>
    <w:rsid w:val="00287583"/>
    <w:rsid w:val="00287D44"/>
    <w:rsid w:val="00287FFA"/>
    <w:rsid w:val="002911D5"/>
    <w:rsid w:val="002921A5"/>
    <w:rsid w:val="002927DB"/>
    <w:rsid w:val="002928B9"/>
    <w:rsid w:val="00294AAE"/>
    <w:rsid w:val="002950ED"/>
    <w:rsid w:val="0029519F"/>
    <w:rsid w:val="00295B5F"/>
    <w:rsid w:val="00296166"/>
    <w:rsid w:val="0029732E"/>
    <w:rsid w:val="002A0044"/>
    <w:rsid w:val="002A02A9"/>
    <w:rsid w:val="002A0D9B"/>
    <w:rsid w:val="002A1392"/>
    <w:rsid w:val="002A29EB"/>
    <w:rsid w:val="002A3293"/>
    <w:rsid w:val="002A383A"/>
    <w:rsid w:val="002A3906"/>
    <w:rsid w:val="002A3EED"/>
    <w:rsid w:val="002A4B17"/>
    <w:rsid w:val="002A5D69"/>
    <w:rsid w:val="002A6396"/>
    <w:rsid w:val="002A66BD"/>
    <w:rsid w:val="002A6BE4"/>
    <w:rsid w:val="002A70F3"/>
    <w:rsid w:val="002A71D3"/>
    <w:rsid w:val="002A7A53"/>
    <w:rsid w:val="002B1266"/>
    <w:rsid w:val="002B1A70"/>
    <w:rsid w:val="002B23FA"/>
    <w:rsid w:val="002B43A5"/>
    <w:rsid w:val="002B4A69"/>
    <w:rsid w:val="002B56AD"/>
    <w:rsid w:val="002B5EE8"/>
    <w:rsid w:val="002B6075"/>
    <w:rsid w:val="002B64D2"/>
    <w:rsid w:val="002B6E60"/>
    <w:rsid w:val="002B7021"/>
    <w:rsid w:val="002B731D"/>
    <w:rsid w:val="002B7450"/>
    <w:rsid w:val="002B7F7A"/>
    <w:rsid w:val="002C0F27"/>
    <w:rsid w:val="002C0F9C"/>
    <w:rsid w:val="002C162F"/>
    <w:rsid w:val="002C1BB0"/>
    <w:rsid w:val="002C1DC2"/>
    <w:rsid w:val="002C300E"/>
    <w:rsid w:val="002C30E8"/>
    <w:rsid w:val="002C35F6"/>
    <w:rsid w:val="002C3D9A"/>
    <w:rsid w:val="002C3DF7"/>
    <w:rsid w:val="002C3F2F"/>
    <w:rsid w:val="002C4AE2"/>
    <w:rsid w:val="002C6458"/>
    <w:rsid w:val="002C6AE6"/>
    <w:rsid w:val="002C7E5A"/>
    <w:rsid w:val="002D1054"/>
    <w:rsid w:val="002D12E2"/>
    <w:rsid w:val="002D15E2"/>
    <w:rsid w:val="002D17BB"/>
    <w:rsid w:val="002D1C24"/>
    <w:rsid w:val="002D22CA"/>
    <w:rsid w:val="002D2789"/>
    <w:rsid w:val="002D2DAF"/>
    <w:rsid w:val="002D34F5"/>
    <w:rsid w:val="002D355E"/>
    <w:rsid w:val="002D424F"/>
    <w:rsid w:val="002D45DC"/>
    <w:rsid w:val="002D509B"/>
    <w:rsid w:val="002D5C6A"/>
    <w:rsid w:val="002D68E2"/>
    <w:rsid w:val="002D7C93"/>
    <w:rsid w:val="002E05DA"/>
    <w:rsid w:val="002E0725"/>
    <w:rsid w:val="002E07AE"/>
    <w:rsid w:val="002E0DAA"/>
    <w:rsid w:val="002E0E18"/>
    <w:rsid w:val="002E122F"/>
    <w:rsid w:val="002E2720"/>
    <w:rsid w:val="002E2897"/>
    <w:rsid w:val="002E29A5"/>
    <w:rsid w:val="002E2A25"/>
    <w:rsid w:val="002E2FC3"/>
    <w:rsid w:val="002E3615"/>
    <w:rsid w:val="002E3991"/>
    <w:rsid w:val="002E41E4"/>
    <w:rsid w:val="002E4368"/>
    <w:rsid w:val="002E4B4B"/>
    <w:rsid w:val="002E522F"/>
    <w:rsid w:val="002E538D"/>
    <w:rsid w:val="002E53C3"/>
    <w:rsid w:val="002E5B03"/>
    <w:rsid w:val="002E6598"/>
    <w:rsid w:val="002E6E2F"/>
    <w:rsid w:val="002E7418"/>
    <w:rsid w:val="002E75F5"/>
    <w:rsid w:val="002F1081"/>
    <w:rsid w:val="002F1F4A"/>
    <w:rsid w:val="002F28A9"/>
    <w:rsid w:val="002F2CA7"/>
    <w:rsid w:val="002F3057"/>
    <w:rsid w:val="002F3274"/>
    <w:rsid w:val="002F3B4C"/>
    <w:rsid w:val="002F3EB5"/>
    <w:rsid w:val="002F408F"/>
    <w:rsid w:val="002F47C4"/>
    <w:rsid w:val="002F4D64"/>
    <w:rsid w:val="002F5163"/>
    <w:rsid w:val="002F5690"/>
    <w:rsid w:val="002F5F31"/>
    <w:rsid w:val="002F60F2"/>
    <w:rsid w:val="002F69D9"/>
    <w:rsid w:val="002F6E23"/>
    <w:rsid w:val="002F79D3"/>
    <w:rsid w:val="00300373"/>
    <w:rsid w:val="00300482"/>
    <w:rsid w:val="00300917"/>
    <w:rsid w:val="00301792"/>
    <w:rsid w:val="00302C37"/>
    <w:rsid w:val="0030336C"/>
    <w:rsid w:val="00303B31"/>
    <w:rsid w:val="00305593"/>
    <w:rsid w:val="00305A5B"/>
    <w:rsid w:val="003060CC"/>
    <w:rsid w:val="00306575"/>
    <w:rsid w:val="00306C0E"/>
    <w:rsid w:val="00306E9C"/>
    <w:rsid w:val="00307FAF"/>
    <w:rsid w:val="0031092F"/>
    <w:rsid w:val="00310C4F"/>
    <w:rsid w:val="00310CA1"/>
    <w:rsid w:val="00311A00"/>
    <w:rsid w:val="00311F7F"/>
    <w:rsid w:val="003122CC"/>
    <w:rsid w:val="00312614"/>
    <w:rsid w:val="0031264A"/>
    <w:rsid w:val="00312B27"/>
    <w:rsid w:val="00313B29"/>
    <w:rsid w:val="00313B63"/>
    <w:rsid w:val="00314253"/>
    <w:rsid w:val="00314E27"/>
    <w:rsid w:val="003159D2"/>
    <w:rsid w:val="00317895"/>
    <w:rsid w:val="00320354"/>
    <w:rsid w:val="00320647"/>
    <w:rsid w:val="00321335"/>
    <w:rsid w:val="003216FF"/>
    <w:rsid w:val="003218E8"/>
    <w:rsid w:val="003219FD"/>
    <w:rsid w:val="003223F7"/>
    <w:rsid w:val="0032250A"/>
    <w:rsid w:val="00322562"/>
    <w:rsid w:val="003227A5"/>
    <w:rsid w:val="00323858"/>
    <w:rsid w:val="00323B9A"/>
    <w:rsid w:val="00323DDD"/>
    <w:rsid w:val="00324FD1"/>
    <w:rsid w:val="00325260"/>
    <w:rsid w:val="003259ED"/>
    <w:rsid w:val="00325C15"/>
    <w:rsid w:val="003260B8"/>
    <w:rsid w:val="003278CD"/>
    <w:rsid w:val="00327936"/>
    <w:rsid w:val="00327AB4"/>
    <w:rsid w:val="00330129"/>
    <w:rsid w:val="00330365"/>
    <w:rsid w:val="00330881"/>
    <w:rsid w:val="00330C37"/>
    <w:rsid w:val="00330F63"/>
    <w:rsid w:val="00331247"/>
    <w:rsid w:val="00331AA4"/>
    <w:rsid w:val="00331B2F"/>
    <w:rsid w:val="00331B9A"/>
    <w:rsid w:val="00331BBE"/>
    <w:rsid w:val="00331EA8"/>
    <w:rsid w:val="00332098"/>
    <w:rsid w:val="003323A7"/>
    <w:rsid w:val="00332C70"/>
    <w:rsid w:val="00332FCD"/>
    <w:rsid w:val="003331F8"/>
    <w:rsid w:val="0033349F"/>
    <w:rsid w:val="0033489F"/>
    <w:rsid w:val="00334996"/>
    <w:rsid w:val="003359E3"/>
    <w:rsid w:val="00336590"/>
    <w:rsid w:val="00336FC6"/>
    <w:rsid w:val="0033752C"/>
    <w:rsid w:val="00340716"/>
    <w:rsid w:val="00341254"/>
    <w:rsid w:val="00341DB5"/>
    <w:rsid w:val="00342BCE"/>
    <w:rsid w:val="003433BD"/>
    <w:rsid w:val="00343AF4"/>
    <w:rsid w:val="0034466A"/>
    <w:rsid w:val="00345412"/>
    <w:rsid w:val="003457B8"/>
    <w:rsid w:val="00345B38"/>
    <w:rsid w:val="0034679A"/>
    <w:rsid w:val="00347CB0"/>
    <w:rsid w:val="003506B2"/>
    <w:rsid w:val="00350AF2"/>
    <w:rsid w:val="0035131B"/>
    <w:rsid w:val="00351CDA"/>
    <w:rsid w:val="00352077"/>
    <w:rsid w:val="00353093"/>
    <w:rsid w:val="0035326E"/>
    <w:rsid w:val="00353D2C"/>
    <w:rsid w:val="003547D2"/>
    <w:rsid w:val="00354A4B"/>
    <w:rsid w:val="00355692"/>
    <w:rsid w:val="00355E59"/>
    <w:rsid w:val="00356FFB"/>
    <w:rsid w:val="0035714A"/>
    <w:rsid w:val="00357240"/>
    <w:rsid w:val="00357CFD"/>
    <w:rsid w:val="00360585"/>
    <w:rsid w:val="00360994"/>
    <w:rsid w:val="00361329"/>
    <w:rsid w:val="00361569"/>
    <w:rsid w:val="00361842"/>
    <w:rsid w:val="00362338"/>
    <w:rsid w:val="00362697"/>
    <w:rsid w:val="00362A2C"/>
    <w:rsid w:val="00363500"/>
    <w:rsid w:val="00363A75"/>
    <w:rsid w:val="0036458D"/>
    <w:rsid w:val="003653C1"/>
    <w:rsid w:val="003665A4"/>
    <w:rsid w:val="00366776"/>
    <w:rsid w:val="0036688F"/>
    <w:rsid w:val="00366923"/>
    <w:rsid w:val="00366A9D"/>
    <w:rsid w:val="00367196"/>
    <w:rsid w:val="00367221"/>
    <w:rsid w:val="0036749D"/>
    <w:rsid w:val="00367718"/>
    <w:rsid w:val="00367895"/>
    <w:rsid w:val="003708C1"/>
    <w:rsid w:val="00370FD6"/>
    <w:rsid w:val="003713BB"/>
    <w:rsid w:val="00372845"/>
    <w:rsid w:val="00372EC0"/>
    <w:rsid w:val="00374E1D"/>
    <w:rsid w:val="00375501"/>
    <w:rsid w:val="00376171"/>
    <w:rsid w:val="00377DC0"/>
    <w:rsid w:val="00380337"/>
    <w:rsid w:val="00380884"/>
    <w:rsid w:val="00380EA3"/>
    <w:rsid w:val="003814A3"/>
    <w:rsid w:val="003815A2"/>
    <w:rsid w:val="00382236"/>
    <w:rsid w:val="00382AB0"/>
    <w:rsid w:val="00382E63"/>
    <w:rsid w:val="00385788"/>
    <w:rsid w:val="00385ABF"/>
    <w:rsid w:val="00385EA9"/>
    <w:rsid w:val="00385F4D"/>
    <w:rsid w:val="0038696B"/>
    <w:rsid w:val="0039018F"/>
    <w:rsid w:val="00390421"/>
    <w:rsid w:val="00390626"/>
    <w:rsid w:val="0039087B"/>
    <w:rsid w:val="00390A01"/>
    <w:rsid w:val="00390F0F"/>
    <w:rsid w:val="0039115D"/>
    <w:rsid w:val="00391CF4"/>
    <w:rsid w:val="00392244"/>
    <w:rsid w:val="00392327"/>
    <w:rsid w:val="003923C3"/>
    <w:rsid w:val="003926FD"/>
    <w:rsid w:val="00392BD7"/>
    <w:rsid w:val="00392C71"/>
    <w:rsid w:val="00392ED2"/>
    <w:rsid w:val="00394424"/>
    <w:rsid w:val="00394B95"/>
    <w:rsid w:val="00394F4F"/>
    <w:rsid w:val="003953D4"/>
    <w:rsid w:val="003956E3"/>
    <w:rsid w:val="00396136"/>
    <w:rsid w:val="00397229"/>
    <w:rsid w:val="00397261"/>
    <w:rsid w:val="0039732B"/>
    <w:rsid w:val="00397900"/>
    <w:rsid w:val="00397AB5"/>
    <w:rsid w:val="003A0C76"/>
    <w:rsid w:val="003A2337"/>
    <w:rsid w:val="003A27D0"/>
    <w:rsid w:val="003A2824"/>
    <w:rsid w:val="003A2C25"/>
    <w:rsid w:val="003A300F"/>
    <w:rsid w:val="003A44CA"/>
    <w:rsid w:val="003A4E44"/>
    <w:rsid w:val="003A4E99"/>
    <w:rsid w:val="003A5A06"/>
    <w:rsid w:val="003A6C49"/>
    <w:rsid w:val="003A70A2"/>
    <w:rsid w:val="003B08D1"/>
    <w:rsid w:val="003B248E"/>
    <w:rsid w:val="003B267A"/>
    <w:rsid w:val="003B283A"/>
    <w:rsid w:val="003B32CF"/>
    <w:rsid w:val="003B33D7"/>
    <w:rsid w:val="003B3656"/>
    <w:rsid w:val="003B365A"/>
    <w:rsid w:val="003B3822"/>
    <w:rsid w:val="003B3A50"/>
    <w:rsid w:val="003B40AA"/>
    <w:rsid w:val="003B474F"/>
    <w:rsid w:val="003B4858"/>
    <w:rsid w:val="003B5178"/>
    <w:rsid w:val="003B59C3"/>
    <w:rsid w:val="003B71A0"/>
    <w:rsid w:val="003B7921"/>
    <w:rsid w:val="003C065F"/>
    <w:rsid w:val="003C0817"/>
    <w:rsid w:val="003C164A"/>
    <w:rsid w:val="003C1AFC"/>
    <w:rsid w:val="003C308E"/>
    <w:rsid w:val="003C48A1"/>
    <w:rsid w:val="003C4FAE"/>
    <w:rsid w:val="003C5804"/>
    <w:rsid w:val="003C5879"/>
    <w:rsid w:val="003C592F"/>
    <w:rsid w:val="003C6C6F"/>
    <w:rsid w:val="003D1164"/>
    <w:rsid w:val="003D14BF"/>
    <w:rsid w:val="003D14EF"/>
    <w:rsid w:val="003D151E"/>
    <w:rsid w:val="003D1CCF"/>
    <w:rsid w:val="003D2E0B"/>
    <w:rsid w:val="003D350B"/>
    <w:rsid w:val="003D48E5"/>
    <w:rsid w:val="003D4EBF"/>
    <w:rsid w:val="003D606D"/>
    <w:rsid w:val="003D60F2"/>
    <w:rsid w:val="003D6BCC"/>
    <w:rsid w:val="003D6E7E"/>
    <w:rsid w:val="003D6EE6"/>
    <w:rsid w:val="003D710D"/>
    <w:rsid w:val="003E0796"/>
    <w:rsid w:val="003E0B46"/>
    <w:rsid w:val="003E0B70"/>
    <w:rsid w:val="003E1076"/>
    <w:rsid w:val="003E3395"/>
    <w:rsid w:val="003E36D4"/>
    <w:rsid w:val="003E3A01"/>
    <w:rsid w:val="003E4C2A"/>
    <w:rsid w:val="003E517F"/>
    <w:rsid w:val="003E57CB"/>
    <w:rsid w:val="003E5919"/>
    <w:rsid w:val="003E5F1E"/>
    <w:rsid w:val="003E68BB"/>
    <w:rsid w:val="003E68BD"/>
    <w:rsid w:val="003E694D"/>
    <w:rsid w:val="003F01A1"/>
    <w:rsid w:val="003F1A40"/>
    <w:rsid w:val="003F3220"/>
    <w:rsid w:val="003F3BEB"/>
    <w:rsid w:val="003F3E9D"/>
    <w:rsid w:val="003F47B5"/>
    <w:rsid w:val="003F5BCF"/>
    <w:rsid w:val="003F5C34"/>
    <w:rsid w:val="003F61E3"/>
    <w:rsid w:val="00400AD7"/>
    <w:rsid w:val="00400CA9"/>
    <w:rsid w:val="00400EBC"/>
    <w:rsid w:val="004011AA"/>
    <w:rsid w:val="00402583"/>
    <w:rsid w:val="00402EB4"/>
    <w:rsid w:val="00403469"/>
    <w:rsid w:val="004034EB"/>
    <w:rsid w:val="00404A17"/>
    <w:rsid w:val="004053EF"/>
    <w:rsid w:val="00407282"/>
    <w:rsid w:val="00407BAF"/>
    <w:rsid w:val="0041009B"/>
    <w:rsid w:val="004107B4"/>
    <w:rsid w:val="00411642"/>
    <w:rsid w:val="0041180B"/>
    <w:rsid w:val="00412044"/>
    <w:rsid w:val="004126E6"/>
    <w:rsid w:val="00412BCD"/>
    <w:rsid w:val="00412E44"/>
    <w:rsid w:val="0041305C"/>
    <w:rsid w:val="00413451"/>
    <w:rsid w:val="00414A4A"/>
    <w:rsid w:val="00416B3B"/>
    <w:rsid w:val="00417624"/>
    <w:rsid w:val="00417E5A"/>
    <w:rsid w:val="0042089A"/>
    <w:rsid w:val="004209A7"/>
    <w:rsid w:val="00420F08"/>
    <w:rsid w:val="004223BF"/>
    <w:rsid w:val="00422AD4"/>
    <w:rsid w:val="00422D3A"/>
    <w:rsid w:val="00423F48"/>
    <w:rsid w:val="0042410C"/>
    <w:rsid w:val="00425087"/>
    <w:rsid w:val="00425089"/>
    <w:rsid w:val="0042635E"/>
    <w:rsid w:val="00426B87"/>
    <w:rsid w:val="00427C56"/>
    <w:rsid w:val="00430942"/>
    <w:rsid w:val="00430951"/>
    <w:rsid w:val="0043161B"/>
    <w:rsid w:val="00431BE4"/>
    <w:rsid w:val="00431BFC"/>
    <w:rsid w:val="00432763"/>
    <w:rsid w:val="00432824"/>
    <w:rsid w:val="0043285E"/>
    <w:rsid w:val="00432984"/>
    <w:rsid w:val="00432D26"/>
    <w:rsid w:val="004335DE"/>
    <w:rsid w:val="00433BF2"/>
    <w:rsid w:val="00433C6A"/>
    <w:rsid w:val="00434F4C"/>
    <w:rsid w:val="004351DC"/>
    <w:rsid w:val="00435338"/>
    <w:rsid w:val="004360E4"/>
    <w:rsid w:val="004366C6"/>
    <w:rsid w:val="0043702B"/>
    <w:rsid w:val="0044055A"/>
    <w:rsid w:val="00440C82"/>
    <w:rsid w:val="004413CB"/>
    <w:rsid w:val="00442B57"/>
    <w:rsid w:val="00442D79"/>
    <w:rsid w:val="0044310C"/>
    <w:rsid w:val="00443381"/>
    <w:rsid w:val="004440ED"/>
    <w:rsid w:val="004450C1"/>
    <w:rsid w:val="00445390"/>
    <w:rsid w:val="00445D62"/>
    <w:rsid w:val="00445F75"/>
    <w:rsid w:val="004466AD"/>
    <w:rsid w:val="00446B12"/>
    <w:rsid w:val="0044708F"/>
    <w:rsid w:val="004470D7"/>
    <w:rsid w:val="004475D5"/>
    <w:rsid w:val="00447745"/>
    <w:rsid w:val="00447D33"/>
    <w:rsid w:val="004502DC"/>
    <w:rsid w:val="004502ED"/>
    <w:rsid w:val="004515E6"/>
    <w:rsid w:val="00452BC6"/>
    <w:rsid w:val="004531AC"/>
    <w:rsid w:val="00453D1F"/>
    <w:rsid w:val="0045443C"/>
    <w:rsid w:val="00454912"/>
    <w:rsid w:val="00454B6A"/>
    <w:rsid w:val="0045591F"/>
    <w:rsid w:val="00455AE1"/>
    <w:rsid w:val="004566DE"/>
    <w:rsid w:val="00456871"/>
    <w:rsid w:val="0046001A"/>
    <w:rsid w:val="00460704"/>
    <w:rsid w:val="00461DE8"/>
    <w:rsid w:val="00464C1F"/>
    <w:rsid w:val="00464FA6"/>
    <w:rsid w:val="00465225"/>
    <w:rsid w:val="00465736"/>
    <w:rsid w:val="0046633F"/>
    <w:rsid w:val="0046743A"/>
    <w:rsid w:val="00470274"/>
    <w:rsid w:val="004707C7"/>
    <w:rsid w:val="004707C8"/>
    <w:rsid w:val="00470F6F"/>
    <w:rsid w:val="00471697"/>
    <w:rsid w:val="00471883"/>
    <w:rsid w:val="00471D8C"/>
    <w:rsid w:val="00471E3B"/>
    <w:rsid w:val="004725C4"/>
    <w:rsid w:val="00472C7E"/>
    <w:rsid w:val="00473179"/>
    <w:rsid w:val="00474080"/>
    <w:rsid w:val="00475502"/>
    <w:rsid w:val="00475AEE"/>
    <w:rsid w:val="00476F8E"/>
    <w:rsid w:val="004773D3"/>
    <w:rsid w:val="00477525"/>
    <w:rsid w:val="00477701"/>
    <w:rsid w:val="00477D16"/>
    <w:rsid w:val="00480553"/>
    <w:rsid w:val="00480836"/>
    <w:rsid w:val="0048142D"/>
    <w:rsid w:val="00481767"/>
    <w:rsid w:val="00481795"/>
    <w:rsid w:val="004818EE"/>
    <w:rsid w:val="0048202C"/>
    <w:rsid w:val="00482DAF"/>
    <w:rsid w:val="004833FE"/>
    <w:rsid w:val="00484677"/>
    <w:rsid w:val="00484CBF"/>
    <w:rsid w:val="0048545B"/>
    <w:rsid w:val="00485830"/>
    <w:rsid w:val="00486A1A"/>
    <w:rsid w:val="00486A21"/>
    <w:rsid w:val="00486B43"/>
    <w:rsid w:val="004875A3"/>
    <w:rsid w:val="00491388"/>
    <w:rsid w:val="00491DDF"/>
    <w:rsid w:val="00492FA5"/>
    <w:rsid w:val="00493300"/>
    <w:rsid w:val="0049366D"/>
    <w:rsid w:val="00493D4B"/>
    <w:rsid w:val="0049599F"/>
    <w:rsid w:val="004959E6"/>
    <w:rsid w:val="00495EE8"/>
    <w:rsid w:val="0049673A"/>
    <w:rsid w:val="00497134"/>
    <w:rsid w:val="004973FD"/>
    <w:rsid w:val="00497625"/>
    <w:rsid w:val="004A01D1"/>
    <w:rsid w:val="004A3098"/>
    <w:rsid w:val="004A3838"/>
    <w:rsid w:val="004A3921"/>
    <w:rsid w:val="004A3F06"/>
    <w:rsid w:val="004A4736"/>
    <w:rsid w:val="004A5096"/>
    <w:rsid w:val="004A5D9E"/>
    <w:rsid w:val="004A5F0F"/>
    <w:rsid w:val="004A64C8"/>
    <w:rsid w:val="004A6D9D"/>
    <w:rsid w:val="004A758C"/>
    <w:rsid w:val="004A77E7"/>
    <w:rsid w:val="004B105D"/>
    <w:rsid w:val="004B1170"/>
    <w:rsid w:val="004B1850"/>
    <w:rsid w:val="004B1DAA"/>
    <w:rsid w:val="004B2130"/>
    <w:rsid w:val="004B28D5"/>
    <w:rsid w:val="004B3470"/>
    <w:rsid w:val="004B34C8"/>
    <w:rsid w:val="004B3B13"/>
    <w:rsid w:val="004B42E2"/>
    <w:rsid w:val="004B4790"/>
    <w:rsid w:val="004B49E8"/>
    <w:rsid w:val="004B4AA9"/>
    <w:rsid w:val="004B4AEB"/>
    <w:rsid w:val="004B53CC"/>
    <w:rsid w:val="004B53F6"/>
    <w:rsid w:val="004B5B1D"/>
    <w:rsid w:val="004B63B0"/>
    <w:rsid w:val="004B7236"/>
    <w:rsid w:val="004B75F1"/>
    <w:rsid w:val="004B79E1"/>
    <w:rsid w:val="004B7F12"/>
    <w:rsid w:val="004C0862"/>
    <w:rsid w:val="004C0C42"/>
    <w:rsid w:val="004C1649"/>
    <w:rsid w:val="004C23D3"/>
    <w:rsid w:val="004C2AF6"/>
    <w:rsid w:val="004C2C38"/>
    <w:rsid w:val="004C2E39"/>
    <w:rsid w:val="004C37CD"/>
    <w:rsid w:val="004C3858"/>
    <w:rsid w:val="004C3B5D"/>
    <w:rsid w:val="004C43A6"/>
    <w:rsid w:val="004C4A6C"/>
    <w:rsid w:val="004C509C"/>
    <w:rsid w:val="004C542A"/>
    <w:rsid w:val="004C5DA0"/>
    <w:rsid w:val="004C6AFE"/>
    <w:rsid w:val="004C6D8D"/>
    <w:rsid w:val="004C6F22"/>
    <w:rsid w:val="004C705B"/>
    <w:rsid w:val="004C7622"/>
    <w:rsid w:val="004C76C2"/>
    <w:rsid w:val="004C7A30"/>
    <w:rsid w:val="004C7C96"/>
    <w:rsid w:val="004D073D"/>
    <w:rsid w:val="004D0B8A"/>
    <w:rsid w:val="004D0BB1"/>
    <w:rsid w:val="004D0F14"/>
    <w:rsid w:val="004D11CB"/>
    <w:rsid w:val="004D18CE"/>
    <w:rsid w:val="004D22A5"/>
    <w:rsid w:val="004D2C10"/>
    <w:rsid w:val="004D2E6A"/>
    <w:rsid w:val="004D2FF1"/>
    <w:rsid w:val="004D3224"/>
    <w:rsid w:val="004D3A08"/>
    <w:rsid w:val="004D467D"/>
    <w:rsid w:val="004D5999"/>
    <w:rsid w:val="004D71DA"/>
    <w:rsid w:val="004D734E"/>
    <w:rsid w:val="004D744B"/>
    <w:rsid w:val="004D767B"/>
    <w:rsid w:val="004E014B"/>
    <w:rsid w:val="004E02C8"/>
    <w:rsid w:val="004E076D"/>
    <w:rsid w:val="004E0B1B"/>
    <w:rsid w:val="004E0B8B"/>
    <w:rsid w:val="004E1552"/>
    <w:rsid w:val="004E1BD3"/>
    <w:rsid w:val="004E200C"/>
    <w:rsid w:val="004E2C7F"/>
    <w:rsid w:val="004E2D7A"/>
    <w:rsid w:val="004E2DA2"/>
    <w:rsid w:val="004E3135"/>
    <w:rsid w:val="004E319C"/>
    <w:rsid w:val="004E3B79"/>
    <w:rsid w:val="004E494A"/>
    <w:rsid w:val="004E64B1"/>
    <w:rsid w:val="004E74B3"/>
    <w:rsid w:val="004E7A57"/>
    <w:rsid w:val="004F11A2"/>
    <w:rsid w:val="004F1343"/>
    <w:rsid w:val="004F15CC"/>
    <w:rsid w:val="004F1838"/>
    <w:rsid w:val="004F1A17"/>
    <w:rsid w:val="004F1B34"/>
    <w:rsid w:val="004F1CC9"/>
    <w:rsid w:val="004F2369"/>
    <w:rsid w:val="004F23BA"/>
    <w:rsid w:val="004F2ACB"/>
    <w:rsid w:val="004F35A7"/>
    <w:rsid w:val="004F3F87"/>
    <w:rsid w:val="004F4559"/>
    <w:rsid w:val="004F4D8A"/>
    <w:rsid w:val="004F591C"/>
    <w:rsid w:val="004F6674"/>
    <w:rsid w:val="004F76E0"/>
    <w:rsid w:val="004F7752"/>
    <w:rsid w:val="004F7C51"/>
    <w:rsid w:val="005000A4"/>
    <w:rsid w:val="00501044"/>
    <w:rsid w:val="005019A4"/>
    <w:rsid w:val="00501BFC"/>
    <w:rsid w:val="00502409"/>
    <w:rsid w:val="005037F6"/>
    <w:rsid w:val="00503A4C"/>
    <w:rsid w:val="00503BF5"/>
    <w:rsid w:val="005040A4"/>
    <w:rsid w:val="00505FF8"/>
    <w:rsid w:val="00506058"/>
    <w:rsid w:val="00506CD7"/>
    <w:rsid w:val="00506D4F"/>
    <w:rsid w:val="00507500"/>
    <w:rsid w:val="00507FA8"/>
    <w:rsid w:val="0051022B"/>
    <w:rsid w:val="00510703"/>
    <w:rsid w:val="0051093E"/>
    <w:rsid w:val="005109B7"/>
    <w:rsid w:val="005115FE"/>
    <w:rsid w:val="00511D50"/>
    <w:rsid w:val="005121B8"/>
    <w:rsid w:val="00512D1C"/>
    <w:rsid w:val="00513C51"/>
    <w:rsid w:val="00513C8F"/>
    <w:rsid w:val="0051422F"/>
    <w:rsid w:val="00514540"/>
    <w:rsid w:val="00514F23"/>
    <w:rsid w:val="0051507F"/>
    <w:rsid w:val="00515745"/>
    <w:rsid w:val="00516D33"/>
    <w:rsid w:val="00517E9E"/>
    <w:rsid w:val="00521951"/>
    <w:rsid w:val="00521B54"/>
    <w:rsid w:val="00521D50"/>
    <w:rsid w:val="00521D8F"/>
    <w:rsid w:val="00521EC2"/>
    <w:rsid w:val="005231E1"/>
    <w:rsid w:val="00523CEB"/>
    <w:rsid w:val="00524E75"/>
    <w:rsid w:val="0052627D"/>
    <w:rsid w:val="005272E3"/>
    <w:rsid w:val="00527EA7"/>
    <w:rsid w:val="00530B18"/>
    <w:rsid w:val="00531431"/>
    <w:rsid w:val="00531F4E"/>
    <w:rsid w:val="0053215B"/>
    <w:rsid w:val="005321CC"/>
    <w:rsid w:val="005321F8"/>
    <w:rsid w:val="005325E4"/>
    <w:rsid w:val="00532929"/>
    <w:rsid w:val="00532A21"/>
    <w:rsid w:val="00532DFB"/>
    <w:rsid w:val="005330C1"/>
    <w:rsid w:val="0053327D"/>
    <w:rsid w:val="005348CC"/>
    <w:rsid w:val="005353D2"/>
    <w:rsid w:val="0053591A"/>
    <w:rsid w:val="00535B0D"/>
    <w:rsid w:val="005368BD"/>
    <w:rsid w:val="00536BFE"/>
    <w:rsid w:val="00536E72"/>
    <w:rsid w:val="00537410"/>
    <w:rsid w:val="0054058C"/>
    <w:rsid w:val="005407EA"/>
    <w:rsid w:val="005411A8"/>
    <w:rsid w:val="00541426"/>
    <w:rsid w:val="005419AB"/>
    <w:rsid w:val="00542A29"/>
    <w:rsid w:val="00543B83"/>
    <w:rsid w:val="00543CC5"/>
    <w:rsid w:val="00543D06"/>
    <w:rsid w:val="00543D8A"/>
    <w:rsid w:val="005441AF"/>
    <w:rsid w:val="005442F5"/>
    <w:rsid w:val="00544539"/>
    <w:rsid w:val="005446B5"/>
    <w:rsid w:val="005448A5"/>
    <w:rsid w:val="0054491C"/>
    <w:rsid w:val="00544B0E"/>
    <w:rsid w:val="00544BB2"/>
    <w:rsid w:val="00545795"/>
    <w:rsid w:val="0054588A"/>
    <w:rsid w:val="00545A91"/>
    <w:rsid w:val="0054686B"/>
    <w:rsid w:val="00546BB7"/>
    <w:rsid w:val="00547732"/>
    <w:rsid w:val="00550629"/>
    <w:rsid w:val="005512AC"/>
    <w:rsid w:val="005526ED"/>
    <w:rsid w:val="00553339"/>
    <w:rsid w:val="005533B5"/>
    <w:rsid w:val="0055460E"/>
    <w:rsid w:val="0055472E"/>
    <w:rsid w:val="005552A1"/>
    <w:rsid w:val="00555455"/>
    <w:rsid w:val="00555A1A"/>
    <w:rsid w:val="00555D49"/>
    <w:rsid w:val="005563FA"/>
    <w:rsid w:val="00557045"/>
    <w:rsid w:val="00557111"/>
    <w:rsid w:val="0055755B"/>
    <w:rsid w:val="00560D6D"/>
    <w:rsid w:val="00560EC8"/>
    <w:rsid w:val="00562218"/>
    <w:rsid w:val="005626E8"/>
    <w:rsid w:val="00562A81"/>
    <w:rsid w:val="00562FA1"/>
    <w:rsid w:val="00563589"/>
    <w:rsid w:val="005644A6"/>
    <w:rsid w:val="0056585E"/>
    <w:rsid w:val="005660CE"/>
    <w:rsid w:val="00567362"/>
    <w:rsid w:val="00567E50"/>
    <w:rsid w:val="00570D51"/>
    <w:rsid w:val="00571221"/>
    <w:rsid w:val="0057143D"/>
    <w:rsid w:val="0057149C"/>
    <w:rsid w:val="0057157F"/>
    <w:rsid w:val="00572133"/>
    <w:rsid w:val="00572EC1"/>
    <w:rsid w:val="005748F7"/>
    <w:rsid w:val="00575224"/>
    <w:rsid w:val="0057532C"/>
    <w:rsid w:val="00575B04"/>
    <w:rsid w:val="005765BB"/>
    <w:rsid w:val="00576F4D"/>
    <w:rsid w:val="0058083A"/>
    <w:rsid w:val="00580EE2"/>
    <w:rsid w:val="00581C8A"/>
    <w:rsid w:val="0058344F"/>
    <w:rsid w:val="005836A2"/>
    <w:rsid w:val="00584E9E"/>
    <w:rsid w:val="00585E32"/>
    <w:rsid w:val="00585FD9"/>
    <w:rsid w:val="0058674C"/>
    <w:rsid w:val="00587202"/>
    <w:rsid w:val="00587991"/>
    <w:rsid w:val="00587FA4"/>
    <w:rsid w:val="00591013"/>
    <w:rsid w:val="005918E2"/>
    <w:rsid w:val="00591E0F"/>
    <w:rsid w:val="005924EC"/>
    <w:rsid w:val="00592584"/>
    <w:rsid w:val="00593BBE"/>
    <w:rsid w:val="00593F0D"/>
    <w:rsid w:val="0059451C"/>
    <w:rsid w:val="005946B7"/>
    <w:rsid w:val="005947DE"/>
    <w:rsid w:val="00594A7B"/>
    <w:rsid w:val="005964AC"/>
    <w:rsid w:val="00596F1C"/>
    <w:rsid w:val="0059755A"/>
    <w:rsid w:val="00597EF7"/>
    <w:rsid w:val="005A013F"/>
    <w:rsid w:val="005A08A4"/>
    <w:rsid w:val="005A0B81"/>
    <w:rsid w:val="005A148D"/>
    <w:rsid w:val="005A1EA3"/>
    <w:rsid w:val="005A23E4"/>
    <w:rsid w:val="005A2642"/>
    <w:rsid w:val="005A2862"/>
    <w:rsid w:val="005A2CC7"/>
    <w:rsid w:val="005A31CD"/>
    <w:rsid w:val="005A39EC"/>
    <w:rsid w:val="005A3CCD"/>
    <w:rsid w:val="005A3CEB"/>
    <w:rsid w:val="005A400D"/>
    <w:rsid w:val="005A5257"/>
    <w:rsid w:val="005A572C"/>
    <w:rsid w:val="005A5BB7"/>
    <w:rsid w:val="005A5D62"/>
    <w:rsid w:val="005A60CD"/>
    <w:rsid w:val="005A62A8"/>
    <w:rsid w:val="005A6843"/>
    <w:rsid w:val="005B052A"/>
    <w:rsid w:val="005B1138"/>
    <w:rsid w:val="005B1406"/>
    <w:rsid w:val="005B17E1"/>
    <w:rsid w:val="005B1DBF"/>
    <w:rsid w:val="005B2318"/>
    <w:rsid w:val="005B40A1"/>
    <w:rsid w:val="005B4ED1"/>
    <w:rsid w:val="005B5497"/>
    <w:rsid w:val="005B5A7A"/>
    <w:rsid w:val="005B60AC"/>
    <w:rsid w:val="005B677D"/>
    <w:rsid w:val="005B7D3D"/>
    <w:rsid w:val="005C024D"/>
    <w:rsid w:val="005C088D"/>
    <w:rsid w:val="005C0AE0"/>
    <w:rsid w:val="005C1000"/>
    <w:rsid w:val="005C155B"/>
    <w:rsid w:val="005C199D"/>
    <w:rsid w:val="005C1AD6"/>
    <w:rsid w:val="005C1B97"/>
    <w:rsid w:val="005C20A4"/>
    <w:rsid w:val="005C2B80"/>
    <w:rsid w:val="005C2F7D"/>
    <w:rsid w:val="005C4548"/>
    <w:rsid w:val="005C5774"/>
    <w:rsid w:val="005C5BF0"/>
    <w:rsid w:val="005C6471"/>
    <w:rsid w:val="005C6997"/>
    <w:rsid w:val="005C6DDD"/>
    <w:rsid w:val="005C6F00"/>
    <w:rsid w:val="005D0924"/>
    <w:rsid w:val="005D1BDD"/>
    <w:rsid w:val="005D21FF"/>
    <w:rsid w:val="005D2D1C"/>
    <w:rsid w:val="005D3061"/>
    <w:rsid w:val="005D383B"/>
    <w:rsid w:val="005D44DC"/>
    <w:rsid w:val="005D467D"/>
    <w:rsid w:val="005D47A2"/>
    <w:rsid w:val="005D4AE5"/>
    <w:rsid w:val="005D4AEC"/>
    <w:rsid w:val="005D4C37"/>
    <w:rsid w:val="005D4FA5"/>
    <w:rsid w:val="005D56D9"/>
    <w:rsid w:val="005D5F26"/>
    <w:rsid w:val="005D5F8E"/>
    <w:rsid w:val="005D70FB"/>
    <w:rsid w:val="005D7362"/>
    <w:rsid w:val="005E18D8"/>
    <w:rsid w:val="005E19F5"/>
    <w:rsid w:val="005E2296"/>
    <w:rsid w:val="005E235C"/>
    <w:rsid w:val="005E28F4"/>
    <w:rsid w:val="005E2AA9"/>
    <w:rsid w:val="005E2DDD"/>
    <w:rsid w:val="005E2F86"/>
    <w:rsid w:val="005E382B"/>
    <w:rsid w:val="005E3BE0"/>
    <w:rsid w:val="005E4224"/>
    <w:rsid w:val="005E61BA"/>
    <w:rsid w:val="005E7303"/>
    <w:rsid w:val="005E756C"/>
    <w:rsid w:val="005E76C5"/>
    <w:rsid w:val="005F080D"/>
    <w:rsid w:val="005F0932"/>
    <w:rsid w:val="005F0CE3"/>
    <w:rsid w:val="005F0E95"/>
    <w:rsid w:val="005F12C1"/>
    <w:rsid w:val="005F19C5"/>
    <w:rsid w:val="005F1E8D"/>
    <w:rsid w:val="005F230D"/>
    <w:rsid w:val="005F40B2"/>
    <w:rsid w:val="005F4871"/>
    <w:rsid w:val="005F4F26"/>
    <w:rsid w:val="005F593C"/>
    <w:rsid w:val="005F6157"/>
    <w:rsid w:val="005F6425"/>
    <w:rsid w:val="005F78CC"/>
    <w:rsid w:val="005F79A8"/>
    <w:rsid w:val="0060097A"/>
    <w:rsid w:val="006017E9"/>
    <w:rsid w:val="006029D6"/>
    <w:rsid w:val="00604FAC"/>
    <w:rsid w:val="0060516A"/>
    <w:rsid w:val="0060642F"/>
    <w:rsid w:val="006064E8"/>
    <w:rsid w:val="006066C4"/>
    <w:rsid w:val="00606F4C"/>
    <w:rsid w:val="00610576"/>
    <w:rsid w:val="006108F9"/>
    <w:rsid w:val="006109D8"/>
    <w:rsid w:val="0061148C"/>
    <w:rsid w:val="00611670"/>
    <w:rsid w:val="0061197D"/>
    <w:rsid w:val="00611F29"/>
    <w:rsid w:val="006121EA"/>
    <w:rsid w:val="00613EDD"/>
    <w:rsid w:val="006143AB"/>
    <w:rsid w:val="006155BA"/>
    <w:rsid w:val="00615F57"/>
    <w:rsid w:val="0061702E"/>
    <w:rsid w:val="00620AA5"/>
    <w:rsid w:val="00622207"/>
    <w:rsid w:val="00623868"/>
    <w:rsid w:val="006243B9"/>
    <w:rsid w:val="00624E78"/>
    <w:rsid w:val="00624F2A"/>
    <w:rsid w:val="00625D7D"/>
    <w:rsid w:val="006260EA"/>
    <w:rsid w:val="00626308"/>
    <w:rsid w:val="00627D00"/>
    <w:rsid w:val="006308D9"/>
    <w:rsid w:val="00630B99"/>
    <w:rsid w:val="0063153F"/>
    <w:rsid w:val="00631632"/>
    <w:rsid w:val="00633BF5"/>
    <w:rsid w:val="00633FAB"/>
    <w:rsid w:val="00635255"/>
    <w:rsid w:val="00635E70"/>
    <w:rsid w:val="0063675C"/>
    <w:rsid w:val="0064002D"/>
    <w:rsid w:val="00640135"/>
    <w:rsid w:val="00640B5A"/>
    <w:rsid w:val="006423DF"/>
    <w:rsid w:val="00642435"/>
    <w:rsid w:val="00642A76"/>
    <w:rsid w:val="00642A9A"/>
    <w:rsid w:val="006439F2"/>
    <w:rsid w:val="00643A9E"/>
    <w:rsid w:val="00643EC4"/>
    <w:rsid w:val="006450CF"/>
    <w:rsid w:val="00645B60"/>
    <w:rsid w:val="00645EDE"/>
    <w:rsid w:val="0064777E"/>
    <w:rsid w:val="00647C24"/>
    <w:rsid w:val="0065001E"/>
    <w:rsid w:val="006510E5"/>
    <w:rsid w:val="0065176C"/>
    <w:rsid w:val="00653D94"/>
    <w:rsid w:val="00655093"/>
    <w:rsid w:val="00655BCA"/>
    <w:rsid w:val="00657A15"/>
    <w:rsid w:val="006606E0"/>
    <w:rsid w:val="00661448"/>
    <w:rsid w:val="00662B8D"/>
    <w:rsid w:val="00663134"/>
    <w:rsid w:val="006638A4"/>
    <w:rsid w:val="0066466C"/>
    <w:rsid w:val="00664A1B"/>
    <w:rsid w:val="00664E89"/>
    <w:rsid w:val="00665978"/>
    <w:rsid w:val="00665F1E"/>
    <w:rsid w:val="0066685D"/>
    <w:rsid w:val="00666A4A"/>
    <w:rsid w:val="006670A4"/>
    <w:rsid w:val="0066718D"/>
    <w:rsid w:val="006678F6"/>
    <w:rsid w:val="00667E7F"/>
    <w:rsid w:val="006705B2"/>
    <w:rsid w:val="006705DE"/>
    <w:rsid w:val="0067101D"/>
    <w:rsid w:val="00671065"/>
    <w:rsid w:val="00671224"/>
    <w:rsid w:val="006722D2"/>
    <w:rsid w:val="00673680"/>
    <w:rsid w:val="00674A9F"/>
    <w:rsid w:val="00674E1A"/>
    <w:rsid w:val="006755F6"/>
    <w:rsid w:val="006758F7"/>
    <w:rsid w:val="006759E3"/>
    <w:rsid w:val="00676A29"/>
    <w:rsid w:val="00677034"/>
    <w:rsid w:val="00677C4F"/>
    <w:rsid w:val="0068039B"/>
    <w:rsid w:val="0068093C"/>
    <w:rsid w:val="00681DE1"/>
    <w:rsid w:val="0068245F"/>
    <w:rsid w:val="006834C3"/>
    <w:rsid w:val="00683B29"/>
    <w:rsid w:val="00683F58"/>
    <w:rsid w:val="006842BD"/>
    <w:rsid w:val="006848F5"/>
    <w:rsid w:val="00684A76"/>
    <w:rsid w:val="00685DA5"/>
    <w:rsid w:val="00686362"/>
    <w:rsid w:val="00686865"/>
    <w:rsid w:val="00686A0D"/>
    <w:rsid w:val="00686D0B"/>
    <w:rsid w:val="00687340"/>
    <w:rsid w:val="006874CE"/>
    <w:rsid w:val="00690030"/>
    <w:rsid w:val="00690245"/>
    <w:rsid w:val="00690328"/>
    <w:rsid w:val="00691129"/>
    <w:rsid w:val="0069182D"/>
    <w:rsid w:val="00691F85"/>
    <w:rsid w:val="006921E9"/>
    <w:rsid w:val="00692B1E"/>
    <w:rsid w:val="00692E9C"/>
    <w:rsid w:val="00693BA4"/>
    <w:rsid w:val="00693BDF"/>
    <w:rsid w:val="00693E00"/>
    <w:rsid w:val="0069495F"/>
    <w:rsid w:val="006951C5"/>
    <w:rsid w:val="00695398"/>
    <w:rsid w:val="0069563C"/>
    <w:rsid w:val="0069592A"/>
    <w:rsid w:val="0069601C"/>
    <w:rsid w:val="006960B3"/>
    <w:rsid w:val="0069623F"/>
    <w:rsid w:val="00696D92"/>
    <w:rsid w:val="006A0A3E"/>
    <w:rsid w:val="006A181B"/>
    <w:rsid w:val="006A1D28"/>
    <w:rsid w:val="006A22F7"/>
    <w:rsid w:val="006A35A8"/>
    <w:rsid w:val="006A3BCB"/>
    <w:rsid w:val="006A3EA6"/>
    <w:rsid w:val="006A4D41"/>
    <w:rsid w:val="006A4F36"/>
    <w:rsid w:val="006A5278"/>
    <w:rsid w:val="006A55BC"/>
    <w:rsid w:val="006A613B"/>
    <w:rsid w:val="006A63FA"/>
    <w:rsid w:val="006A6B02"/>
    <w:rsid w:val="006A6B0C"/>
    <w:rsid w:val="006A790D"/>
    <w:rsid w:val="006A7C3F"/>
    <w:rsid w:val="006B0411"/>
    <w:rsid w:val="006B074D"/>
    <w:rsid w:val="006B08FD"/>
    <w:rsid w:val="006B0BF2"/>
    <w:rsid w:val="006B0DE5"/>
    <w:rsid w:val="006B115F"/>
    <w:rsid w:val="006B1753"/>
    <w:rsid w:val="006B239B"/>
    <w:rsid w:val="006B3C57"/>
    <w:rsid w:val="006B3C58"/>
    <w:rsid w:val="006B54A1"/>
    <w:rsid w:val="006B65A5"/>
    <w:rsid w:val="006B6C94"/>
    <w:rsid w:val="006B7417"/>
    <w:rsid w:val="006B7464"/>
    <w:rsid w:val="006B7B1E"/>
    <w:rsid w:val="006C035B"/>
    <w:rsid w:val="006C06BF"/>
    <w:rsid w:val="006C18BD"/>
    <w:rsid w:val="006C1B48"/>
    <w:rsid w:val="006C23DB"/>
    <w:rsid w:val="006C262B"/>
    <w:rsid w:val="006C2769"/>
    <w:rsid w:val="006C27C0"/>
    <w:rsid w:val="006C282B"/>
    <w:rsid w:val="006C2C62"/>
    <w:rsid w:val="006C2F70"/>
    <w:rsid w:val="006C39CB"/>
    <w:rsid w:val="006C4C20"/>
    <w:rsid w:val="006C4F13"/>
    <w:rsid w:val="006C624E"/>
    <w:rsid w:val="006C749D"/>
    <w:rsid w:val="006C7C10"/>
    <w:rsid w:val="006C7CEC"/>
    <w:rsid w:val="006D00BF"/>
    <w:rsid w:val="006D0E3B"/>
    <w:rsid w:val="006D20E7"/>
    <w:rsid w:val="006D2345"/>
    <w:rsid w:val="006D26DF"/>
    <w:rsid w:val="006D3129"/>
    <w:rsid w:val="006D3281"/>
    <w:rsid w:val="006D3491"/>
    <w:rsid w:val="006D35D3"/>
    <w:rsid w:val="006D396A"/>
    <w:rsid w:val="006D4B28"/>
    <w:rsid w:val="006D4C66"/>
    <w:rsid w:val="006D569F"/>
    <w:rsid w:val="006D5D05"/>
    <w:rsid w:val="006D5DDC"/>
    <w:rsid w:val="006D6C7B"/>
    <w:rsid w:val="006E031A"/>
    <w:rsid w:val="006E0426"/>
    <w:rsid w:val="006E0BCD"/>
    <w:rsid w:val="006E1136"/>
    <w:rsid w:val="006E1695"/>
    <w:rsid w:val="006E1898"/>
    <w:rsid w:val="006E3196"/>
    <w:rsid w:val="006E3DD9"/>
    <w:rsid w:val="006E4473"/>
    <w:rsid w:val="006E5B3F"/>
    <w:rsid w:val="006E62D4"/>
    <w:rsid w:val="006E662E"/>
    <w:rsid w:val="006E6AC2"/>
    <w:rsid w:val="006E6CAD"/>
    <w:rsid w:val="006E70CC"/>
    <w:rsid w:val="006F0A18"/>
    <w:rsid w:val="006F0A73"/>
    <w:rsid w:val="006F1D88"/>
    <w:rsid w:val="006F277F"/>
    <w:rsid w:val="006F2D84"/>
    <w:rsid w:val="006F2E4A"/>
    <w:rsid w:val="006F4293"/>
    <w:rsid w:val="006F4552"/>
    <w:rsid w:val="006F458D"/>
    <w:rsid w:val="006F4828"/>
    <w:rsid w:val="006F4F77"/>
    <w:rsid w:val="006F50AF"/>
    <w:rsid w:val="006F553D"/>
    <w:rsid w:val="006F582D"/>
    <w:rsid w:val="006F64E1"/>
    <w:rsid w:val="006F747E"/>
    <w:rsid w:val="006F7520"/>
    <w:rsid w:val="00700171"/>
    <w:rsid w:val="00700832"/>
    <w:rsid w:val="00701284"/>
    <w:rsid w:val="00702CB5"/>
    <w:rsid w:val="00703260"/>
    <w:rsid w:val="0070367A"/>
    <w:rsid w:val="00704C8B"/>
    <w:rsid w:val="00705794"/>
    <w:rsid w:val="00705B64"/>
    <w:rsid w:val="00706431"/>
    <w:rsid w:val="007074D0"/>
    <w:rsid w:val="00710625"/>
    <w:rsid w:val="007106C2"/>
    <w:rsid w:val="00710C88"/>
    <w:rsid w:val="00710DAA"/>
    <w:rsid w:val="007117F1"/>
    <w:rsid w:val="007119BB"/>
    <w:rsid w:val="00711D10"/>
    <w:rsid w:val="00713528"/>
    <w:rsid w:val="00713EA6"/>
    <w:rsid w:val="007140A2"/>
    <w:rsid w:val="00714A51"/>
    <w:rsid w:val="00714CDE"/>
    <w:rsid w:val="00714EB7"/>
    <w:rsid w:val="0071509B"/>
    <w:rsid w:val="00715139"/>
    <w:rsid w:val="00715621"/>
    <w:rsid w:val="00716534"/>
    <w:rsid w:val="00716606"/>
    <w:rsid w:val="00716608"/>
    <w:rsid w:val="00716A1A"/>
    <w:rsid w:val="00716CD1"/>
    <w:rsid w:val="00717636"/>
    <w:rsid w:val="007177A7"/>
    <w:rsid w:val="007202DB"/>
    <w:rsid w:val="007214C5"/>
    <w:rsid w:val="0072298B"/>
    <w:rsid w:val="0072384B"/>
    <w:rsid w:val="007242DC"/>
    <w:rsid w:val="0072490C"/>
    <w:rsid w:val="00724B9B"/>
    <w:rsid w:val="00725DE0"/>
    <w:rsid w:val="0072616C"/>
    <w:rsid w:val="007269F7"/>
    <w:rsid w:val="00727342"/>
    <w:rsid w:val="00727779"/>
    <w:rsid w:val="007277AD"/>
    <w:rsid w:val="007300DD"/>
    <w:rsid w:val="007304A8"/>
    <w:rsid w:val="00730525"/>
    <w:rsid w:val="0073179E"/>
    <w:rsid w:val="00731F7F"/>
    <w:rsid w:val="007325E2"/>
    <w:rsid w:val="0073381F"/>
    <w:rsid w:val="00733895"/>
    <w:rsid w:val="007342C3"/>
    <w:rsid w:val="00734832"/>
    <w:rsid w:val="00734876"/>
    <w:rsid w:val="00734ACA"/>
    <w:rsid w:val="0073513A"/>
    <w:rsid w:val="00736046"/>
    <w:rsid w:val="007360D1"/>
    <w:rsid w:val="007365A8"/>
    <w:rsid w:val="007371B3"/>
    <w:rsid w:val="007374F9"/>
    <w:rsid w:val="007379EA"/>
    <w:rsid w:val="007400B4"/>
    <w:rsid w:val="00740308"/>
    <w:rsid w:val="00741040"/>
    <w:rsid w:val="00742679"/>
    <w:rsid w:val="00743444"/>
    <w:rsid w:val="00743AD6"/>
    <w:rsid w:val="00743F3F"/>
    <w:rsid w:val="0074432E"/>
    <w:rsid w:val="00744E11"/>
    <w:rsid w:val="00744FBD"/>
    <w:rsid w:val="0074504E"/>
    <w:rsid w:val="00746042"/>
    <w:rsid w:val="00746366"/>
    <w:rsid w:val="007467A9"/>
    <w:rsid w:val="00746A43"/>
    <w:rsid w:val="007478A7"/>
    <w:rsid w:val="007502C1"/>
    <w:rsid w:val="00750B68"/>
    <w:rsid w:val="00751908"/>
    <w:rsid w:val="007534C4"/>
    <w:rsid w:val="00753A85"/>
    <w:rsid w:val="00753B7B"/>
    <w:rsid w:val="0075429D"/>
    <w:rsid w:val="00754642"/>
    <w:rsid w:val="007547AE"/>
    <w:rsid w:val="00754981"/>
    <w:rsid w:val="00754AB9"/>
    <w:rsid w:val="00755610"/>
    <w:rsid w:val="00755ABE"/>
    <w:rsid w:val="00755E3E"/>
    <w:rsid w:val="007563E2"/>
    <w:rsid w:val="00757417"/>
    <w:rsid w:val="00760494"/>
    <w:rsid w:val="007604A4"/>
    <w:rsid w:val="007607ED"/>
    <w:rsid w:val="00760D60"/>
    <w:rsid w:val="00761274"/>
    <w:rsid w:val="007636D1"/>
    <w:rsid w:val="00763D4C"/>
    <w:rsid w:val="00763F94"/>
    <w:rsid w:val="0076664C"/>
    <w:rsid w:val="007669C8"/>
    <w:rsid w:val="00767292"/>
    <w:rsid w:val="0076748C"/>
    <w:rsid w:val="00767C3A"/>
    <w:rsid w:val="007707B5"/>
    <w:rsid w:val="00770EB2"/>
    <w:rsid w:val="007723B0"/>
    <w:rsid w:val="007739A6"/>
    <w:rsid w:val="00774182"/>
    <w:rsid w:val="007744AE"/>
    <w:rsid w:val="007748E7"/>
    <w:rsid w:val="00774DF3"/>
    <w:rsid w:val="00775843"/>
    <w:rsid w:val="00775A92"/>
    <w:rsid w:val="00775B3B"/>
    <w:rsid w:val="00777A03"/>
    <w:rsid w:val="0078011F"/>
    <w:rsid w:val="0078042F"/>
    <w:rsid w:val="00781721"/>
    <w:rsid w:val="00781EAE"/>
    <w:rsid w:val="00782490"/>
    <w:rsid w:val="00782901"/>
    <w:rsid w:val="00782BAE"/>
    <w:rsid w:val="00783346"/>
    <w:rsid w:val="00783D11"/>
    <w:rsid w:val="00783E7C"/>
    <w:rsid w:val="00783F13"/>
    <w:rsid w:val="007842D2"/>
    <w:rsid w:val="0078486C"/>
    <w:rsid w:val="007848E0"/>
    <w:rsid w:val="00784DDA"/>
    <w:rsid w:val="00785336"/>
    <w:rsid w:val="007866FA"/>
    <w:rsid w:val="00787B7F"/>
    <w:rsid w:val="00790024"/>
    <w:rsid w:val="00790E82"/>
    <w:rsid w:val="00791464"/>
    <w:rsid w:val="00791D97"/>
    <w:rsid w:val="007926D6"/>
    <w:rsid w:val="00792D78"/>
    <w:rsid w:val="00792E1F"/>
    <w:rsid w:val="00793624"/>
    <w:rsid w:val="007938EB"/>
    <w:rsid w:val="00793BD4"/>
    <w:rsid w:val="00794A3D"/>
    <w:rsid w:val="0079523F"/>
    <w:rsid w:val="00796D72"/>
    <w:rsid w:val="007973DC"/>
    <w:rsid w:val="00797895"/>
    <w:rsid w:val="007A033E"/>
    <w:rsid w:val="007A06B7"/>
    <w:rsid w:val="007A0E4B"/>
    <w:rsid w:val="007A1C74"/>
    <w:rsid w:val="007A1CA7"/>
    <w:rsid w:val="007A2C37"/>
    <w:rsid w:val="007A2FA7"/>
    <w:rsid w:val="007A3561"/>
    <w:rsid w:val="007A3F61"/>
    <w:rsid w:val="007A4AF5"/>
    <w:rsid w:val="007A53D9"/>
    <w:rsid w:val="007A5668"/>
    <w:rsid w:val="007A57E2"/>
    <w:rsid w:val="007A6186"/>
    <w:rsid w:val="007A63FF"/>
    <w:rsid w:val="007A650F"/>
    <w:rsid w:val="007A7572"/>
    <w:rsid w:val="007B027F"/>
    <w:rsid w:val="007B0B19"/>
    <w:rsid w:val="007B0BEA"/>
    <w:rsid w:val="007B0EC1"/>
    <w:rsid w:val="007B100A"/>
    <w:rsid w:val="007B21A5"/>
    <w:rsid w:val="007B2AD6"/>
    <w:rsid w:val="007B3938"/>
    <w:rsid w:val="007B4330"/>
    <w:rsid w:val="007B47E7"/>
    <w:rsid w:val="007B5616"/>
    <w:rsid w:val="007B69B9"/>
    <w:rsid w:val="007B6CA4"/>
    <w:rsid w:val="007B7BB1"/>
    <w:rsid w:val="007C03AF"/>
    <w:rsid w:val="007C101B"/>
    <w:rsid w:val="007C38E7"/>
    <w:rsid w:val="007C3B9D"/>
    <w:rsid w:val="007C3CD7"/>
    <w:rsid w:val="007C3CE3"/>
    <w:rsid w:val="007C4C8A"/>
    <w:rsid w:val="007C5BB2"/>
    <w:rsid w:val="007C6AEC"/>
    <w:rsid w:val="007C72DA"/>
    <w:rsid w:val="007D0782"/>
    <w:rsid w:val="007D1020"/>
    <w:rsid w:val="007D1224"/>
    <w:rsid w:val="007D1363"/>
    <w:rsid w:val="007D1E2F"/>
    <w:rsid w:val="007D3D70"/>
    <w:rsid w:val="007D4B55"/>
    <w:rsid w:val="007D4ED8"/>
    <w:rsid w:val="007D6680"/>
    <w:rsid w:val="007D6BAE"/>
    <w:rsid w:val="007D7196"/>
    <w:rsid w:val="007D71F6"/>
    <w:rsid w:val="007D728E"/>
    <w:rsid w:val="007D7823"/>
    <w:rsid w:val="007D799D"/>
    <w:rsid w:val="007E2865"/>
    <w:rsid w:val="007E3585"/>
    <w:rsid w:val="007E4430"/>
    <w:rsid w:val="007E5096"/>
    <w:rsid w:val="007E6795"/>
    <w:rsid w:val="007E7D43"/>
    <w:rsid w:val="007F0BE2"/>
    <w:rsid w:val="007F30D5"/>
    <w:rsid w:val="007F3E00"/>
    <w:rsid w:val="007F4056"/>
    <w:rsid w:val="007F577B"/>
    <w:rsid w:val="007F5B3F"/>
    <w:rsid w:val="007F62DD"/>
    <w:rsid w:val="007F6B75"/>
    <w:rsid w:val="007F6E0B"/>
    <w:rsid w:val="007F72D6"/>
    <w:rsid w:val="007F74D4"/>
    <w:rsid w:val="007F7DBD"/>
    <w:rsid w:val="00800031"/>
    <w:rsid w:val="00800070"/>
    <w:rsid w:val="0080015C"/>
    <w:rsid w:val="00800ACD"/>
    <w:rsid w:val="00800E12"/>
    <w:rsid w:val="00800F52"/>
    <w:rsid w:val="008013AD"/>
    <w:rsid w:val="00801AAA"/>
    <w:rsid w:val="00801F85"/>
    <w:rsid w:val="008026E5"/>
    <w:rsid w:val="00802F0D"/>
    <w:rsid w:val="0080312C"/>
    <w:rsid w:val="008033CE"/>
    <w:rsid w:val="00803C36"/>
    <w:rsid w:val="0080467B"/>
    <w:rsid w:val="00804E5E"/>
    <w:rsid w:val="0080653E"/>
    <w:rsid w:val="008107C4"/>
    <w:rsid w:val="0081136A"/>
    <w:rsid w:val="008118C5"/>
    <w:rsid w:val="00811B37"/>
    <w:rsid w:val="00811F14"/>
    <w:rsid w:val="00812282"/>
    <w:rsid w:val="00813727"/>
    <w:rsid w:val="008138D5"/>
    <w:rsid w:val="00814B18"/>
    <w:rsid w:val="00814D30"/>
    <w:rsid w:val="008153B2"/>
    <w:rsid w:val="00815CED"/>
    <w:rsid w:val="00815D3C"/>
    <w:rsid w:val="008169DA"/>
    <w:rsid w:val="00816C16"/>
    <w:rsid w:val="00816EFD"/>
    <w:rsid w:val="00817EBB"/>
    <w:rsid w:val="008202B5"/>
    <w:rsid w:val="008206FF"/>
    <w:rsid w:val="00821C71"/>
    <w:rsid w:val="00821E66"/>
    <w:rsid w:val="0082295F"/>
    <w:rsid w:val="0082309B"/>
    <w:rsid w:val="008244E0"/>
    <w:rsid w:val="00824BAE"/>
    <w:rsid w:val="008256F5"/>
    <w:rsid w:val="00825D30"/>
    <w:rsid w:val="008266DA"/>
    <w:rsid w:val="00826B1A"/>
    <w:rsid w:val="00826F1F"/>
    <w:rsid w:val="00827F74"/>
    <w:rsid w:val="0083004E"/>
    <w:rsid w:val="0083015D"/>
    <w:rsid w:val="00830B98"/>
    <w:rsid w:val="0083101B"/>
    <w:rsid w:val="008313BC"/>
    <w:rsid w:val="00831E1B"/>
    <w:rsid w:val="008321B9"/>
    <w:rsid w:val="00832BD0"/>
    <w:rsid w:val="00833067"/>
    <w:rsid w:val="00833ED8"/>
    <w:rsid w:val="0083449D"/>
    <w:rsid w:val="00835131"/>
    <w:rsid w:val="00835287"/>
    <w:rsid w:val="00835B04"/>
    <w:rsid w:val="00835CF2"/>
    <w:rsid w:val="0083617B"/>
    <w:rsid w:val="00836CFE"/>
    <w:rsid w:val="00837E12"/>
    <w:rsid w:val="00837EDC"/>
    <w:rsid w:val="0084033C"/>
    <w:rsid w:val="00840685"/>
    <w:rsid w:val="008409E5"/>
    <w:rsid w:val="00840DAA"/>
    <w:rsid w:val="0084197B"/>
    <w:rsid w:val="00841AB8"/>
    <w:rsid w:val="008421A9"/>
    <w:rsid w:val="0084271C"/>
    <w:rsid w:val="0084274C"/>
    <w:rsid w:val="008436B3"/>
    <w:rsid w:val="008436ED"/>
    <w:rsid w:val="00845380"/>
    <w:rsid w:val="008456C7"/>
    <w:rsid w:val="008465F6"/>
    <w:rsid w:val="00846D95"/>
    <w:rsid w:val="0084740A"/>
    <w:rsid w:val="00850399"/>
    <w:rsid w:val="00850AEC"/>
    <w:rsid w:val="00851692"/>
    <w:rsid w:val="00852BB3"/>
    <w:rsid w:val="00852E9E"/>
    <w:rsid w:val="0085368A"/>
    <w:rsid w:val="008536BA"/>
    <w:rsid w:val="00853711"/>
    <w:rsid w:val="0085432B"/>
    <w:rsid w:val="00854B56"/>
    <w:rsid w:val="00855539"/>
    <w:rsid w:val="00855944"/>
    <w:rsid w:val="008564DD"/>
    <w:rsid w:val="00856611"/>
    <w:rsid w:val="00856E9D"/>
    <w:rsid w:val="008573F5"/>
    <w:rsid w:val="008577CA"/>
    <w:rsid w:val="00857878"/>
    <w:rsid w:val="00857E1B"/>
    <w:rsid w:val="00857E4C"/>
    <w:rsid w:val="0086086D"/>
    <w:rsid w:val="008617E4"/>
    <w:rsid w:val="0086229F"/>
    <w:rsid w:val="0086232A"/>
    <w:rsid w:val="0086235F"/>
    <w:rsid w:val="00862836"/>
    <w:rsid w:val="00863266"/>
    <w:rsid w:val="008634C2"/>
    <w:rsid w:val="00864E3C"/>
    <w:rsid w:val="00864EEA"/>
    <w:rsid w:val="008652DF"/>
    <w:rsid w:val="00865E4F"/>
    <w:rsid w:val="00866663"/>
    <w:rsid w:val="00866EAE"/>
    <w:rsid w:val="00867E32"/>
    <w:rsid w:val="008700CA"/>
    <w:rsid w:val="008700E0"/>
    <w:rsid w:val="008709ED"/>
    <w:rsid w:val="00871768"/>
    <w:rsid w:val="00871ABB"/>
    <w:rsid w:val="00871B54"/>
    <w:rsid w:val="008728E0"/>
    <w:rsid w:val="00872D63"/>
    <w:rsid w:val="00872E71"/>
    <w:rsid w:val="00873BE7"/>
    <w:rsid w:val="00873CAF"/>
    <w:rsid w:val="00873EDE"/>
    <w:rsid w:val="00874482"/>
    <w:rsid w:val="00874B63"/>
    <w:rsid w:val="008754A2"/>
    <w:rsid w:val="0087575E"/>
    <w:rsid w:val="008764A8"/>
    <w:rsid w:val="0087706C"/>
    <w:rsid w:val="00877AC3"/>
    <w:rsid w:val="008807AB"/>
    <w:rsid w:val="00881D77"/>
    <w:rsid w:val="008821EB"/>
    <w:rsid w:val="0088237E"/>
    <w:rsid w:val="0088265E"/>
    <w:rsid w:val="00882E5B"/>
    <w:rsid w:val="00883567"/>
    <w:rsid w:val="00883B56"/>
    <w:rsid w:val="00883FF4"/>
    <w:rsid w:val="00884414"/>
    <w:rsid w:val="008847ED"/>
    <w:rsid w:val="00884940"/>
    <w:rsid w:val="008852A3"/>
    <w:rsid w:val="0088598A"/>
    <w:rsid w:val="00886A15"/>
    <w:rsid w:val="00890B9A"/>
    <w:rsid w:val="00892EE8"/>
    <w:rsid w:val="00894218"/>
    <w:rsid w:val="00894C84"/>
    <w:rsid w:val="00894F93"/>
    <w:rsid w:val="008957A5"/>
    <w:rsid w:val="00896300"/>
    <w:rsid w:val="008963F5"/>
    <w:rsid w:val="00896449"/>
    <w:rsid w:val="00896B39"/>
    <w:rsid w:val="00896BF2"/>
    <w:rsid w:val="00896C08"/>
    <w:rsid w:val="00897B04"/>
    <w:rsid w:val="008A0441"/>
    <w:rsid w:val="008A05DD"/>
    <w:rsid w:val="008A069A"/>
    <w:rsid w:val="008A0F2F"/>
    <w:rsid w:val="008A1079"/>
    <w:rsid w:val="008A15C2"/>
    <w:rsid w:val="008A1A48"/>
    <w:rsid w:val="008A1CAE"/>
    <w:rsid w:val="008A3174"/>
    <w:rsid w:val="008A36EB"/>
    <w:rsid w:val="008A3878"/>
    <w:rsid w:val="008A3AFB"/>
    <w:rsid w:val="008A53D1"/>
    <w:rsid w:val="008A545C"/>
    <w:rsid w:val="008A5627"/>
    <w:rsid w:val="008A5B15"/>
    <w:rsid w:val="008A61E3"/>
    <w:rsid w:val="008A6964"/>
    <w:rsid w:val="008A7A4A"/>
    <w:rsid w:val="008B0010"/>
    <w:rsid w:val="008B0B0E"/>
    <w:rsid w:val="008B2018"/>
    <w:rsid w:val="008B297F"/>
    <w:rsid w:val="008B2B78"/>
    <w:rsid w:val="008B2B83"/>
    <w:rsid w:val="008B2C74"/>
    <w:rsid w:val="008B3975"/>
    <w:rsid w:val="008B3E8F"/>
    <w:rsid w:val="008B40C2"/>
    <w:rsid w:val="008B4599"/>
    <w:rsid w:val="008B4AEE"/>
    <w:rsid w:val="008B5314"/>
    <w:rsid w:val="008B5EA8"/>
    <w:rsid w:val="008B7755"/>
    <w:rsid w:val="008C0056"/>
    <w:rsid w:val="008C0F80"/>
    <w:rsid w:val="008C10AE"/>
    <w:rsid w:val="008C1423"/>
    <w:rsid w:val="008C164C"/>
    <w:rsid w:val="008C1913"/>
    <w:rsid w:val="008C1B2A"/>
    <w:rsid w:val="008C1B5A"/>
    <w:rsid w:val="008C21E1"/>
    <w:rsid w:val="008C31B7"/>
    <w:rsid w:val="008C33A0"/>
    <w:rsid w:val="008C3575"/>
    <w:rsid w:val="008C3AAD"/>
    <w:rsid w:val="008C3B4B"/>
    <w:rsid w:val="008C4442"/>
    <w:rsid w:val="008C4E78"/>
    <w:rsid w:val="008C5AD3"/>
    <w:rsid w:val="008C659D"/>
    <w:rsid w:val="008C7E0B"/>
    <w:rsid w:val="008C7F97"/>
    <w:rsid w:val="008D0531"/>
    <w:rsid w:val="008D0863"/>
    <w:rsid w:val="008D09A1"/>
    <w:rsid w:val="008D1766"/>
    <w:rsid w:val="008D1C26"/>
    <w:rsid w:val="008D20EE"/>
    <w:rsid w:val="008D22D2"/>
    <w:rsid w:val="008D2559"/>
    <w:rsid w:val="008D31B1"/>
    <w:rsid w:val="008D35A4"/>
    <w:rsid w:val="008D6363"/>
    <w:rsid w:val="008D74DE"/>
    <w:rsid w:val="008D7655"/>
    <w:rsid w:val="008D76F6"/>
    <w:rsid w:val="008E0248"/>
    <w:rsid w:val="008E07D4"/>
    <w:rsid w:val="008E0E18"/>
    <w:rsid w:val="008E0EB5"/>
    <w:rsid w:val="008E1A6E"/>
    <w:rsid w:val="008E26A5"/>
    <w:rsid w:val="008E29A7"/>
    <w:rsid w:val="008E2AE6"/>
    <w:rsid w:val="008E391B"/>
    <w:rsid w:val="008E3BEE"/>
    <w:rsid w:val="008E425D"/>
    <w:rsid w:val="008E42F4"/>
    <w:rsid w:val="008E4548"/>
    <w:rsid w:val="008E4F06"/>
    <w:rsid w:val="008E6152"/>
    <w:rsid w:val="008E6160"/>
    <w:rsid w:val="008F006C"/>
    <w:rsid w:val="008F0A36"/>
    <w:rsid w:val="008F1AC0"/>
    <w:rsid w:val="008F2021"/>
    <w:rsid w:val="008F23E9"/>
    <w:rsid w:val="008F2EE1"/>
    <w:rsid w:val="008F2F17"/>
    <w:rsid w:val="008F2F5C"/>
    <w:rsid w:val="008F3BBC"/>
    <w:rsid w:val="008F3C82"/>
    <w:rsid w:val="008F47E3"/>
    <w:rsid w:val="008F4E06"/>
    <w:rsid w:val="008F5797"/>
    <w:rsid w:val="008F5D4D"/>
    <w:rsid w:val="008F5DC5"/>
    <w:rsid w:val="008F6767"/>
    <w:rsid w:val="008F6C23"/>
    <w:rsid w:val="008F6EF7"/>
    <w:rsid w:val="008F7319"/>
    <w:rsid w:val="00901195"/>
    <w:rsid w:val="0090140D"/>
    <w:rsid w:val="009017FD"/>
    <w:rsid w:val="009018BB"/>
    <w:rsid w:val="009020DB"/>
    <w:rsid w:val="0090332F"/>
    <w:rsid w:val="00903C04"/>
    <w:rsid w:val="009040E9"/>
    <w:rsid w:val="009042BA"/>
    <w:rsid w:val="009044C6"/>
    <w:rsid w:val="00904728"/>
    <w:rsid w:val="00904878"/>
    <w:rsid w:val="00904B4B"/>
    <w:rsid w:val="00905BAF"/>
    <w:rsid w:val="00906054"/>
    <w:rsid w:val="009062AE"/>
    <w:rsid w:val="00906786"/>
    <w:rsid w:val="00907900"/>
    <w:rsid w:val="0090798B"/>
    <w:rsid w:val="0091158A"/>
    <w:rsid w:val="00911975"/>
    <w:rsid w:val="00912419"/>
    <w:rsid w:val="00912CB0"/>
    <w:rsid w:val="00913C98"/>
    <w:rsid w:val="00914362"/>
    <w:rsid w:val="009146EE"/>
    <w:rsid w:val="00914E87"/>
    <w:rsid w:val="00914F76"/>
    <w:rsid w:val="00915068"/>
    <w:rsid w:val="009159F5"/>
    <w:rsid w:val="00915E2D"/>
    <w:rsid w:val="00915F80"/>
    <w:rsid w:val="00915FDF"/>
    <w:rsid w:val="009166CF"/>
    <w:rsid w:val="00917652"/>
    <w:rsid w:val="0092016D"/>
    <w:rsid w:val="00921395"/>
    <w:rsid w:val="009215E4"/>
    <w:rsid w:val="00921791"/>
    <w:rsid w:val="00922743"/>
    <w:rsid w:val="009229CD"/>
    <w:rsid w:val="0092389E"/>
    <w:rsid w:val="00923A93"/>
    <w:rsid w:val="00923B0D"/>
    <w:rsid w:val="00924655"/>
    <w:rsid w:val="0092478E"/>
    <w:rsid w:val="009248A1"/>
    <w:rsid w:val="00925C6E"/>
    <w:rsid w:val="00926232"/>
    <w:rsid w:val="0093086E"/>
    <w:rsid w:val="0093143C"/>
    <w:rsid w:val="00932BCD"/>
    <w:rsid w:val="00933264"/>
    <w:rsid w:val="0093383F"/>
    <w:rsid w:val="00933CB6"/>
    <w:rsid w:val="00934EA7"/>
    <w:rsid w:val="00935972"/>
    <w:rsid w:val="00935B29"/>
    <w:rsid w:val="00936CDA"/>
    <w:rsid w:val="00936FE0"/>
    <w:rsid w:val="0093799A"/>
    <w:rsid w:val="00937A11"/>
    <w:rsid w:val="00937A41"/>
    <w:rsid w:val="00937DE8"/>
    <w:rsid w:val="00940819"/>
    <w:rsid w:val="00940B34"/>
    <w:rsid w:val="009417A3"/>
    <w:rsid w:val="009417F7"/>
    <w:rsid w:val="009426F3"/>
    <w:rsid w:val="009427FD"/>
    <w:rsid w:val="009435CA"/>
    <w:rsid w:val="009452D5"/>
    <w:rsid w:val="00946D13"/>
    <w:rsid w:val="00946FDF"/>
    <w:rsid w:val="0094774F"/>
    <w:rsid w:val="009511BC"/>
    <w:rsid w:val="009511FB"/>
    <w:rsid w:val="00951938"/>
    <w:rsid w:val="00952161"/>
    <w:rsid w:val="009529C5"/>
    <w:rsid w:val="00953794"/>
    <w:rsid w:val="009537AC"/>
    <w:rsid w:val="00955642"/>
    <w:rsid w:val="009562E5"/>
    <w:rsid w:val="009567FE"/>
    <w:rsid w:val="00956F6B"/>
    <w:rsid w:val="009574F6"/>
    <w:rsid w:val="00960625"/>
    <w:rsid w:val="00960C47"/>
    <w:rsid w:val="00960D94"/>
    <w:rsid w:val="00963248"/>
    <w:rsid w:val="00963C9F"/>
    <w:rsid w:val="00963CE4"/>
    <w:rsid w:val="00963F49"/>
    <w:rsid w:val="00964867"/>
    <w:rsid w:val="0096517C"/>
    <w:rsid w:val="0096559A"/>
    <w:rsid w:val="00966384"/>
    <w:rsid w:val="00966619"/>
    <w:rsid w:val="00966CC1"/>
    <w:rsid w:val="00970592"/>
    <w:rsid w:val="009705C9"/>
    <w:rsid w:val="00970F15"/>
    <w:rsid w:val="00971B91"/>
    <w:rsid w:val="00972F2B"/>
    <w:rsid w:val="00973117"/>
    <w:rsid w:val="009731A8"/>
    <w:rsid w:val="00973360"/>
    <w:rsid w:val="00973AC4"/>
    <w:rsid w:val="00973E70"/>
    <w:rsid w:val="009745AB"/>
    <w:rsid w:val="009771DF"/>
    <w:rsid w:val="0098032E"/>
    <w:rsid w:val="00980FEE"/>
    <w:rsid w:val="0098102D"/>
    <w:rsid w:val="00981233"/>
    <w:rsid w:val="00981DC2"/>
    <w:rsid w:val="00982238"/>
    <w:rsid w:val="00982B4B"/>
    <w:rsid w:val="00984460"/>
    <w:rsid w:val="009858C3"/>
    <w:rsid w:val="00985E53"/>
    <w:rsid w:val="00990BA4"/>
    <w:rsid w:val="009913A5"/>
    <w:rsid w:val="00991526"/>
    <w:rsid w:val="00991B8D"/>
    <w:rsid w:val="00991DED"/>
    <w:rsid w:val="00992171"/>
    <w:rsid w:val="0099278B"/>
    <w:rsid w:val="009927A4"/>
    <w:rsid w:val="00992BC2"/>
    <w:rsid w:val="00992D83"/>
    <w:rsid w:val="009957B1"/>
    <w:rsid w:val="00995FCA"/>
    <w:rsid w:val="00996F9D"/>
    <w:rsid w:val="0099721C"/>
    <w:rsid w:val="00997F6C"/>
    <w:rsid w:val="009A0E76"/>
    <w:rsid w:val="009A1A21"/>
    <w:rsid w:val="009A1A26"/>
    <w:rsid w:val="009A1BCE"/>
    <w:rsid w:val="009A1CC2"/>
    <w:rsid w:val="009A308E"/>
    <w:rsid w:val="009A3112"/>
    <w:rsid w:val="009A383B"/>
    <w:rsid w:val="009A3EA7"/>
    <w:rsid w:val="009A4824"/>
    <w:rsid w:val="009A52BE"/>
    <w:rsid w:val="009A55B7"/>
    <w:rsid w:val="009A5677"/>
    <w:rsid w:val="009A595F"/>
    <w:rsid w:val="009A5BC4"/>
    <w:rsid w:val="009A6183"/>
    <w:rsid w:val="009A638D"/>
    <w:rsid w:val="009A6CA6"/>
    <w:rsid w:val="009A71AD"/>
    <w:rsid w:val="009A7488"/>
    <w:rsid w:val="009A761E"/>
    <w:rsid w:val="009A7A4F"/>
    <w:rsid w:val="009A7E05"/>
    <w:rsid w:val="009B08F0"/>
    <w:rsid w:val="009B0BC5"/>
    <w:rsid w:val="009B1D8E"/>
    <w:rsid w:val="009B1F0B"/>
    <w:rsid w:val="009B25D0"/>
    <w:rsid w:val="009B2D1D"/>
    <w:rsid w:val="009B2FB2"/>
    <w:rsid w:val="009B3324"/>
    <w:rsid w:val="009B34AC"/>
    <w:rsid w:val="009B434C"/>
    <w:rsid w:val="009B4D95"/>
    <w:rsid w:val="009B5DE4"/>
    <w:rsid w:val="009B6137"/>
    <w:rsid w:val="009B662F"/>
    <w:rsid w:val="009B67E7"/>
    <w:rsid w:val="009B6CB5"/>
    <w:rsid w:val="009B7ADD"/>
    <w:rsid w:val="009C0265"/>
    <w:rsid w:val="009C0EB9"/>
    <w:rsid w:val="009C1169"/>
    <w:rsid w:val="009C1902"/>
    <w:rsid w:val="009C1C65"/>
    <w:rsid w:val="009C2085"/>
    <w:rsid w:val="009C2644"/>
    <w:rsid w:val="009C2680"/>
    <w:rsid w:val="009C26E6"/>
    <w:rsid w:val="009C3139"/>
    <w:rsid w:val="009C3B54"/>
    <w:rsid w:val="009C3CB0"/>
    <w:rsid w:val="009C4CA6"/>
    <w:rsid w:val="009C4D0B"/>
    <w:rsid w:val="009C4E4C"/>
    <w:rsid w:val="009C56D1"/>
    <w:rsid w:val="009C6412"/>
    <w:rsid w:val="009C68F4"/>
    <w:rsid w:val="009C6C8A"/>
    <w:rsid w:val="009C7DD9"/>
    <w:rsid w:val="009D0B48"/>
    <w:rsid w:val="009D0F35"/>
    <w:rsid w:val="009D1538"/>
    <w:rsid w:val="009D18C2"/>
    <w:rsid w:val="009D19D0"/>
    <w:rsid w:val="009D2182"/>
    <w:rsid w:val="009D2196"/>
    <w:rsid w:val="009D4524"/>
    <w:rsid w:val="009D5A22"/>
    <w:rsid w:val="009D5A36"/>
    <w:rsid w:val="009D6892"/>
    <w:rsid w:val="009D6B5A"/>
    <w:rsid w:val="009E01A5"/>
    <w:rsid w:val="009E0B25"/>
    <w:rsid w:val="009E133D"/>
    <w:rsid w:val="009E1401"/>
    <w:rsid w:val="009E31B0"/>
    <w:rsid w:val="009E34D5"/>
    <w:rsid w:val="009E4054"/>
    <w:rsid w:val="009E585D"/>
    <w:rsid w:val="009E59D9"/>
    <w:rsid w:val="009E7401"/>
    <w:rsid w:val="009E766B"/>
    <w:rsid w:val="009E76D6"/>
    <w:rsid w:val="009F1033"/>
    <w:rsid w:val="009F1730"/>
    <w:rsid w:val="009F18D9"/>
    <w:rsid w:val="009F1DB1"/>
    <w:rsid w:val="009F2C2D"/>
    <w:rsid w:val="009F2C93"/>
    <w:rsid w:val="009F37C4"/>
    <w:rsid w:val="009F38CB"/>
    <w:rsid w:val="009F3D1A"/>
    <w:rsid w:val="009F3FA5"/>
    <w:rsid w:val="009F3FF7"/>
    <w:rsid w:val="009F43B9"/>
    <w:rsid w:val="009F44D0"/>
    <w:rsid w:val="009F4A10"/>
    <w:rsid w:val="009F4D35"/>
    <w:rsid w:val="009F5004"/>
    <w:rsid w:val="009F5D10"/>
    <w:rsid w:val="009F6602"/>
    <w:rsid w:val="009F6734"/>
    <w:rsid w:val="009F7A5A"/>
    <w:rsid w:val="00A0105D"/>
    <w:rsid w:val="00A0148D"/>
    <w:rsid w:val="00A01549"/>
    <w:rsid w:val="00A015C0"/>
    <w:rsid w:val="00A02112"/>
    <w:rsid w:val="00A02CDC"/>
    <w:rsid w:val="00A02E72"/>
    <w:rsid w:val="00A03AC7"/>
    <w:rsid w:val="00A03B4D"/>
    <w:rsid w:val="00A03C15"/>
    <w:rsid w:val="00A03F46"/>
    <w:rsid w:val="00A05304"/>
    <w:rsid w:val="00A05808"/>
    <w:rsid w:val="00A06B24"/>
    <w:rsid w:val="00A07005"/>
    <w:rsid w:val="00A070B7"/>
    <w:rsid w:val="00A079D9"/>
    <w:rsid w:val="00A10A8B"/>
    <w:rsid w:val="00A10F67"/>
    <w:rsid w:val="00A11553"/>
    <w:rsid w:val="00A11915"/>
    <w:rsid w:val="00A13691"/>
    <w:rsid w:val="00A1387E"/>
    <w:rsid w:val="00A144D8"/>
    <w:rsid w:val="00A14752"/>
    <w:rsid w:val="00A14D6E"/>
    <w:rsid w:val="00A16A04"/>
    <w:rsid w:val="00A16A37"/>
    <w:rsid w:val="00A1707F"/>
    <w:rsid w:val="00A17271"/>
    <w:rsid w:val="00A17ED6"/>
    <w:rsid w:val="00A2015D"/>
    <w:rsid w:val="00A202A9"/>
    <w:rsid w:val="00A210F9"/>
    <w:rsid w:val="00A2180D"/>
    <w:rsid w:val="00A22749"/>
    <w:rsid w:val="00A230B1"/>
    <w:rsid w:val="00A23855"/>
    <w:rsid w:val="00A2575F"/>
    <w:rsid w:val="00A258C2"/>
    <w:rsid w:val="00A25C72"/>
    <w:rsid w:val="00A26F58"/>
    <w:rsid w:val="00A27683"/>
    <w:rsid w:val="00A3043E"/>
    <w:rsid w:val="00A3102B"/>
    <w:rsid w:val="00A321A1"/>
    <w:rsid w:val="00A34061"/>
    <w:rsid w:val="00A3406C"/>
    <w:rsid w:val="00A35CCC"/>
    <w:rsid w:val="00A3654D"/>
    <w:rsid w:val="00A36702"/>
    <w:rsid w:val="00A36734"/>
    <w:rsid w:val="00A369AC"/>
    <w:rsid w:val="00A37063"/>
    <w:rsid w:val="00A371AD"/>
    <w:rsid w:val="00A372DC"/>
    <w:rsid w:val="00A37302"/>
    <w:rsid w:val="00A379F3"/>
    <w:rsid w:val="00A37B11"/>
    <w:rsid w:val="00A37D40"/>
    <w:rsid w:val="00A40012"/>
    <w:rsid w:val="00A41443"/>
    <w:rsid w:val="00A41835"/>
    <w:rsid w:val="00A41907"/>
    <w:rsid w:val="00A42610"/>
    <w:rsid w:val="00A4265B"/>
    <w:rsid w:val="00A42C4B"/>
    <w:rsid w:val="00A43021"/>
    <w:rsid w:val="00A440D5"/>
    <w:rsid w:val="00A4461A"/>
    <w:rsid w:val="00A446F8"/>
    <w:rsid w:val="00A44761"/>
    <w:rsid w:val="00A448BA"/>
    <w:rsid w:val="00A45034"/>
    <w:rsid w:val="00A459DE"/>
    <w:rsid w:val="00A46431"/>
    <w:rsid w:val="00A46F0A"/>
    <w:rsid w:val="00A470BF"/>
    <w:rsid w:val="00A471EF"/>
    <w:rsid w:val="00A505F7"/>
    <w:rsid w:val="00A50A1D"/>
    <w:rsid w:val="00A50D02"/>
    <w:rsid w:val="00A50D4D"/>
    <w:rsid w:val="00A5151B"/>
    <w:rsid w:val="00A51E27"/>
    <w:rsid w:val="00A51E32"/>
    <w:rsid w:val="00A532AE"/>
    <w:rsid w:val="00A53C97"/>
    <w:rsid w:val="00A541C5"/>
    <w:rsid w:val="00A5435D"/>
    <w:rsid w:val="00A5443E"/>
    <w:rsid w:val="00A5508E"/>
    <w:rsid w:val="00A550BB"/>
    <w:rsid w:val="00A55602"/>
    <w:rsid w:val="00A56ACA"/>
    <w:rsid w:val="00A56B84"/>
    <w:rsid w:val="00A56BC1"/>
    <w:rsid w:val="00A574BB"/>
    <w:rsid w:val="00A5767C"/>
    <w:rsid w:val="00A57AB8"/>
    <w:rsid w:val="00A57C9C"/>
    <w:rsid w:val="00A6095B"/>
    <w:rsid w:val="00A609D4"/>
    <w:rsid w:val="00A60BF7"/>
    <w:rsid w:val="00A621A4"/>
    <w:rsid w:val="00A62216"/>
    <w:rsid w:val="00A632E7"/>
    <w:rsid w:val="00A63304"/>
    <w:rsid w:val="00A633D0"/>
    <w:rsid w:val="00A63578"/>
    <w:rsid w:val="00A6441B"/>
    <w:rsid w:val="00A64BD8"/>
    <w:rsid w:val="00A653AF"/>
    <w:rsid w:val="00A658B2"/>
    <w:rsid w:val="00A65913"/>
    <w:rsid w:val="00A662C3"/>
    <w:rsid w:val="00A70A4D"/>
    <w:rsid w:val="00A71199"/>
    <w:rsid w:val="00A71811"/>
    <w:rsid w:val="00A71F57"/>
    <w:rsid w:val="00A72289"/>
    <w:rsid w:val="00A7229C"/>
    <w:rsid w:val="00A74E0F"/>
    <w:rsid w:val="00A7564E"/>
    <w:rsid w:val="00A75F98"/>
    <w:rsid w:val="00A76552"/>
    <w:rsid w:val="00A771DA"/>
    <w:rsid w:val="00A77291"/>
    <w:rsid w:val="00A772B8"/>
    <w:rsid w:val="00A77F91"/>
    <w:rsid w:val="00A804D2"/>
    <w:rsid w:val="00A80E09"/>
    <w:rsid w:val="00A818DC"/>
    <w:rsid w:val="00A8274E"/>
    <w:rsid w:val="00A82967"/>
    <w:rsid w:val="00A82D01"/>
    <w:rsid w:val="00A83591"/>
    <w:rsid w:val="00A84360"/>
    <w:rsid w:val="00A84B05"/>
    <w:rsid w:val="00A851E3"/>
    <w:rsid w:val="00A87F8E"/>
    <w:rsid w:val="00A9012A"/>
    <w:rsid w:val="00A90591"/>
    <w:rsid w:val="00A90602"/>
    <w:rsid w:val="00A9101F"/>
    <w:rsid w:val="00A91AA7"/>
    <w:rsid w:val="00A924E0"/>
    <w:rsid w:val="00A928D3"/>
    <w:rsid w:val="00A92D79"/>
    <w:rsid w:val="00A932DF"/>
    <w:rsid w:val="00A9332E"/>
    <w:rsid w:val="00A93DF6"/>
    <w:rsid w:val="00A94633"/>
    <w:rsid w:val="00A953D0"/>
    <w:rsid w:val="00A95B62"/>
    <w:rsid w:val="00A96088"/>
    <w:rsid w:val="00A969A6"/>
    <w:rsid w:val="00A96B52"/>
    <w:rsid w:val="00A97542"/>
    <w:rsid w:val="00A97D36"/>
    <w:rsid w:val="00AA0533"/>
    <w:rsid w:val="00AA1E53"/>
    <w:rsid w:val="00AA2980"/>
    <w:rsid w:val="00AA2A0A"/>
    <w:rsid w:val="00AA2A36"/>
    <w:rsid w:val="00AA2FE0"/>
    <w:rsid w:val="00AA37EC"/>
    <w:rsid w:val="00AA3896"/>
    <w:rsid w:val="00AA3D07"/>
    <w:rsid w:val="00AA3D6F"/>
    <w:rsid w:val="00AA4743"/>
    <w:rsid w:val="00AA4ABD"/>
    <w:rsid w:val="00AA4D20"/>
    <w:rsid w:val="00AA4D70"/>
    <w:rsid w:val="00AA50B5"/>
    <w:rsid w:val="00AA5771"/>
    <w:rsid w:val="00AA580C"/>
    <w:rsid w:val="00AA5B49"/>
    <w:rsid w:val="00AA5D7D"/>
    <w:rsid w:val="00AA5EA6"/>
    <w:rsid w:val="00AA68A1"/>
    <w:rsid w:val="00AA6CA8"/>
    <w:rsid w:val="00AA7577"/>
    <w:rsid w:val="00AB0A10"/>
    <w:rsid w:val="00AB167A"/>
    <w:rsid w:val="00AB1B9C"/>
    <w:rsid w:val="00AB2328"/>
    <w:rsid w:val="00AB235B"/>
    <w:rsid w:val="00AB2FCB"/>
    <w:rsid w:val="00AB3998"/>
    <w:rsid w:val="00AB3A4A"/>
    <w:rsid w:val="00AB3E0A"/>
    <w:rsid w:val="00AB5605"/>
    <w:rsid w:val="00AB5CEA"/>
    <w:rsid w:val="00AB5ED9"/>
    <w:rsid w:val="00AB7273"/>
    <w:rsid w:val="00AB76B5"/>
    <w:rsid w:val="00AC08A0"/>
    <w:rsid w:val="00AC08D2"/>
    <w:rsid w:val="00AC0D52"/>
    <w:rsid w:val="00AC0E9E"/>
    <w:rsid w:val="00AC1329"/>
    <w:rsid w:val="00AC18D8"/>
    <w:rsid w:val="00AC1BEE"/>
    <w:rsid w:val="00AC1D7A"/>
    <w:rsid w:val="00AC2010"/>
    <w:rsid w:val="00AC2317"/>
    <w:rsid w:val="00AC2691"/>
    <w:rsid w:val="00AC29F6"/>
    <w:rsid w:val="00AC2F42"/>
    <w:rsid w:val="00AC348F"/>
    <w:rsid w:val="00AC387C"/>
    <w:rsid w:val="00AC3BAC"/>
    <w:rsid w:val="00AC3E56"/>
    <w:rsid w:val="00AC44C4"/>
    <w:rsid w:val="00AC4BDA"/>
    <w:rsid w:val="00AC57FE"/>
    <w:rsid w:val="00AC59E0"/>
    <w:rsid w:val="00AC5E48"/>
    <w:rsid w:val="00AC5EBD"/>
    <w:rsid w:val="00AC7F60"/>
    <w:rsid w:val="00AD088F"/>
    <w:rsid w:val="00AD0C81"/>
    <w:rsid w:val="00AD291A"/>
    <w:rsid w:val="00AD2932"/>
    <w:rsid w:val="00AD2BC1"/>
    <w:rsid w:val="00AD2C89"/>
    <w:rsid w:val="00AD2FFA"/>
    <w:rsid w:val="00AD301A"/>
    <w:rsid w:val="00AD3082"/>
    <w:rsid w:val="00AD37DB"/>
    <w:rsid w:val="00AD4565"/>
    <w:rsid w:val="00AD49FD"/>
    <w:rsid w:val="00AD4ECE"/>
    <w:rsid w:val="00AD5019"/>
    <w:rsid w:val="00AD50AD"/>
    <w:rsid w:val="00AD6202"/>
    <w:rsid w:val="00AD68E3"/>
    <w:rsid w:val="00AD6BDD"/>
    <w:rsid w:val="00AD7B41"/>
    <w:rsid w:val="00AD7CAF"/>
    <w:rsid w:val="00AE0292"/>
    <w:rsid w:val="00AE0752"/>
    <w:rsid w:val="00AE0DD9"/>
    <w:rsid w:val="00AE1143"/>
    <w:rsid w:val="00AE1474"/>
    <w:rsid w:val="00AE1D9B"/>
    <w:rsid w:val="00AE1EED"/>
    <w:rsid w:val="00AE2592"/>
    <w:rsid w:val="00AE25A8"/>
    <w:rsid w:val="00AE260A"/>
    <w:rsid w:val="00AE2CF5"/>
    <w:rsid w:val="00AE3BC8"/>
    <w:rsid w:val="00AE3C7A"/>
    <w:rsid w:val="00AE428D"/>
    <w:rsid w:val="00AE469E"/>
    <w:rsid w:val="00AE48EE"/>
    <w:rsid w:val="00AE5844"/>
    <w:rsid w:val="00AE5C11"/>
    <w:rsid w:val="00AE6875"/>
    <w:rsid w:val="00AE68CA"/>
    <w:rsid w:val="00AE6DFC"/>
    <w:rsid w:val="00AE7135"/>
    <w:rsid w:val="00AE72F3"/>
    <w:rsid w:val="00AE7919"/>
    <w:rsid w:val="00AE7C5A"/>
    <w:rsid w:val="00AF0853"/>
    <w:rsid w:val="00AF114C"/>
    <w:rsid w:val="00AF14E8"/>
    <w:rsid w:val="00AF1651"/>
    <w:rsid w:val="00AF20BE"/>
    <w:rsid w:val="00AF20F2"/>
    <w:rsid w:val="00AF2783"/>
    <w:rsid w:val="00AF4718"/>
    <w:rsid w:val="00AF4AAE"/>
    <w:rsid w:val="00AF57B3"/>
    <w:rsid w:val="00AF60C9"/>
    <w:rsid w:val="00AF66CF"/>
    <w:rsid w:val="00AF6F8A"/>
    <w:rsid w:val="00AF7C8A"/>
    <w:rsid w:val="00B018F6"/>
    <w:rsid w:val="00B01C22"/>
    <w:rsid w:val="00B01F6B"/>
    <w:rsid w:val="00B021F5"/>
    <w:rsid w:val="00B02312"/>
    <w:rsid w:val="00B0263C"/>
    <w:rsid w:val="00B0286C"/>
    <w:rsid w:val="00B02E80"/>
    <w:rsid w:val="00B032AC"/>
    <w:rsid w:val="00B039B2"/>
    <w:rsid w:val="00B03F05"/>
    <w:rsid w:val="00B040AE"/>
    <w:rsid w:val="00B04687"/>
    <w:rsid w:val="00B04999"/>
    <w:rsid w:val="00B04E3B"/>
    <w:rsid w:val="00B0582D"/>
    <w:rsid w:val="00B05B40"/>
    <w:rsid w:val="00B065C1"/>
    <w:rsid w:val="00B068E0"/>
    <w:rsid w:val="00B069F8"/>
    <w:rsid w:val="00B078B3"/>
    <w:rsid w:val="00B0792F"/>
    <w:rsid w:val="00B10FC9"/>
    <w:rsid w:val="00B110E7"/>
    <w:rsid w:val="00B11535"/>
    <w:rsid w:val="00B11937"/>
    <w:rsid w:val="00B11BB6"/>
    <w:rsid w:val="00B120C0"/>
    <w:rsid w:val="00B12498"/>
    <w:rsid w:val="00B124E8"/>
    <w:rsid w:val="00B1356F"/>
    <w:rsid w:val="00B138C2"/>
    <w:rsid w:val="00B1481D"/>
    <w:rsid w:val="00B14F1F"/>
    <w:rsid w:val="00B15019"/>
    <w:rsid w:val="00B154A3"/>
    <w:rsid w:val="00B15815"/>
    <w:rsid w:val="00B16462"/>
    <w:rsid w:val="00B16826"/>
    <w:rsid w:val="00B16AE3"/>
    <w:rsid w:val="00B16C4C"/>
    <w:rsid w:val="00B1705A"/>
    <w:rsid w:val="00B17442"/>
    <w:rsid w:val="00B207F9"/>
    <w:rsid w:val="00B21E09"/>
    <w:rsid w:val="00B222BD"/>
    <w:rsid w:val="00B22AF6"/>
    <w:rsid w:val="00B22DDB"/>
    <w:rsid w:val="00B2399B"/>
    <w:rsid w:val="00B23CE0"/>
    <w:rsid w:val="00B23D6D"/>
    <w:rsid w:val="00B244F0"/>
    <w:rsid w:val="00B254FD"/>
    <w:rsid w:val="00B25C75"/>
    <w:rsid w:val="00B26501"/>
    <w:rsid w:val="00B268C9"/>
    <w:rsid w:val="00B26C3D"/>
    <w:rsid w:val="00B2732B"/>
    <w:rsid w:val="00B275AC"/>
    <w:rsid w:val="00B27732"/>
    <w:rsid w:val="00B27734"/>
    <w:rsid w:val="00B3001D"/>
    <w:rsid w:val="00B308FC"/>
    <w:rsid w:val="00B30E80"/>
    <w:rsid w:val="00B310FA"/>
    <w:rsid w:val="00B31C2E"/>
    <w:rsid w:val="00B31FAB"/>
    <w:rsid w:val="00B32201"/>
    <w:rsid w:val="00B32535"/>
    <w:rsid w:val="00B33270"/>
    <w:rsid w:val="00B332F8"/>
    <w:rsid w:val="00B346A6"/>
    <w:rsid w:val="00B351F7"/>
    <w:rsid w:val="00B35B75"/>
    <w:rsid w:val="00B366DB"/>
    <w:rsid w:val="00B37667"/>
    <w:rsid w:val="00B40C42"/>
    <w:rsid w:val="00B40D2C"/>
    <w:rsid w:val="00B40D9D"/>
    <w:rsid w:val="00B413D2"/>
    <w:rsid w:val="00B41514"/>
    <w:rsid w:val="00B41709"/>
    <w:rsid w:val="00B41B4B"/>
    <w:rsid w:val="00B41FF2"/>
    <w:rsid w:val="00B422D3"/>
    <w:rsid w:val="00B4232A"/>
    <w:rsid w:val="00B429B2"/>
    <w:rsid w:val="00B43230"/>
    <w:rsid w:val="00B43E3E"/>
    <w:rsid w:val="00B44141"/>
    <w:rsid w:val="00B44B46"/>
    <w:rsid w:val="00B44BFF"/>
    <w:rsid w:val="00B45961"/>
    <w:rsid w:val="00B45D75"/>
    <w:rsid w:val="00B470F7"/>
    <w:rsid w:val="00B478CC"/>
    <w:rsid w:val="00B50311"/>
    <w:rsid w:val="00B508F5"/>
    <w:rsid w:val="00B5117D"/>
    <w:rsid w:val="00B51941"/>
    <w:rsid w:val="00B51D01"/>
    <w:rsid w:val="00B521F5"/>
    <w:rsid w:val="00B532DB"/>
    <w:rsid w:val="00B53720"/>
    <w:rsid w:val="00B5389A"/>
    <w:rsid w:val="00B545CC"/>
    <w:rsid w:val="00B54794"/>
    <w:rsid w:val="00B556AE"/>
    <w:rsid w:val="00B55EF0"/>
    <w:rsid w:val="00B56024"/>
    <w:rsid w:val="00B56620"/>
    <w:rsid w:val="00B56EB5"/>
    <w:rsid w:val="00B57139"/>
    <w:rsid w:val="00B57430"/>
    <w:rsid w:val="00B57BA6"/>
    <w:rsid w:val="00B601BA"/>
    <w:rsid w:val="00B607E6"/>
    <w:rsid w:val="00B6133E"/>
    <w:rsid w:val="00B62C75"/>
    <w:rsid w:val="00B63686"/>
    <w:rsid w:val="00B63B49"/>
    <w:rsid w:val="00B64176"/>
    <w:rsid w:val="00B64BCB"/>
    <w:rsid w:val="00B65604"/>
    <w:rsid w:val="00B65721"/>
    <w:rsid w:val="00B65CB2"/>
    <w:rsid w:val="00B65E92"/>
    <w:rsid w:val="00B664F8"/>
    <w:rsid w:val="00B66BFE"/>
    <w:rsid w:val="00B66CD4"/>
    <w:rsid w:val="00B673D6"/>
    <w:rsid w:val="00B67EF4"/>
    <w:rsid w:val="00B67FC2"/>
    <w:rsid w:val="00B72A6C"/>
    <w:rsid w:val="00B72B74"/>
    <w:rsid w:val="00B72BF7"/>
    <w:rsid w:val="00B73BCE"/>
    <w:rsid w:val="00B73C98"/>
    <w:rsid w:val="00B7525B"/>
    <w:rsid w:val="00B7717B"/>
    <w:rsid w:val="00B777E2"/>
    <w:rsid w:val="00B77B5D"/>
    <w:rsid w:val="00B77D52"/>
    <w:rsid w:val="00B77E31"/>
    <w:rsid w:val="00B80B0A"/>
    <w:rsid w:val="00B84D10"/>
    <w:rsid w:val="00B85573"/>
    <w:rsid w:val="00B85E72"/>
    <w:rsid w:val="00B86ABC"/>
    <w:rsid w:val="00B870BF"/>
    <w:rsid w:val="00B9007C"/>
    <w:rsid w:val="00B90468"/>
    <w:rsid w:val="00B90A2B"/>
    <w:rsid w:val="00B91FFA"/>
    <w:rsid w:val="00B92107"/>
    <w:rsid w:val="00B930BD"/>
    <w:rsid w:val="00B939BD"/>
    <w:rsid w:val="00B93C08"/>
    <w:rsid w:val="00B93E08"/>
    <w:rsid w:val="00B94111"/>
    <w:rsid w:val="00B94418"/>
    <w:rsid w:val="00B94EA6"/>
    <w:rsid w:val="00B94F0A"/>
    <w:rsid w:val="00B95B0B"/>
    <w:rsid w:val="00B95FED"/>
    <w:rsid w:val="00B96F09"/>
    <w:rsid w:val="00B97181"/>
    <w:rsid w:val="00B9743D"/>
    <w:rsid w:val="00B97B48"/>
    <w:rsid w:val="00BA1290"/>
    <w:rsid w:val="00BA18F6"/>
    <w:rsid w:val="00BA1F42"/>
    <w:rsid w:val="00BA2087"/>
    <w:rsid w:val="00BA29C4"/>
    <w:rsid w:val="00BA3C32"/>
    <w:rsid w:val="00BA3C9E"/>
    <w:rsid w:val="00BA4854"/>
    <w:rsid w:val="00BA4DAD"/>
    <w:rsid w:val="00BA4DB1"/>
    <w:rsid w:val="00BA5144"/>
    <w:rsid w:val="00BA5733"/>
    <w:rsid w:val="00BA5934"/>
    <w:rsid w:val="00BA5C21"/>
    <w:rsid w:val="00BA5F32"/>
    <w:rsid w:val="00BA7C74"/>
    <w:rsid w:val="00BB0072"/>
    <w:rsid w:val="00BB0689"/>
    <w:rsid w:val="00BB11C3"/>
    <w:rsid w:val="00BB18D4"/>
    <w:rsid w:val="00BB192B"/>
    <w:rsid w:val="00BB26CB"/>
    <w:rsid w:val="00BB2ACB"/>
    <w:rsid w:val="00BB2B53"/>
    <w:rsid w:val="00BB2D11"/>
    <w:rsid w:val="00BB31D6"/>
    <w:rsid w:val="00BB454C"/>
    <w:rsid w:val="00BB488B"/>
    <w:rsid w:val="00BB5586"/>
    <w:rsid w:val="00BB5CDD"/>
    <w:rsid w:val="00BB727C"/>
    <w:rsid w:val="00BB7EB0"/>
    <w:rsid w:val="00BC0D14"/>
    <w:rsid w:val="00BC15B6"/>
    <w:rsid w:val="00BC3C96"/>
    <w:rsid w:val="00BC4F98"/>
    <w:rsid w:val="00BC5219"/>
    <w:rsid w:val="00BC6115"/>
    <w:rsid w:val="00BC6567"/>
    <w:rsid w:val="00BC72D9"/>
    <w:rsid w:val="00BC77FC"/>
    <w:rsid w:val="00BC7A5E"/>
    <w:rsid w:val="00BD0321"/>
    <w:rsid w:val="00BD298F"/>
    <w:rsid w:val="00BD3729"/>
    <w:rsid w:val="00BD4058"/>
    <w:rsid w:val="00BD4486"/>
    <w:rsid w:val="00BD4B80"/>
    <w:rsid w:val="00BD4D5D"/>
    <w:rsid w:val="00BD5583"/>
    <w:rsid w:val="00BD587E"/>
    <w:rsid w:val="00BD5DC6"/>
    <w:rsid w:val="00BD61AB"/>
    <w:rsid w:val="00BD6319"/>
    <w:rsid w:val="00BE066B"/>
    <w:rsid w:val="00BE0EA2"/>
    <w:rsid w:val="00BE0FFD"/>
    <w:rsid w:val="00BE13B4"/>
    <w:rsid w:val="00BE1E52"/>
    <w:rsid w:val="00BE2AB7"/>
    <w:rsid w:val="00BE2B64"/>
    <w:rsid w:val="00BE2E99"/>
    <w:rsid w:val="00BE4587"/>
    <w:rsid w:val="00BE5400"/>
    <w:rsid w:val="00BE5800"/>
    <w:rsid w:val="00BE60C2"/>
    <w:rsid w:val="00BE66FC"/>
    <w:rsid w:val="00BE68F3"/>
    <w:rsid w:val="00BF03DE"/>
    <w:rsid w:val="00BF1248"/>
    <w:rsid w:val="00BF140D"/>
    <w:rsid w:val="00BF1D14"/>
    <w:rsid w:val="00BF1DED"/>
    <w:rsid w:val="00BF1E7C"/>
    <w:rsid w:val="00BF2061"/>
    <w:rsid w:val="00BF308B"/>
    <w:rsid w:val="00BF3528"/>
    <w:rsid w:val="00BF380D"/>
    <w:rsid w:val="00BF3D2B"/>
    <w:rsid w:val="00BF452E"/>
    <w:rsid w:val="00BF5818"/>
    <w:rsid w:val="00BF5AD9"/>
    <w:rsid w:val="00BF5B58"/>
    <w:rsid w:val="00BF5BE0"/>
    <w:rsid w:val="00BF6CA7"/>
    <w:rsid w:val="00BF6DC8"/>
    <w:rsid w:val="00BF7607"/>
    <w:rsid w:val="00BF7CD3"/>
    <w:rsid w:val="00BF7E89"/>
    <w:rsid w:val="00C014BD"/>
    <w:rsid w:val="00C0189E"/>
    <w:rsid w:val="00C036C3"/>
    <w:rsid w:val="00C03955"/>
    <w:rsid w:val="00C039B7"/>
    <w:rsid w:val="00C03C3A"/>
    <w:rsid w:val="00C045C0"/>
    <w:rsid w:val="00C04FAD"/>
    <w:rsid w:val="00C051C3"/>
    <w:rsid w:val="00C05F84"/>
    <w:rsid w:val="00C06E06"/>
    <w:rsid w:val="00C0731E"/>
    <w:rsid w:val="00C07401"/>
    <w:rsid w:val="00C07C88"/>
    <w:rsid w:val="00C07FDE"/>
    <w:rsid w:val="00C1043C"/>
    <w:rsid w:val="00C1140A"/>
    <w:rsid w:val="00C11734"/>
    <w:rsid w:val="00C12F8A"/>
    <w:rsid w:val="00C1300E"/>
    <w:rsid w:val="00C1474F"/>
    <w:rsid w:val="00C14DB6"/>
    <w:rsid w:val="00C15B29"/>
    <w:rsid w:val="00C15D11"/>
    <w:rsid w:val="00C15D7E"/>
    <w:rsid w:val="00C16347"/>
    <w:rsid w:val="00C16B75"/>
    <w:rsid w:val="00C176F5"/>
    <w:rsid w:val="00C1771C"/>
    <w:rsid w:val="00C17DEB"/>
    <w:rsid w:val="00C20C68"/>
    <w:rsid w:val="00C21CF1"/>
    <w:rsid w:val="00C22718"/>
    <w:rsid w:val="00C2274E"/>
    <w:rsid w:val="00C233F1"/>
    <w:rsid w:val="00C23C1F"/>
    <w:rsid w:val="00C23C28"/>
    <w:rsid w:val="00C24414"/>
    <w:rsid w:val="00C2455C"/>
    <w:rsid w:val="00C2668F"/>
    <w:rsid w:val="00C26C3E"/>
    <w:rsid w:val="00C27391"/>
    <w:rsid w:val="00C2799C"/>
    <w:rsid w:val="00C27B4F"/>
    <w:rsid w:val="00C27D37"/>
    <w:rsid w:val="00C27FFB"/>
    <w:rsid w:val="00C30516"/>
    <w:rsid w:val="00C333F2"/>
    <w:rsid w:val="00C33566"/>
    <w:rsid w:val="00C337DD"/>
    <w:rsid w:val="00C34229"/>
    <w:rsid w:val="00C344D3"/>
    <w:rsid w:val="00C3460E"/>
    <w:rsid w:val="00C3467F"/>
    <w:rsid w:val="00C349DA"/>
    <w:rsid w:val="00C34ACB"/>
    <w:rsid w:val="00C34FA2"/>
    <w:rsid w:val="00C35CDB"/>
    <w:rsid w:val="00C3618B"/>
    <w:rsid w:val="00C361CD"/>
    <w:rsid w:val="00C3629D"/>
    <w:rsid w:val="00C366A9"/>
    <w:rsid w:val="00C36ADE"/>
    <w:rsid w:val="00C37031"/>
    <w:rsid w:val="00C377A3"/>
    <w:rsid w:val="00C377D1"/>
    <w:rsid w:val="00C37C87"/>
    <w:rsid w:val="00C40C38"/>
    <w:rsid w:val="00C40D54"/>
    <w:rsid w:val="00C40E20"/>
    <w:rsid w:val="00C412B7"/>
    <w:rsid w:val="00C41B26"/>
    <w:rsid w:val="00C42139"/>
    <w:rsid w:val="00C4224C"/>
    <w:rsid w:val="00C428B2"/>
    <w:rsid w:val="00C42BAD"/>
    <w:rsid w:val="00C43A1F"/>
    <w:rsid w:val="00C4418F"/>
    <w:rsid w:val="00C451E3"/>
    <w:rsid w:val="00C455F8"/>
    <w:rsid w:val="00C45BD0"/>
    <w:rsid w:val="00C462F8"/>
    <w:rsid w:val="00C46F9D"/>
    <w:rsid w:val="00C4709E"/>
    <w:rsid w:val="00C474B1"/>
    <w:rsid w:val="00C47724"/>
    <w:rsid w:val="00C4776C"/>
    <w:rsid w:val="00C47786"/>
    <w:rsid w:val="00C4796D"/>
    <w:rsid w:val="00C50C00"/>
    <w:rsid w:val="00C50DC5"/>
    <w:rsid w:val="00C51450"/>
    <w:rsid w:val="00C52C40"/>
    <w:rsid w:val="00C52E4D"/>
    <w:rsid w:val="00C53404"/>
    <w:rsid w:val="00C554C3"/>
    <w:rsid w:val="00C55B6D"/>
    <w:rsid w:val="00C57211"/>
    <w:rsid w:val="00C573F6"/>
    <w:rsid w:val="00C57BDE"/>
    <w:rsid w:val="00C6010C"/>
    <w:rsid w:val="00C61B6A"/>
    <w:rsid w:val="00C6261D"/>
    <w:rsid w:val="00C62D1C"/>
    <w:rsid w:val="00C63242"/>
    <w:rsid w:val="00C64173"/>
    <w:rsid w:val="00C6447C"/>
    <w:rsid w:val="00C649B2"/>
    <w:rsid w:val="00C6538D"/>
    <w:rsid w:val="00C6617A"/>
    <w:rsid w:val="00C66297"/>
    <w:rsid w:val="00C66882"/>
    <w:rsid w:val="00C671B6"/>
    <w:rsid w:val="00C67E45"/>
    <w:rsid w:val="00C716E5"/>
    <w:rsid w:val="00C72000"/>
    <w:rsid w:val="00C726F8"/>
    <w:rsid w:val="00C73615"/>
    <w:rsid w:val="00C73CE0"/>
    <w:rsid w:val="00C73ED4"/>
    <w:rsid w:val="00C746D2"/>
    <w:rsid w:val="00C757D9"/>
    <w:rsid w:val="00C75E4B"/>
    <w:rsid w:val="00C80977"/>
    <w:rsid w:val="00C80B89"/>
    <w:rsid w:val="00C8155B"/>
    <w:rsid w:val="00C8167C"/>
    <w:rsid w:val="00C817CC"/>
    <w:rsid w:val="00C81A84"/>
    <w:rsid w:val="00C832E8"/>
    <w:rsid w:val="00C83737"/>
    <w:rsid w:val="00C84B60"/>
    <w:rsid w:val="00C84CC2"/>
    <w:rsid w:val="00C90210"/>
    <w:rsid w:val="00C90333"/>
    <w:rsid w:val="00C90C4E"/>
    <w:rsid w:val="00C90F0F"/>
    <w:rsid w:val="00C913FF"/>
    <w:rsid w:val="00C91AB5"/>
    <w:rsid w:val="00C91DA6"/>
    <w:rsid w:val="00C91F4E"/>
    <w:rsid w:val="00C9283C"/>
    <w:rsid w:val="00C92D1A"/>
    <w:rsid w:val="00C949F9"/>
    <w:rsid w:val="00C94CE7"/>
    <w:rsid w:val="00C954B9"/>
    <w:rsid w:val="00C9583E"/>
    <w:rsid w:val="00C95A32"/>
    <w:rsid w:val="00C96860"/>
    <w:rsid w:val="00C96D26"/>
    <w:rsid w:val="00C972CA"/>
    <w:rsid w:val="00C974AE"/>
    <w:rsid w:val="00C976F0"/>
    <w:rsid w:val="00C97B12"/>
    <w:rsid w:val="00CA083B"/>
    <w:rsid w:val="00CA14E7"/>
    <w:rsid w:val="00CA158D"/>
    <w:rsid w:val="00CA26B2"/>
    <w:rsid w:val="00CA2801"/>
    <w:rsid w:val="00CA29AA"/>
    <w:rsid w:val="00CA3215"/>
    <w:rsid w:val="00CA3246"/>
    <w:rsid w:val="00CA340E"/>
    <w:rsid w:val="00CA3AD6"/>
    <w:rsid w:val="00CA3D92"/>
    <w:rsid w:val="00CA4524"/>
    <w:rsid w:val="00CA4E8B"/>
    <w:rsid w:val="00CA5522"/>
    <w:rsid w:val="00CA61C7"/>
    <w:rsid w:val="00CA6FEE"/>
    <w:rsid w:val="00CA73D9"/>
    <w:rsid w:val="00CA79EB"/>
    <w:rsid w:val="00CA7E8F"/>
    <w:rsid w:val="00CB0445"/>
    <w:rsid w:val="00CB0E0B"/>
    <w:rsid w:val="00CB1090"/>
    <w:rsid w:val="00CB133D"/>
    <w:rsid w:val="00CB157F"/>
    <w:rsid w:val="00CB28A8"/>
    <w:rsid w:val="00CB2CE4"/>
    <w:rsid w:val="00CB31B1"/>
    <w:rsid w:val="00CB3EA3"/>
    <w:rsid w:val="00CB40F9"/>
    <w:rsid w:val="00CB4F47"/>
    <w:rsid w:val="00CB53DF"/>
    <w:rsid w:val="00CB5E30"/>
    <w:rsid w:val="00CB6780"/>
    <w:rsid w:val="00CB7A06"/>
    <w:rsid w:val="00CC0683"/>
    <w:rsid w:val="00CC105F"/>
    <w:rsid w:val="00CC1355"/>
    <w:rsid w:val="00CC1BCB"/>
    <w:rsid w:val="00CC1C6B"/>
    <w:rsid w:val="00CC270C"/>
    <w:rsid w:val="00CC33D9"/>
    <w:rsid w:val="00CC3568"/>
    <w:rsid w:val="00CC35BD"/>
    <w:rsid w:val="00CC3D9D"/>
    <w:rsid w:val="00CC3F9D"/>
    <w:rsid w:val="00CC4688"/>
    <w:rsid w:val="00CC556E"/>
    <w:rsid w:val="00CC5863"/>
    <w:rsid w:val="00CC5D77"/>
    <w:rsid w:val="00CC60A4"/>
    <w:rsid w:val="00CC6E89"/>
    <w:rsid w:val="00CC6F12"/>
    <w:rsid w:val="00CC773C"/>
    <w:rsid w:val="00CC7A51"/>
    <w:rsid w:val="00CD0493"/>
    <w:rsid w:val="00CD0616"/>
    <w:rsid w:val="00CD0673"/>
    <w:rsid w:val="00CD0801"/>
    <w:rsid w:val="00CD0A5C"/>
    <w:rsid w:val="00CD0EF6"/>
    <w:rsid w:val="00CD16CB"/>
    <w:rsid w:val="00CD1F19"/>
    <w:rsid w:val="00CD3A88"/>
    <w:rsid w:val="00CD3EA3"/>
    <w:rsid w:val="00CD3F8D"/>
    <w:rsid w:val="00CD4A5E"/>
    <w:rsid w:val="00CD565B"/>
    <w:rsid w:val="00CD5D1D"/>
    <w:rsid w:val="00CD7243"/>
    <w:rsid w:val="00CE03A4"/>
    <w:rsid w:val="00CE0454"/>
    <w:rsid w:val="00CE1816"/>
    <w:rsid w:val="00CE37B1"/>
    <w:rsid w:val="00CE4618"/>
    <w:rsid w:val="00CE4A41"/>
    <w:rsid w:val="00CE4DAF"/>
    <w:rsid w:val="00CE5852"/>
    <w:rsid w:val="00CE6279"/>
    <w:rsid w:val="00CE6AD3"/>
    <w:rsid w:val="00CE6E96"/>
    <w:rsid w:val="00CE6EC6"/>
    <w:rsid w:val="00CE6EEC"/>
    <w:rsid w:val="00CE71A4"/>
    <w:rsid w:val="00CE7E3F"/>
    <w:rsid w:val="00CF012A"/>
    <w:rsid w:val="00CF0298"/>
    <w:rsid w:val="00CF0EA1"/>
    <w:rsid w:val="00CF1811"/>
    <w:rsid w:val="00CF19F8"/>
    <w:rsid w:val="00CF1AC3"/>
    <w:rsid w:val="00CF1D2C"/>
    <w:rsid w:val="00CF277F"/>
    <w:rsid w:val="00CF294C"/>
    <w:rsid w:val="00CF2A52"/>
    <w:rsid w:val="00CF2ADC"/>
    <w:rsid w:val="00CF33AD"/>
    <w:rsid w:val="00CF3551"/>
    <w:rsid w:val="00CF56C0"/>
    <w:rsid w:val="00CF58B3"/>
    <w:rsid w:val="00CF58D1"/>
    <w:rsid w:val="00CF5F69"/>
    <w:rsid w:val="00CF622A"/>
    <w:rsid w:val="00CF635A"/>
    <w:rsid w:val="00CF645B"/>
    <w:rsid w:val="00CF78B0"/>
    <w:rsid w:val="00CF7A31"/>
    <w:rsid w:val="00D00D0C"/>
    <w:rsid w:val="00D01311"/>
    <w:rsid w:val="00D0213F"/>
    <w:rsid w:val="00D02F56"/>
    <w:rsid w:val="00D03139"/>
    <w:rsid w:val="00D035D8"/>
    <w:rsid w:val="00D03812"/>
    <w:rsid w:val="00D03956"/>
    <w:rsid w:val="00D0402D"/>
    <w:rsid w:val="00D04527"/>
    <w:rsid w:val="00D045C6"/>
    <w:rsid w:val="00D048F7"/>
    <w:rsid w:val="00D049F3"/>
    <w:rsid w:val="00D05054"/>
    <w:rsid w:val="00D05538"/>
    <w:rsid w:val="00D05C4B"/>
    <w:rsid w:val="00D06860"/>
    <w:rsid w:val="00D07528"/>
    <w:rsid w:val="00D077D5"/>
    <w:rsid w:val="00D10013"/>
    <w:rsid w:val="00D10911"/>
    <w:rsid w:val="00D10C9B"/>
    <w:rsid w:val="00D111F9"/>
    <w:rsid w:val="00D117CC"/>
    <w:rsid w:val="00D120EE"/>
    <w:rsid w:val="00D125F6"/>
    <w:rsid w:val="00D12938"/>
    <w:rsid w:val="00D14192"/>
    <w:rsid w:val="00D14456"/>
    <w:rsid w:val="00D14B36"/>
    <w:rsid w:val="00D14FBB"/>
    <w:rsid w:val="00D1619E"/>
    <w:rsid w:val="00D16BF4"/>
    <w:rsid w:val="00D171DB"/>
    <w:rsid w:val="00D17207"/>
    <w:rsid w:val="00D17D58"/>
    <w:rsid w:val="00D20272"/>
    <w:rsid w:val="00D2071C"/>
    <w:rsid w:val="00D2144A"/>
    <w:rsid w:val="00D21F38"/>
    <w:rsid w:val="00D2250D"/>
    <w:rsid w:val="00D2275F"/>
    <w:rsid w:val="00D238E3"/>
    <w:rsid w:val="00D241DE"/>
    <w:rsid w:val="00D24462"/>
    <w:rsid w:val="00D24699"/>
    <w:rsid w:val="00D24D5A"/>
    <w:rsid w:val="00D24E09"/>
    <w:rsid w:val="00D25422"/>
    <w:rsid w:val="00D26942"/>
    <w:rsid w:val="00D26A23"/>
    <w:rsid w:val="00D26B83"/>
    <w:rsid w:val="00D26DE3"/>
    <w:rsid w:val="00D30F3C"/>
    <w:rsid w:val="00D31218"/>
    <w:rsid w:val="00D31A59"/>
    <w:rsid w:val="00D31B8D"/>
    <w:rsid w:val="00D31FDA"/>
    <w:rsid w:val="00D32145"/>
    <w:rsid w:val="00D32419"/>
    <w:rsid w:val="00D32C99"/>
    <w:rsid w:val="00D3315C"/>
    <w:rsid w:val="00D333A4"/>
    <w:rsid w:val="00D3390C"/>
    <w:rsid w:val="00D33D3B"/>
    <w:rsid w:val="00D34727"/>
    <w:rsid w:val="00D348A1"/>
    <w:rsid w:val="00D34C5C"/>
    <w:rsid w:val="00D3603F"/>
    <w:rsid w:val="00D37774"/>
    <w:rsid w:val="00D37EB3"/>
    <w:rsid w:val="00D40424"/>
    <w:rsid w:val="00D4055A"/>
    <w:rsid w:val="00D4086A"/>
    <w:rsid w:val="00D40928"/>
    <w:rsid w:val="00D412CC"/>
    <w:rsid w:val="00D413A6"/>
    <w:rsid w:val="00D41765"/>
    <w:rsid w:val="00D41E97"/>
    <w:rsid w:val="00D42800"/>
    <w:rsid w:val="00D4302A"/>
    <w:rsid w:val="00D436E8"/>
    <w:rsid w:val="00D44814"/>
    <w:rsid w:val="00D44B41"/>
    <w:rsid w:val="00D452B3"/>
    <w:rsid w:val="00D45BCD"/>
    <w:rsid w:val="00D46AD5"/>
    <w:rsid w:val="00D47751"/>
    <w:rsid w:val="00D47DFE"/>
    <w:rsid w:val="00D500BB"/>
    <w:rsid w:val="00D50B78"/>
    <w:rsid w:val="00D50DF1"/>
    <w:rsid w:val="00D518C4"/>
    <w:rsid w:val="00D52443"/>
    <w:rsid w:val="00D52B17"/>
    <w:rsid w:val="00D52D3A"/>
    <w:rsid w:val="00D5327A"/>
    <w:rsid w:val="00D5337D"/>
    <w:rsid w:val="00D535E3"/>
    <w:rsid w:val="00D55350"/>
    <w:rsid w:val="00D55B7F"/>
    <w:rsid w:val="00D56072"/>
    <w:rsid w:val="00D561D8"/>
    <w:rsid w:val="00D56B38"/>
    <w:rsid w:val="00D572BE"/>
    <w:rsid w:val="00D572F6"/>
    <w:rsid w:val="00D57370"/>
    <w:rsid w:val="00D57518"/>
    <w:rsid w:val="00D5751F"/>
    <w:rsid w:val="00D578A7"/>
    <w:rsid w:val="00D57EE8"/>
    <w:rsid w:val="00D60DE1"/>
    <w:rsid w:val="00D61338"/>
    <w:rsid w:val="00D61E1F"/>
    <w:rsid w:val="00D61F9D"/>
    <w:rsid w:val="00D62305"/>
    <w:rsid w:val="00D648D1"/>
    <w:rsid w:val="00D649F8"/>
    <w:rsid w:val="00D64ABF"/>
    <w:rsid w:val="00D6522E"/>
    <w:rsid w:val="00D65302"/>
    <w:rsid w:val="00D658D0"/>
    <w:rsid w:val="00D65EBC"/>
    <w:rsid w:val="00D6640E"/>
    <w:rsid w:val="00D66ED8"/>
    <w:rsid w:val="00D67486"/>
    <w:rsid w:val="00D67C38"/>
    <w:rsid w:val="00D67DB7"/>
    <w:rsid w:val="00D67FDD"/>
    <w:rsid w:val="00D7028E"/>
    <w:rsid w:val="00D70A20"/>
    <w:rsid w:val="00D70F8A"/>
    <w:rsid w:val="00D71715"/>
    <w:rsid w:val="00D71EFE"/>
    <w:rsid w:val="00D725A7"/>
    <w:rsid w:val="00D730A0"/>
    <w:rsid w:val="00D73EA4"/>
    <w:rsid w:val="00D749BC"/>
    <w:rsid w:val="00D755DA"/>
    <w:rsid w:val="00D757EB"/>
    <w:rsid w:val="00D75D06"/>
    <w:rsid w:val="00D75FE4"/>
    <w:rsid w:val="00D76E0F"/>
    <w:rsid w:val="00D76EDE"/>
    <w:rsid w:val="00D76F4C"/>
    <w:rsid w:val="00D77057"/>
    <w:rsid w:val="00D7753A"/>
    <w:rsid w:val="00D775EC"/>
    <w:rsid w:val="00D801A5"/>
    <w:rsid w:val="00D80281"/>
    <w:rsid w:val="00D8116C"/>
    <w:rsid w:val="00D814B4"/>
    <w:rsid w:val="00D81D31"/>
    <w:rsid w:val="00D81E7B"/>
    <w:rsid w:val="00D81F60"/>
    <w:rsid w:val="00D82891"/>
    <w:rsid w:val="00D829B4"/>
    <w:rsid w:val="00D8323E"/>
    <w:rsid w:val="00D83601"/>
    <w:rsid w:val="00D8469C"/>
    <w:rsid w:val="00D84969"/>
    <w:rsid w:val="00D8583A"/>
    <w:rsid w:val="00D87891"/>
    <w:rsid w:val="00D87BCF"/>
    <w:rsid w:val="00D9199F"/>
    <w:rsid w:val="00D91C76"/>
    <w:rsid w:val="00D92118"/>
    <w:rsid w:val="00D9265C"/>
    <w:rsid w:val="00D92C31"/>
    <w:rsid w:val="00D93D79"/>
    <w:rsid w:val="00D93D7E"/>
    <w:rsid w:val="00D93EC0"/>
    <w:rsid w:val="00D94052"/>
    <w:rsid w:val="00D950F7"/>
    <w:rsid w:val="00D9536F"/>
    <w:rsid w:val="00D9583F"/>
    <w:rsid w:val="00D96A1E"/>
    <w:rsid w:val="00D96CE6"/>
    <w:rsid w:val="00DA02AF"/>
    <w:rsid w:val="00DA0F7D"/>
    <w:rsid w:val="00DA20FA"/>
    <w:rsid w:val="00DA2302"/>
    <w:rsid w:val="00DA24DA"/>
    <w:rsid w:val="00DA4950"/>
    <w:rsid w:val="00DA4D49"/>
    <w:rsid w:val="00DA53CF"/>
    <w:rsid w:val="00DA597C"/>
    <w:rsid w:val="00DA6A0B"/>
    <w:rsid w:val="00DA6AA0"/>
    <w:rsid w:val="00DA6AD2"/>
    <w:rsid w:val="00DA6C8C"/>
    <w:rsid w:val="00DA74C3"/>
    <w:rsid w:val="00DA7543"/>
    <w:rsid w:val="00DA75A6"/>
    <w:rsid w:val="00DA7903"/>
    <w:rsid w:val="00DA7B83"/>
    <w:rsid w:val="00DA7EB8"/>
    <w:rsid w:val="00DB0028"/>
    <w:rsid w:val="00DB02B1"/>
    <w:rsid w:val="00DB0916"/>
    <w:rsid w:val="00DB186E"/>
    <w:rsid w:val="00DB1D34"/>
    <w:rsid w:val="00DB1ED2"/>
    <w:rsid w:val="00DB20D1"/>
    <w:rsid w:val="00DB24E5"/>
    <w:rsid w:val="00DB395E"/>
    <w:rsid w:val="00DB40E8"/>
    <w:rsid w:val="00DB5709"/>
    <w:rsid w:val="00DB5974"/>
    <w:rsid w:val="00DB5E6E"/>
    <w:rsid w:val="00DB5F2E"/>
    <w:rsid w:val="00DB6359"/>
    <w:rsid w:val="00DB67AD"/>
    <w:rsid w:val="00DB7793"/>
    <w:rsid w:val="00DC0FB1"/>
    <w:rsid w:val="00DC13C6"/>
    <w:rsid w:val="00DC1534"/>
    <w:rsid w:val="00DC2013"/>
    <w:rsid w:val="00DC2F2A"/>
    <w:rsid w:val="00DC34AB"/>
    <w:rsid w:val="00DC35C2"/>
    <w:rsid w:val="00DC35F5"/>
    <w:rsid w:val="00DC37EF"/>
    <w:rsid w:val="00DC4F30"/>
    <w:rsid w:val="00DC65A1"/>
    <w:rsid w:val="00DC69D9"/>
    <w:rsid w:val="00DC6A05"/>
    <w:rsid w:val="00DC6BC0"/>
    <w:rsid w:val="00DC6FBF"/>
    <w:rsid w:val="00DC7C5D"/>
    <w:rsid w:val="00DD0C77"/>
    <w:rsid w:val="00DD2D4D"/>
    <w:rsid w:val="00DD3048"/>
    <w:rsid w:val="00DD32CF"/>
    <w:rsid w:val="00DD33A5"/>
    <w:rsid w:val="00DD432A"/>
    <w:rsid w:val="00DD4550"/>
    <w:rsid w:val="00DD4A34"/>
    <w:rsid w:val="00DD4C71"/>
    <w:rsid w:val="00DD5713"/>
    <w:rsid w:val="00DD65E4"/>
    <w:rsid w:val="00DD681F"/>
    <w:rsid w:val="00DD6838"/>
    <w:rsid w:val="00DD6B3B"/>
    <w:rsid w:val="00DD731A"/>
    <w:rsid w:val="00DE0255"/>
    <w:rsid w:val="00DE0275"/>
    <w:rsid w:val="00DE14B9"/>
    <w:rsid w:val="00DE251A"/>
    <w:rsid w:val="00DE2909"/>
    <w:rsid w:val="00DE2A54"/>
    <w:rsid w:val="00DE35B4"/>
    <w:rsid w:val="00DE385A"/>
    <w:rsid w:val="00DE4605"/>
    <w:rsid w:val="00DE48C7"/>
    <w:rsid w:val="00DE6049"/>
    <w:rsid w:val="00DE79A1"/>
    <w:rsid w:val="00DE7BAB"/>
    <w:rsid w:val="00DF0B36"/>
    <w:rsid w:val="00DF11DC"/>
    <w:rsid w:val="00DF1A2A"/>
    <w:rsid w:val="00DF2025"/>
    <w:rsid w:val="00DF2061"/>
    <w:rsid w:val="00DF231E"/>
    <w:rsid w:val="00DF36C2"/>
    <w:rsid w:val="00DF3B5D"/>
    <w:rsid w:val="00DF419C"/>
    <w:rsid w:val="00DF4C59"/>
    <w:rsid w:val="00DF54C7"/>
    <w:rsid w:val="00DF652E"/>
    <w:rsid w:val="00DF6834"/>
    <w:rsid w:val="00DF7437"/>
    <w:rsid w:val="00E00937"/>
    <w:rsid w:val="00E00E15"/>
    <w:rsid w:val="00E0143C"/>
    <w:rsid w:val="00E01830"/>
    <w:rsid w:val="00E02451"/>
    <w:rsid w:val="00E02463"/>
    <w:rsid w:val="00E02536"/>
    <w:rsid w:val="00E02CC6"/>
    <w:rsid w:val="00E04931"/>
    <w:rsid w:val="00E05392"/>
    <w:rsid w:val="00E05450"/>
    <w:rsid w:val="00E0593C"/>
    <w:rsid w:val="00E06C47"/>
    <w:rsid w:val="00E074D8"/>
    <w:rsid w:val="00E07B98"/>
    <w:rsid w:val="00E07C7D"/>
    <w:rsid w:val="00E10539"/>
    <w:rsid w:val="00E10862"/>
    <w:rsid w:val="00E10CBD"/>
    <w:rsid w:val="00E112F8"/>
    <w:rsid w:val="00E113D8"/>
    <w:rsid w:val="00E11A40"/>
    <w:rsid w:val="00E1221B"/>
    <w:rsid w:val="00E125DF"/>
    <w:rsid w:val="00E1283B"/>
    <w:rsid w:val="00E13860"/>
    <w:rsid w:val="00E13DCA"/>
    <w:rsid w:val="00E140CE"/>
    <w:rsid w:val="00E1412B"/>
    <w:rsid w:val="00E148F7"/>
    <w:rsid w:val="00E14ABF"/>
    <w:rsid w:val="00E161F4"/>
    <w:rsid w:val="00E17020"/>
    <w:rsid w:val="00E17132"/>
    <w:rsid w:val="00E175CD"/>
    <w:rsid w:val="00E17623"/>
    <w:rsid w:val="00E1781F"/>
    <w:rsid w:val="00E20866"/>
    <w:rsid w:val="00E20AF9"/>
    <w:rsid w:val="00E211DC"/>
    <w:rsid w:val="00E21A5F"/>
    <w:rsid w:val="00E238DD"/>
    <w:rsid w:val="00E23B61"/>
    <w:rsid w:val="00E24326"/>
    <w:rsid w:val="00E24644"/>
    <w:rsid w:val="00E255B8"/>
    <w:rsid w:val="00E258D8"/>
    <w:rsid w:val="00E2653E"/>
    <w:rsid w:val="00E2682A"/>
    <w:rsid w:val="00E26FD9"/>
    <w:rsid w:val="00E27611"/>
    <w:rsid w:val="00E27762"/>
    <w:rsid w:val="00E306E0"/>
    <w:rsid w:val="00E31C70"/>
    <w:rsid w:val="00E31EC5"/>
    <w:rsid w:val="00E32512"/>
    <w:rsid w:val="00E325A5"/>
    <w:rsid w:val="00E335CB"/>
    <w:rsid w:val="00E33B26"/>
    <w:rsid w:val="00E33C5A"/>
    <w:rsid w:val="00E33CC6"/>
    <w:rsid w:val="00E341FF"/>
    <w:rsid w:val="00E348FF"/>
    <w:rsid w:val="00E34D76"/>
    <w:rsid w:val="00E35714"/>
    <w:rsid w:val="00E36381"/>
    <w:rsid w:val="00E36807"/>
    <w:rsid w:val="00E371EE"/>
    <w:rsid w:val="00E37ED0"/>
    <w:rsid w:val="00E418BB"/>
    <w:rsid w:val="00E419B6"/>
    <w:rsid w:val="00E41B2B"/>
    <w:rsid w:val="00E422A6"/>
    <w:rsid w:val="00E423F3"/>
    <w:rsid w:val="00E428D4"/>
    <w:rsid w:val="00E4292B"/>
    <w:rsid w:val="00E4311D"/>
    <w:rsid w:val="00E43459"/>
    <w:rsid w:val="00E4370C"/>
    <w:rsid w:val="00E43DB9"/>
    <w:rsid w:val="00E45342"/>
    <w:rsid w:val="00E46015"/>
    <w:rsid w:val="00E46241"/>
    <w:rsid w:val="00E46495"/>
    <w:rsid w:val="00E46AA4"/>
    <w:rsid w:val="00E46E06"/>
    <w:rsid w:val="00E473D5"/>
    <w:rsid w:val="00E479A1"/>
    <w:rsid w:val="00E47E48"/>
    <w:rsid w:val="00E50E5F"/>
    <w:rsid w:val="00E51111"/>
    <w:rsid w:val="00E511F7"/>
    <w:rsid w:val="00E5172F"/>
    <w:rsid w:val="00E52027"/>
    <w:rsid w:val="00E53B97"/>
    <w:rsid w:val="00E53E5D"/>
    <w:rsid w:val="00E53EE3"/>
    <w:rsid w:val="00E540A4"/>
    <w:rsid w:val="00E54560"/>
    <w:rsid w:val="00E563D5"/>
    <w:rsid w:val="00E56866"/>
    <w:rsid w:val="00E56D6D"/>
    <w:rsid w:val="00E570C0"/>
    <w:rsid w:val="00E57476"/>
    <w:rsid w:val="00E57ACE"/>
    <w:rsid w:val="00E60672"/>
    <w:rsid w:val="00E60CA3"/>
    <w:rsid w:val="00E61083"/>
    <w:rsid w:val="00E61856"/>
    <w:rsid w:val="00E61ADA"/>
    <w:rsid w:val="00E61AED"/>
    <w:rsid w:val="00E621CB"/>
    <w:rsid w:val="00E62427"/>
    <w:rsid w:val="00E635D3"/>
    <w:rsid w:val="00E65FCD"/>
    <w:rsid w:val="00E6601A"/>
    <w:rsid w:val="00E66B28"/>
    <w:rsid w:val="00E66CAE"/>
    <w:rsid w:val="00E67FC4"/>
    <w:rsid w:val="00E7295F"/>
    <w:rsid w:val="00E7396B"/>
    <w:rsid w:val="00E73998"/>
    <w:rsid w:val="00E73EA3"/>
    <w:rsid w:val="00E7418D"/>
    <w:rsid w:val="00E743C3"/>
    <w:rsid w:val="00E74F93"/>
    <w:rsid w:val="00E756F1"/>
    <w:rsid w:val="00E7589B"/>
    <w:rsid w:val="00E763AA"/>
    <w:rsid w:val="00E776D1"/>
    <w:rsid w:val="00E778B7"/>
    <w:rsid w:val="00E77D4C"/>
    <w:rsid w:val="00E80980"/>
    <w:rsid w:val="00E809DE"/>
    <w:rsid w:val="00E8129A"/>
    <w:rsid w:val="00E8196A"/>
    <w:rsid w:val="00E82EEB"/>
    <w:rsid w:val="00E832F8"/>
    <w:rsid w:val="00E832FB"/>
    <w:rsid w:val="00E8392F"/>
    <w:rsid w:val="00E84F4D"/>
    <w:rsid w:val="00E85162"/>
    <w:rsid w:val="00E85606"/>
    <w:rsid w:val="00E85741"/>
    <w:rsid w:val="00E8624B"/>
    <w:rsid w:val="00E86CF6"/>
    <w:rsid w:val="00E870FC"/>
    <w:rsid w:val="00E87C11"/>
    <w:rsid w:val="00E90776"/>
    <w:rsid w:val="00E91763"/>
    <w:rsid w:val="00E925C2"/>
    <w:rsid w:val="00E929E6"/>
    <w:rsid w:val="00E94004"/>
    <w:rsid w:val="00E945B6"/>
    <w:rsid w:val="00E96653"/>
    <w:rsid w:val="00E96838"/>
    <w:rsid w:val="00E9684D"/>
    <w:rsid w:val="00E96A18"/>
    <w:rsid w:val="00E97F07"/>
    <w:rsid w:val="00E97F1F"/>
    <w:rsid w:val="00EA012D"/>
    <w:rsid w:val="00EA04CB"/>
    <w:rsid w:val="00EA08EF"/>
    <w:rsid w:val="00EA1726"/>
    <w:rsid w:val="00EA2444"/>
    <w:rsid w:val="00EA33C7"/>
    <w:rsid w:val="00EA382F"/>
    <w:rsid w:val="00EA3B66"/>
    <w:rsid w:val="00EA4103"/>
    <w:rsid w:val="00EA5759"/>
    <w:rsid w:val="00EA5D82"/>
    <w:rsid w:val="00EA6156"/>
    <w:rsid w:val="00EA6719"/>
    <w:rsid w:val="00EA67AF"/>
    <w:rsid w:val="00EA6F31"/>
    <w:rsid w:val="00EA79D6"/>
    <w:rsid w:val="00EB0EAA"/>
    <w:rsid w:val="00EB2002"/>
    <w:rsid w:val="00EB3259"/>
    <w:rsid w:val="00EB4FD0"/>
    <w:rsid w:val="00EB51F8"/>
    <w:rsid w:val="00EB567F"/>
    <w:rsid w:val="00EB58D7"/>
    <w:rsid w:val="00EB59E7"/>
    <w:rsid w:val="00EB59ED"/>
    <w:rsid w:val="00EB5EE4"/>
    <w:rsid w:val="00EB607A"/>
    <w:rsid w:val="00EB68E8"/>
    <w:rsid w:val="00EB6B00"/>
    <w:rsid w:val="00EB6B22"/>
    <w:rsid w:val="00EB7164"/>
    <w:rsid w:val="00EB7888"/>
    <w:rsid w:val="00EB7FD6"/>
    <w:rsid w:val="00EC06F3"/>
    <w:rsid w:val="00EC1092"/>
    <w:rsid w:val="00EC11F4"/>
    <w:rsid w:val="00EC16C7"/>
    <w:rsid w:val="00EC1D9E"/>
    <w:rsid w:val="00EC1FF2"/>
    <w:rsid w:val="00EC2BE1"/>
    <w:rsid w:val="00EC41D7"/>
    <w:rsid w:val="00EC5066"/>
    <w:rsid w:val="00EC567C"/>
    <w:rsid w:val="00EC7653"/>
    <w:rsid w:val="00EC76C9"/>
    <w:rsid w:val="00EC7D4B"/>
    <w:rsid w:val="00ED09EE"/>
    <w:rsid w:val="00ED1876"/>
    <w:rsid w:val="00ED1D58"/>
    <w:rsid w:val="00ED2051"/>
    <w:rsid w:val="00ED26C5"/>
    <w:rsid w:val="00ED2ABD"/>
    <w:rsid w:val="00ED2B94"/>
    <w:rsid w:val="00ED33C4"/>
    <w:rsid w:val="00ED33ED"/>
    <w:rsid w:val="00ED538C"/>
    <w:rsid w:val="00ED5B1A"/>
    <w:rsid w:val="00ED5FA8"/>
    <w:rsid w:val="00ED722B"/>
    <w:rsid w:val="00EE0307"/>
    <w:rsid w:val="00EE086C"/>
    <w:rsid w:val="00EE0AF6"/>
    <w:rsid w:val="00EE1650"/>
    <w:rsid w:val="00EE1B48"/>
    <w:rsid w:val="00EE1BBF"/>
    <w:rsid w:val="00EE2132"/>
    <w:rsid w:val="00EE2422"/>
    <w:rsid w:val="00EE2551"/>
    <w:rsid w:val="00EE31C2"/>
    <w:rsid w:val="00EE3970"/>
    <w:rsid w:val="00EE3BDD"/>
    <w:rsid w:val="00EE43BC"/>
    <w:rsid w:val="00EE49FB"/>
    <w:rsid w:val="00EE4C4A"/>
    <w:rsid w:val="00EE535F"/>
    <w:rsid w:val="00EE5E35"/>
    <w:rsid w:val="00EE604D"/>
    <w:rsid w:val="00EF046F"/>
    <w:rsid w:val="00EF07E1"/>
    <w:rsid w:val="00EF10E5"/>
    <w:rsid w:val="00EF11FC"/>
    <w:rsid w:val="00EF187C"/>
    <w:rsid w:val="00EF24F1"/>
    <w:rsid w:val="00EF30E4"/>
    <w:rsid w:val="00EF3A9F"/>
    <w:rsid w:val="00EF3E73"/>
    <w:rsid w:val="00EF48A1"/>
    <w:rsid w:val="00EF4CD8"/>
    <w:rsid w:val="00EF5985"/>
    <w:rsid w:val="00EF66C1"/>
    <w:rsid w:val="00EF7D7C"/>
    <w:rsid w:val="00F019A6"/>
    <w:rsid w:val="00F01CB7"/>
    <w:rsid w:val="00F01D0D"/>
    <w:rsid w:val="00F01D6B"/>
    <w:rsid w:val="00F022E4"/>
    <w:rsid w:val="00F022F6"/>
    <w:rsid w:val="00F02559"/>
    <w:rsid w:val="00F0292F"/>
    <w:rsid w:val="00F043C3"/>
    <w:rsid w:val="00F053A1"/>
    <w:rsid w:val="00F0652D"/>
    <w:rsid w:val="00F06B36"/>
    <w:rsid w:val="00F06BC4"/>
    <w:rsid w:val="00F06F28"/>
    <w:rsid w:val="00F07117"/>
    <w:rsid w:val="00F07FE2"/>
    <w:rsid w:val="00F104D8"/>
    <w:rsid w:val="00F10A19"/>
    <w:rsid w:val="00F10C99"/>
    <w:rsid w:val="00F11102"/>
    <w:rsid w:val="00F11993"/>
    <w:rsid w:val="00F11DE4"/>
    <w:rsid w:val="00F1313A"/>
    <w:rsid w:val="00F154E4"/>
    <w:rsid w:val="00F1602D"/>
    <w:rsid w:val="00F160C2"/>
    <w:rsid w:val="00F16B6D"/>
    <w:rsid w:val="00F174D5"/>
    <w:rsid w:val="00F17695"/>
    <w:rsid w:val="00F2134F"/>
    <w:rsid w:val="00F22422"/>
    <w:rsid w:val="00F224DB"/>
    <w:rsid w:val="00F22950"/>
    <w:rsid w:val="00F2299C"/>
    <w:rsid w:val="00F22A21"/>
    <w:rsid w:val="00F22C4F"/>
    <w:rsid w:val="00F2332D"/>
    <w:rsid w:val="00F235B7"/>
    <w:rsid w:val="00F2398C"/>
    <w:rsid w:val="00F23DEC"/>
    <w:rsid w:val="00F245EF"/>
    <w:rsid w:val="00F24939"/>
    <w:rsid w:val="00F251A5"/>
    <w:rsid w:val="00F252A3"/>
    <w:rsid w:val="00F2586E"/>
    <w:rsid w:val="00F25982"/>
    <w:rsid w:val="00F25BCC"/>
    <w:rsid w:val="00F25BE7"/>
    <w:rsid w:val="00F25CE1"/>
    <w:rsid w:val="00F2610C"/>
    <w:rsid w:val="00F26444"/>
    <w:rsid w:val="00F27942"/>
    <w:rsid w:val="00F27FB6"/>
    <w:rsid w:val="00F30253"/>
    <w:rsid w:val="00F30ECC"/>
    <w:rsid w:val="00F31C73"/>
    <w:rsid w:val="00F31CFD"/>
    <w:rsid w:val="00F31FB6"/>
    <w:rsid w:val="00F32D7A"/>
    <w:rsid w:val="00F33279"/>
    <w:rsid w:val="00F333D1"/>
    <w:rsid w:val="00F33AAF"/>
    <w:rsid w:val="00F33BEB"/>
    <w:rsid w:val="00F33FA3"/>
    <w:rsid w:val="00F3458D"/>
    <w:rsid w:val="00F346D8"/>
    <w:rsid w:val="00F348AA"/>
    <w:rsid w:val="00F34938"/>
    <w:rsid w:val="00F35475"/>
    <w:rsid w:val="00F360F0"/>
    <w:rsid w:val="00F36261"/>
    <w:rsid w:val="00F36702"/>
    <w:rsid w:val="00F371CB"/>
    <w:rsid w:val="00F37C64"/>
    <w:rsid w:val="00F40DA7"/>
    <w:rsid w:val="00F42988"/>
    <w:rsid w:val="00F42F3B"/>
    <w:rsid w:val="00F42FF8"/>
    <w:rsid w:val="00F43179"/>
    <w:rsid w:val="00F43261"/>
    <w:rsid w:val="00F43668"/>
    <w:rsid w:val="00F4374D"/>
    <w:rsid w:val="00F4379E"/>
    <w:rsid w:val="00F44859"/>
    <w:rsid w:val="00F45228"/>
    <w:rsid w:val="00F45B63"/>
    <w:rsid w:val="00F45C21"/>
    <w:rsid w:val="00F46258"/>
    <w:rsid w:val="00F47B48"/>
    <w:rsid w:val="00F50434"/>
    <w:rsid w:val="00F50CE3"/>
    <w:rsid w:val="00F5239B"/>
    <w:rsid w:val="00F52872"/>
    <w:rsid w:val="00F537B6"/>
    <w:rsid w:val="00F53CA2"/>
    <w:rsid w:val="00F55363"/>
    <w:rsid w:val="00F557FE"/>
    <w:rsid w:val="00F55B78"/>
    <w:rsid w:val="00F55EBA"/>
    <w:rsid w:val="00F5646A"/>
    <w:rsid w:val="00F570AD"/>
    <w:rsid w:val="00F602DF"/>
    <w:rsid w:val="00F608B8"/>
    <w:rsid w:val="00F60CCE"/>
    <w:rsid w:val="00F61B23"/>
    <w:rsid w:val="00F61FB3"/>
    <w:rsid w:val="00F627D7"/>
    <w:rsid w:val="00F62CB0"/>
    <w:rsid w:val="00F630C4"/>
    <w:rsid w:val="00F63291"/>
    <w:rsid w:val="00F63504"/>
    <w:rsid w:val="00F63A24"/>
    <w:rsid w:val="00F646DC"/>
    <w:rsid w:val="00F64AA3"/>
    <w:rsid w:val="00F65626"/>
    <w:rsid w:val="00F66617"/>
    <w:rsid w:val="00F673EB"/>
    <w:rsid w:val="00F70BEA"/>
    <w:rsid w:val="00F712FE"/>
    <w:rsid w:val="00F71AC5"/>
    <w:rsid w:val="00F71E2C"/>
    <w:rsid w:val="00F72AC2"/>
    <w:rsid w:val="00F730D6"/>
    <w:rsid w:val="00F730F8"/>
    <w:rsid w:val="00F73132"/>
    <w:rsid w:val="00F739F5"/>
    <w:rsid w:val="00F74C39"/>
    <w:rsid w:val="00F750D7"/>
    <w:rsid w:val="00F7573B"/>
    <w:rsid w:val="00F758B3"/>
    <w:rsid w:val="00F75C48"/>
    <w:rsid w:val="00F75D01"/>
    <w:rsid w:val="00F77275"/>
    <w:rsid w:val="00F77299"/>
    <w:rsid w:val="00F8064D"/>
    <w:rsid w:val="00F80A30"/>
    <w:rsid w:val="00F80B2E"/>
    <w:rsid w:val="00F80CBD"/>
    <w:rsid w:val="00F817FD"/>
    <w:rsid w:val="00F81E98"/>
    <w:rsid w:val="00F8257B"/>
    <w:rsid w:val="00F828E9"/>
    <w:rsid w:val="00F83ACD"/>
    <w:rsid w:val="00F84035"/>
    <w:rsid w:val="00F8426C"/>
    <w:rsid w:val="00F85A97"/>
    <w:rsid w:val="00F864E1"/>
    <w:rsid w:val="00F87761"/>
    <w:rsid w:val="00F87BF0"/>
    <w:rsid w:val="00F915F2"/>
    <w:rsid w:val="00F91CB9"/>
    <w:rsid w:val="00F91D7C"/>
    <w:rsid w:val="00F9238F"/>
    <w:rsid w:val="00F92CAC"/>
    <w:rsid w:val="00F938FB"/>
    <w:rsid w:val="00F941B4"/>
    <w:rsid w:val="00F95C2F"/>
    <w:rsid w:val="00F962EE"/>
    <w:rsid w:val="00F96A31"/>
    <w:rsid w:val="00F97450"/>
    <w:rsid w:val="00F97459"/>
    <w:rsid w:val="00F97B7E"/>
    <w:rsid w:val="00FA01FC"/>
    <w:rsid w:val="00FA0C04"/>
    <w:rsid w:val="00FA0ED9"/>
    <w:rsid w:val="00FA1FCD"/>
    <w:rsid w:val="00FA22DB"/>
    <w:rsid w:val="00FA2C8B"/>
    <w:rsid w:val="00FA410C"/>
    <w:rsid w:val="00FA530F"/>
    <w:rsid w:val="00FA60AB"/>
    <w:rsid w:val="00FA6FF6"/>
    <w:rsid w:val="00FB12FA"/>
    <w:rsid w:val="00FB1EFB"/>
    <w:rsid w:val="00FB2260"/>
    <w:rsid w:val="00FB232E"/>
    <w:rsid w:val="00FB281C"/>
    <w:rsid w:val="00FB30C5"/>
    <w:rsid w:val="00FB381C"/>
    <w:rsid w:val="00FB39A1"/>
    <w:rsid w:val="00FB52A4"/>
    <w:rsid w:val="00FB5312"/>
    <w:rsid w:val="00FB5978"/>
    <w:rsid w:val="00FB648D"/>
    <w:rsid w:val="00FB76D5"/>
    <w:rsid w:val="00FB7D95"/>
    <w:rsid w:val="00FC0777"/>
    <w:rsid w:val="00FC14B2"/>
    <w:rsid w:val="00FC25C0"/>
    <w:rsid w:val="00FC3466"/>
    <w:rsid w:val="00FC350C"/>
    <w:rsid w:val="00FC3675"/>
    <w:rsid w:val="00FC649C"/>
    <w:rsid w:val="00FC6DA6"/>
    <w:rsid w:val="00FC6E58"/>
    <w:rsid w:val="00FD1FBC"/>
    <w:rsid w:val="00FD1FF1"/>
    <w:rsid w:val="00FD286B"/>
    <w:rsid w:val="00FD318B"/>
    <w:rsid w:val="00FD3358"/>
    <w:rsid w:val="00FD3B6D"/>
    <w:rsid w:val="00FD56A7"/>
    <w:rsid w:val="00FD5EF4"/>
    <w:rsid w:val="00FD6008"/>
    <w:rsid w:val="00FD633F"/>
    <w:rsid w:val="00FD66CB"/>
    <w:rsid w:val="00FD69DB"/>
    <w:rsid w:val="00FD77CD"/>
    <w:rsid w:val="00FE0328"/>
    <w:rsid w:val="00FE05D0"/>
    <w:rsid w:val="00FE1090"/>
    <w:rsid w:val="00FE1A7A"/>
    <w:rsid w:val="00FE2B63"/>
    <w:rsid w:val="00FE3A27"/>
    <w:rsid w:val="00FE3B9B"/>
    <w:rsid w:val="00FE3BF9"/>
    <w:rsid w:val="00FE3D1D"/>
    <w:rsid w:val="00FE46A7"/>
    <w:rsid w:val="00FE6B35"/>
    <w:rsid w:val="00FE6D89"/>
    <w:rsid w:val="00FE6F0B"/>
    <w:rsid w:val="00FE7706"/>
    <w:rsid w:val="00FE7DB3"/>
    <w:rsid w:val="00FF00D9"/>
    <w:rsid w:val="00FF045A"/>
    <w:rsid w:val="00FF0731"/>
    <w:rsid w:val="00FF11E7"/>
    <w:rsid w:val="00FF1ADA"/>
    <w:rsid w:val="00FF38E8"/>
    <w:rsid w:val="00FF439D"/>
    <w:rsid w:val="00FF4EFA"/>
    <w:rsid w:val="00FF53A9"/>
    <w:rsid w:val="00FF5421"/>
    <w:rsid w:val="00FF674A"/>
    <w:rsid w:val="00FF6CD4"/>
    <w:rsid w:val="00FF73D5"/>
    <w:rsid w:val="00FF764E"/>
    <w:rsid w:val="00FF7D12"/>
    <w:rsid w:val="0358FF6F"/>
    <w:rsid w:val="03956783"/>
    <w:rsid w:val="06AE8A80"/>
    <w:rsid w:val="08F0893D"/>
    <w:rsid w:val="0A214300"/>
    <w:rsid w:val="0C668899"/>
    <w:rsid w:val="0E44D082"/>
    <w:rsid w:val="100D68CB"/>
    <w:rsid w:val="17A9CD02"/>
    <w:rsid w:val="17BCAEEC"/>
    <w:rsid w:val="19CAD1FD"/>
    <w:rsid w:val="1A25B27D"/>
    <w:rsid w:val="1B431BE0"/>
    <w:rsid w:val="1E0B05D9"/>
    <w:rsid w:val="22538BCD"/>
    <w:rsid w:val="2514B006"/>
    <w:rsid w:val="2B460144"/>
    <w:rsid w:val="2C47DC8B"/>
    <w:rsid w:val="2CDD3C8A"/>
    <w:rsid w:val="2DA8476E"/>
    <w:rsid w:val="31FB7F2E"/>
    <w:rsid w:val="322FED5E"/>
    <w:rsid w:val="34959BCC"/>
    <w:rsid w:val="3732EE21"/>
    <w:rsid w:val="3CBB7E0A"/>
    <w:rsid w:val="3DCED49B"/>
    <w:rsid w:val="400A10BE"/>
    <w:rsid w:val="4156A0C0"/>
    <w:rsid w:val="41854153"/>
    <w:rsid w:val="43DDF0F9"/>
    <w:rsid w:val="4B48B8B8"/>
    <w:rsid w:val="4B5CB232"/>
    <w:rsid w:val="4C9968C1"/>
    <w:rsid w:val="576AB269"/>
    <w:rsid w:val="57A763C3"/>
    <w:rsid w:val="5800E9E9"/>
    <w:rsid w:val="58A895D0"/>
    <w:rsid w:val="5A260255"/>
    <w:rsid w:val="5A371B08"/>
    <w:rsid w:val="5CCEB08E"/>
    <w:rsid w:val="602121AA"/>
    <w:rsid w:val="621B614C"/>
    <w:rsid w:val="636EE7C9"/>
    <w:rsid w:val="63CE4F7D"/>
    <w:rsid w:val="6A803CA6"/>
    <w:rsid w:val="6AC36277"/>
    <w:rsid w:val="6B1DB053"/>
    <w:rsid w:val="6BB997B6"/>
    <w:rsid w:val="6C13CFF5"/>
    <w:rsid w:val="6FF7F90B"/>
    <w:rsid w:val="70532CC3"/>
    <w:rsid w:val="709001BE"/>
    <w:rsid w:val="784A13F3"/>
    <w:rsid w:val="7BE2F776"/>
    <w:rsid w:val="7C61E49D"/>
    <w:rsid w:val="7E7DDD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DAEEE7CE-C58E-4BB7-88DF-8349E93C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aliases w:val="Recommendation,L,List Paragraph1,List Paragraph11,NFP GP Bulleted List,FooterText,numbered,Paragraphe de liste1,Bulletr List Paragraph,列出段落,列出段落1,List Paragraph2,List Paragraph21,Listeafsnit1,Parágrafo da Lista1,Párrafo de lista1,リスト段落1"/>
    <w:basedOn w:val="Normal"/>
    <w:link w:val="ListParagraphChar"/>
    <w:uiPriority w:val="34"/>
    <w:qFormat/>
    <w:rsid w:val="00E148F7"/>
    <w:pPr>
      <w:ind w:left="720"/>
      <w:contextualSpacing/>
    </w:pPr>
  </w:style>
  <w:style w:type="table" w:styleId="TableGrid">
    <w:name w:val="Table Grid"/>
    <w:basedOn w:val="TableNormal"/>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link w:val="NoSpacingChar"/>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ChartandTablelabel">
    <w:name w:val="Chart and Table label"/>
    <w:basedOn w:val="Normal"/>
    <w:qFormat/>
    <w:rsid w:val="008564DD"/>
    <w:pPr>
      <w:spacing w:after="160" w:line="259" w:lineRule="auto"/>
    </w:pPr>
    <w:rPr>
      <w:b/>
      <w:color w:val="000000" w:themeColor="text1"/>
      <w:sz w:val="20"/>
      <w:lang w:val="en-US"/>
    </w:rPr>
  </w:style>
  <w:style w:type="paragraph" w:customStyle="1" w:styleId="Bodycopy">
    <w:name w:val="Body copy"/>
    <w:basedOn w:val="Normal"/>
    <w:link w:val="BodycopyChar"/>
    <w:qFormat/>
    <w:rsid w:val="008564DD"/>
    <w:pPr>
      <w:spacing w:after="160" w:line="259" w:lineRule="auto"/>
    </w:pPr>
    <w:rPr>
      <w:color w:val="000000" w:themeColor="text1"/>
    </w:rPr>
  </w:style>
  <w:style w:type="paragraph" w:customStyle="1" w:styleId="Tableheader">
    <w:name w:val="Table header"/>
    <w:basedOn w:val="Normal"/>
    <w:qFormat/>
    <w:rsid w:val="008564DD"/>
    <w:pPr>
      <w:spacing w:before="120" w:after="120" w:line="240" w:lineRule="auto"/>
    </w:pPr>
    <w:rPr>
      <w:b/>
      <w:color w:val="FFFFFF" w:themeColor="background1"/>
      <w:lang w:val="en-US"/>
    </w:rPr>
  </w:style>
  <w:style w:type="table" w:styleId="GridTable4-Accent1">
    <w:name w:val="Grid Table 4 Accent 1"/>
    <w:basedOn w:val="TableNormal"/>
    <w:uiPriority w:val="49"/>
    <w:rsid w:val="008564DD"/>
    <w:pPr>
      <w:spacing w:after="0" w:line="240" w:lineRule="auto"/>
    </w:pPr>
    <w:tblPr>
      <w:tblStyleRowBandSize w:val="1"/>
      <w:tblStyleColBandSize w:val="1"/>
      <w:tblBorders>
        <w:top w:val="single" w:sz="4" w:space="0" w:color="A377E2" w:themeColor="accent1" w:themeTint="99"/>
        <w:left w:val="single" w:sz="4" w:space="0" w:color="A377E2" w:themeColor="accent1" w:themeTint="99"/>
        <w:bottom w:val="single" w:sz="4" w:space="0" w:color="A377E2" w:themeColor="accent1" w:themeTint="99"/>
        <w:right w:val="single" w:sz="4" w:space="0" w:color="A377E2" w:themeColor="accent1" w:themeTint="99"/>
        <w:insideH w:val="single" w:sz="4" w:space="0" w:color="A377E2" w:themeColor="accent1" w:themeTint="99"/>
        <w:insideV w:val="single" w:sz="4" w:space="0" w:color="A377E2" w:themeColor="accent1" w:themeTint="99"/>
      </w:tblBorders>
    </w:tblPr>
    <w:tblStylePr w:type="firstRow">
      <w:rPr>
        <w:b/>
        <w:bCs/>
        <w:color w:val="FFFFFF" w:themeColor="background1"/>
      </w:rPr>
      <w:tblPr/>
      <w:tcPr>
        <w:tcBorders>
          <w:top w:val="single" w:sz="4" w:space="0" w:color="6929C4" w:themeColor="accent1"/>
          <w:left w:val="single" w:sz="4" w:space="0" w:color="6929C4" w:themeColor="accent1"/>
          <w:bottom w:val="single" w:sz="4" w:space="0" w:color="6929C4" w:themeColor="accent1"/>
          <w:right w:val="single" w:sz="4" w:space="0" w:color="6929C4" w:themeColor="accent1"/>
          <w:insideH w:val="nil"/>
          <w:insideV w:val="nil"/>
        </w:tcBorders>
        <w:shd w:val="clear" w:color="auto" w:fill="6929C4" w:themeFill="accent1"/>
      </w:tcPr>
    </w:tblStylePr>
    <w:tblStylePr w:type="lastRow">
      <w:rPr>
        <w:b/>
        <w:bCs/>
      </w:rPr>
      <w:tblPr/>
      <w:tcPr>
        <w:tcBorders>
          <w:top w:val="double" w:sz="4" w:space="0" w:color="6929C4" w:themeColor="accent1"/>
        </w:tcBorders>
      </w:tcPr>
    </w:tblStylePr>
    <w:tblStylePr w:type="firstCol">
      <w:rPr>
        <w:b/>
        <w:bCs/>
      </w:rPr>
    </w:tblStylePr>
    <w:tblStylePr w:type="lastCol">
      <w:rPr>
        <w:b/>
        <w:bCs/>
      </w:rPr>
    </w:tblStylePr>
    <w:tblStylePr w:type="band1Vert">
      <w:tblPr/>
      <w:tcPr>
        <w:shd w:val="clear" w:color="auto" w:fill="E0D1F5" w:themeFill="accent1" w:themeFillTint="33"/>
      </w:tcPr>
    </w:tblStylePr>
    <w:tblStylePr w:type="band1Horz">
      <w:tblPr/>
      <w:tcPr>
        <w:shd w:val="clear" w:color="auto" w:fill="E0D1F5" w:themeFill="accent1" w:themeFillTint="33"/>
      </w:tcPr>
    </w:tblStylePr>
  </w:style>
  <w:style w:type="character" w:customStyle="1" w:styleId="BodycopyChar">
    <w:name w:val="Body copy Char"/>
    <w:basedOn w:val="DefaultParagraphFont"/>
    <w:link w:val="Bodycopy"/>
    <w:uiPriority w:val="1"/>
    <w:rsid w:val="008564DD"/>
    <w:rPr>
      <w:rFonts w:ascii="Arial" w:hAnsi="Arial"/>
      <w:color w:val="000000" w:themeColor="text1"/>
    </w:rPr>
  </w:style>
  <w:style w:type="paragraph" w:styleId="FootnoteText">
    <w:name w:val="footnote text"/>
    <w:basedOn w:val="Normal"/>
    <w:link w:val="FootnoteTextChar"/>
    <w:uiPriority w:val="99"/>
    <w:unhideWhenUsed/>
    <w:rsid w:val="008564DD"/>
    <w:pPr>
      <w:spacing w:after="0" w:line="240" w:lineRule="auto"/>
    </w:pPr>
    <w:rPr>
      <w:color w:val="000000"/>
      <w:sz w:val="20"/>
      <w:szCs w:val="20"/>
    </w:rPr>
  </w:style>
  <w:style w:type="character" w:customStyle="1" w:styleId="FootnoteTextChar">
    <w:name w:val="Footnote Text Char"/>
    <w:basedOn w:val="DefaultParagraphFont"/>
    <w:link w:val="FootnoteText"/>
    <w:uiPriority w:val="99"/>
    <w:rsid w:val="008564DD"/>
    <w:rPr>
      <w:rFonts w:ascii="Arial" w:hAnsi="Arial"/>
      <w:color w:val="000000"/>
      <w:sz w:val="20"/>
      <w:szCs w:val="20"/>
    </w:rPr>
  </w:style>
  <w:style w:type="character" w:styleId="FootnoteReference">
    <w:name w:val="footnote reference"/>
    <w:basedOn w:val="DefaultParagraphFont"/>
    <w:uiPriority w:val="99"/>
    <w:unhideWhenUsed/>
    <w:rsid w:val="008564DD"/>
    <w:rPr>
      <w:vertAlign w:val="superscript"/>
    </w:rPr>
  </w:style>
  <w:style w:type="character" w:styleId="FollowedHyperlink">
    <w:name w:val="FollowedHyperlink"/>
    <w:basedOn w:val="DefaultParagraphFont"/>
    <w:uiPriority w:val="99"/>
    <w:semiHidden/>
    <w:unhideWhenUsed/>
    <w:rsid w:val="008564DD"/>
    <w:rPr>
      <w:color w:val="4B0885" w:themeColor="followedHyperlink"/>
      <w:u w:val="single"/>
    </w:rPr>
  </w:style>
  <w:style w:type="character" w:customStyle="1" w:styleId="ListParagraphChar">
    <w:name w:val="List Paragraph Char"/>
    <w:aliases w:val="Recommendation Char,L Char,List Paragraph1 Char,List Paragraph11 Char,NFP GP Bulleted List Char,FooterText Char,numbered Char,Paragraphe de liste1 Char,Bulletr List Paragraph Char,列出段落 Char,列出段落1 Char,List Paragraph2 Char,リスト段落1 Char"/>
    <w:basedOn w:val="DefaultParagraphFont"/>
    <w:link w:val="ListParagraph"/>
    <w:uiPriority w:val="34"/>
    <w:locked/>
    <w:rsid w:val="008564DD"/>
    <w:rPr>
      <w:rFonts w:ascii="Arial" w:hAnsi="Arial"/>
    </w:rPr>
  </w:style>
  <w:style w:type="character" w:customStyle="1" w:styleId="ui-provider">
    <w:name w:val="ui-provider"/>
    <w:basedOn w:val="DefaultParagraphFont"/>
    <w:rsid w:val="008564DD"/>
  </w:style>
  <w:style w:type="character" w:customStyle="1" w:styleId="normaltextrun">
    <w:name w:val="normaltextrun"/>
    <w:basedOn w:val="DefaultParagraphFont"/>
    <w:rsid w:val="008564DD"/>
  </w:style>
  <w:style w:type="character" w:customStyle="1" w:styleId="findhit">
    <w:name w:val="findhit"/>
    <w:basedOn w:val="DefaultParagraphFont"/>
    <w:rsid w:val="008564DD"/>
  </w:style>
  <w:style w:type="paragraph" w:styleId="Revision">
    <w:name w:val="Revision"/>
    <w:hidden/>
    <w:uiPriority w:val="99"/>
    <w:semiHidden/>
    <w:rsid w:val="008564DD"/>
    <w:pPr>
      <w:spacing w:after="0" w:line="240" w:lineRule="auto"/>
    </w:pPr>
  </w:style>
  <w:style w:type="character" w:customStyle="1" w:styleId="NoSpacingChar">
    <w:name w:val="No Spacing Char"/>
    <w:basedOn w:val="DefaultParagraphFont"/>
    <w:link w:val="NoSpacing"/>
    <w:uiPriority w:val="1"/>
    <w:rsid w:val="008564DD"/>
    <w:rPr>
      <w:rFonts w:ascii="Arial" w:hAnsi="Arial"/>
    </w:rPr>
  </w:style>
  <w:style w:type="table" w:customStyle="1" w:styleId="TableGrid1">
    <w:name w:val="Table Grid1"/>
    <w:basedOn w:val="TableNormal"/>
    <w:next w:val="TableGrid"/>
    <w:rsid w:val="00782901"/>
    <w:pPr>
      <w:spacing w:after="0" w:line="240" w:lineRule="auto"/>
    </w:pPr>
    <w:rPr>
      <w:rFonts w:ascii="CG Times" w:eastAsia="Times New Roman" w:hAnsi="CG 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10CBD"/>
    <w:rPr>
      <w:i/>
      <w:iCs/>
      <w:color w:val="6929C4" w:themeColor="accent1"/>
    </w:rPr>
  </w:style>
  <w:style w:type="character" w:styleId="Mention">
    <w:name w:val="Mention"/>
    <w:basedOn w:val="DefaultParagraphFont"/>
    <w:uiPriority w:val="99"/>
    <w:unhideWhenUsed/>
    <w:rsid w:val="003D1CCF"/>
    <w:rPr>
      <w:color w:val="2B579A"/>
      <w:shd w:val="clear" w:color="auto" w:fill="E1DFDD"/>
    </w:rPr>
  </w:style>
  <w:style w:type="table" w:styleId="GridTable3">
    <w:name w:val="Grid Table 3"/>
    <w:basedOn w:val="TableNormal"/>
    <w:uiPriority w:val="48"/>
    <w:rsid w:val="006A79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385002">
      <w:bodyDiv w:val="1"/>
      <w:marLeft w:val="0"/>
      <w:marRight w:val="0"/>
      <w:marTop w:val="0"/>
      <w:marBottom w:val="0"/>
      <w:divBdr>
        <w:top w:val="none" w:sz="0" w:space="0" w:color="auto"/>
        <w:left w:val="none" w:sz="0" w:space="0" w:color="auto"/>
        <w:bottom w:val="none" w:sz="0" w:space="0" w:color="auto"/>
        <w:right w:val="none" w:sz="0" w:space="0" w:color="auto"/>
      </w:divBdr>
    </w:div>
    <w:div w:id="1363630459">
      <w:bodyDiv w:val="1"/>
      <w:marLeft w:val="0"/>
      <w:marRight w:val="0"/>
      <w:marTop w:val="0"/>
      <w:marBottom w:val="0"/>
      <w:divBdr>
        <w:top w:val="none" w:sz="0" w:space="0" w:color="auto"/>
        <w:left w:val="none" w:sz="0" w:space="0" w:color="auto"/>
        <w:bottom w:val="none" w:sz="0" w:space="0" w:color="auto"/>
        <w:right w:val="none" w:sz="0" w:space="0" w:color="auto"/>
      </w:divBdr>
    </w:div>
    <w:div w:id="1592272039">
      <w:bodyDiv w:val="1"/>
      <w:marLeft w:val="0"/>
      <w:marRight w:val="0"/>
      <w:marTop w:val="0"/>
      <w:marBottom w:val="0"/>
      <w:divBdr>
        <w:top w:val="none" w:sz="0" w:space="0" w:color="auto"/>
        <w:left w:val="none" w:sz="0" w:space="0" w:color="auto"/>
        <w:bottom w:val="none" w:sz="0" w:space="0" w:color="auto"/>
        <w:right w:val="none" w:sz="0" w:space="0" w:color="auto"/>
      </w:divBdr>
    </w:div>
    <w:div w:id="1595934863">
      <w:bodyDiv w:val="1"/>
      <w:marLeft w:val="0"/>
      <w:marRight w:val="0"/>
      <w:marTop w:val="0"/>
      <w:marBottom w:val="0"/>
      <w:divBdr>
        <w:top w:val="none" w:sz="0" w:space="0" w:color="auto"/>
        <w:left w:val="none" w:sz="0" w:space="0" w:color="auto"/>
        <w:bottom w:val="none" w:sz="0" w:space="0" w:color="auto"/>
        <w:right w:val="none" w:sz="0" w:space="0" w:color="auto"/>
      </w:divBdr>
    </w:div>
    <w:div w:id="2113089560">
      <w:bodyDiv w:val="1"/>
      <w:marLeft w:val="0"/>
      <w:marRight w:val="0"/>
      <w:marTop w:val="0"/>
      <w:marBottom w:val="0"/>
      <w:divBdr>
        <w:top w:val="none" w:sz="0" w:space="0" w:color="auto"/>
        <w:left w:val="none" w:sz="0" w:space="0" w:color="auto"/>
        <w:bottom w:val="none" w:sz="0" w:space="0" w:color="auto"/>
        <w:right w:val="none" w:sz="0" w:space="0" w:color="auto"/>
      </w:divBdr>
    </w:div>
    <w:div w:id="212468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hart" Target="charts/chart4.xml"/><Relationship Id="rId39" Type="http://schemas.openxmlformats.org/officeDocument/2006/relationships/hyperlink" Target="https://www.jobsandskills.gov.au/data/nero" TargetMode="External"/><Relationship Id="rId21" Type="http://schemas.openxmlformats.org/officeDocument/2006/relationships/header" Target="header6.xml"/><Relationship Id="rId34" Type="http://schemas.openxmlformats.org/officeDocument/2006/relationships/hyperlink" Target="https://www.jobsandskills.gov.au/data/internet-vacancy-index" TargetMode="External"/><Relationship Id="rId42" Type="http://schemas.openxmlformats.org/officeDocument/2006/relationships/header" Target="header8.xm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hyperlink" Target="https://www.jobsandskills.gov.au/data/jobs-and-skills-atlas" TargetMode="External"/><Relationship Id="rId40" Type="http://schemas.openxmlformats.org/officeDocument/2006/relationships/hyperlink" Target="https://www.jobsandskills.gov.au/publications/international-labour-market-update-august-2024"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hyperlink" Target="https://www.jobsandskills.gov.au/data/skills-shortages-analysi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chart" Target="charts/chart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hyperlink" Target="https://www.jobsandskills.gov.au/data/recruitment-experiences-and-outlook-survey" TargetMode="External"/><Relationship Id="rId43"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chart" Target="charts/chart3.xml"/><Relationship Id="rId33" Type="http://schemas.openxmlformats.org/officeDocument/2006/relationships/hyperlink" Target="https://www.jobsandskills.gov.au/" TargetMode="External"/><Relationship Id="rId38" Type="http://schemas.openxmlformats.org/officeDocument/2006/relationships/hyperlink" Target="https://www.jobsandskills.gov.au/data/employment-region-dashboards-and-profiles" TargetMode="External"/><Relationship Id="rId46" Type="http://schemas.microsoft.com/office/2019/05/relationships/documenttasks" Target="documenttasks/documenttasks1.xml"/><Relationship Id="rId20" Type="http://schemas.openxmlformats.org/officeDocument/2006/relationships/header" Target="header5.xml"/><Relationship Id="rId41"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www.jobsandskills.gov.au/data/skills-shortages-analysis/skills-priority-list" TargetMode="External"/><Relationship Id="rId2" Type="http://schemas.openxmlformats.org/officeDocument/2006/relationships/hyperlink" Target="https://www.vetsuppliersdirectory.com.au/blog-kookaburra-veterinary-employment/page/13/" TargetMode="External"/><Relationship Id="rId1" Type="http://schemas.openxmlformats.org/officeDocument/2006/relationships/hyperlink" Target="https://www.kookaburravets.com/Australia/IndexOz.htm" TargetMode="External"/><Relationship Id="rId5" Type="http://schemas.openxmlformats.org/officeDocument/2006/relationships/hyperlink" Target="https://www.jobsandskills.gov.au/data/labour-force-trending" TargetMode="External"/><Relationship Id="rId4" Type="http://schemas.openxmlformats.org/officeDocument/2006/relationships/hyperlink" Target="https://data.gov.au/data/dataset/visa-temporary-work-skilled/resource/13e0c12d-f17a-40f6-ba9f-fedcdfaf5b8c"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CCESS.application.enet\SPECIAL$\NSC%20-%20LMAAS\General%20work\Quarterly%20Labour%20Market%20Update\September%20quarter%202024\Chart%20and%20table%20data%20-%20LMAAS.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ACCESS.application.enet\SPECIAL$\NSC%20-%20OIAS\OSAS\14%20Vacancy%20Report\02%20Unreleased%20working%20files\Spotlight%20analysis\veterinarians\working%20book.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CCESS.application.enet\SPECIAL$\NSC%20-%20LMAAS\General%20work\Quarterly%20Labour%20Market%20Update\September%20quarter%202024\Chart%20and%20table%20data%20-%20LMAA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WF%20Branch\05%20Occupational%20and%20Industry%20Analysis\10%20Data%20Requests%20and%20Analysis\01%20Ad%20hoc%20requests\2024-035\FOR%20INPUT%20-%20Labour%20Market%20Update%20-%20Charts%20&amp;%20Figures%20-%20Sept%202024_OI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3.%20September%20Quarter\2.%202024%20Edition\FOR%20INPUT%20-%20Labour%20Market%20Update%20-%20Charts%20&amp;%20Figures%20-%20Sept%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3.%20September%20Quarter\2.%202024%20Edition\FOR%20INPUT%20-%20Labour%20Market%20Update%20-%20Charts%20&amp;%20Figures%20-%20Sept%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MP.application.enet\50038325\LMAA%20Branch\Workforce%20Analysis\01.%20Skill%20Shortage%20Research\2024-25\06.%20Projects\Occupation%20Shortage%20Report\September%202024\Excel%20Workbook\OSR%20-%20Workbook%20v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3.%20September%20Quarter\2.%202024%20Edition\FOR%20INPUT%20-%20Labour%20Market%20Update%20-%20Charts%20&amp;%20Figures%20-%20Sept%2020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MP.application.enet\50038325\LMM%20Branch\Cross-team%20tasks\Quarterly%20Labour%20Market%20Update\3.%20September%20Quarter\2.%202024%20Edition\All%20Teams%20input\REOS\Copy%20of%20Recruitment%20Insights%20Report%20-%20September%202024%20data%20fil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1" Type="http://schemas.openxmlformats.org/officeDocument/2006/relationships/oleObject" Target="file:///\\EMP.application.enet\50038325\LMM%20Branch\Cross-team%20tasks\Quarterly%20Labour%20Market%20Update\3.%20September%20Quarter\2.%202024%20Edition\All%20Teams%20input\REOS\Copy%20of%20Recruitment%20Insights%20Report%20-%20September%202024%20data%20fi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'Figure 1'!$B$4</c:f>
              <c:strCache>
                <c:ptCount val="1"/>
                <c:pt idx="0">
                  <c:v>Annual change in the working age (15-64 years) population (%)</c:v>
                </c:pt>
              </c:strCache>
            </c:strRef>
          </c:tx>
          <c:spPr>
            <a:ln w="22225" cap="rnd">
              <a:solidFill>
                <a:schemeClr val="accent1"/>
              </a:solidFill>
              <a:round/>
            </a:ln>
            <a:effectLst/>
          </c:spPr>
          <c:marker>
            <c:symbol val="none"/>
          </c:marker>
          <c:cat>
            <c:numRef>
              <c:f>'Figure 1'!$A$5:$A$125</c:f>
              <c:numCache>
                <c:formatCode>mmm\-yy</c:formatCode>
                <c:ptCount val="121"/>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pt idx="43">
                  <c:v>43191</c:v>
                </c:pt>
                <c:pt idx="44">
                  <c:v>43221</c:v>
                </c:pt>
                <c:pt idx="45">
                  <c:v>43252</c:v>
                </c:pt>
                <c:pt idx="46">
                  <c:v>43282</c:v>
                </c:pt>
                <c:pt idx="47">
                  <c:v>43313</c:v>
                </c:pt>
                <c:pt idx="48">
                  <c:v>43344</c:v>
                </c:pt>
                <c:pt idx="49">
                  <c:v>43374</c:v>
                </c:pt>
                <c:pt idx="50">
                  <c:v>43405</c:v>
                </c:pt>
                <c:pt idx="51">
                  <c:v>43435</c:v>
                </c:pt>
                <c:pt idx="52">
                  <c:v>43466</c:v>
                </c:pt>
                <c:pt idx="53">
                  <c:v>43497</c:v>
                </c:pt>
                <c:pt idx="54">
                  <c:v>43525</c:v>
                </c:pt>
                <c:pt idx="55">
                  <c:v>43556</c:v>
                </c:pt>
                <c:pt idx="56">
                  <c:v>43586</c:v>
                </c:pt>
                <c:pt idx="57">
                  <c:v>43617</c:v>
                </c:pt>
                <c:pt idx="58">
                  <c:v>43647</c:v>
                </c:pt>
                <c:pt idx="59">
                  <c:v>43678</c:v>
                </c:pt>
                <c:pt idx="60">
                  <c:v>43709</c:v>
                </c:pt>
                <c:pt idx="61">
                  <c:v>43739</c:v>
                </c:pt>
                <c:pt idx="62">
                  <c:v>43770</c:v>
                </c:pt>
                <c:pt idx="63">
                  <c:v>43800</c:v>
                </c:pt>
                <c:pt idx="64">
                  <c:v>43831</c:v>
                </c:pt>
                <c:pt idx="65">
                  <c:v>43862</c:v>
                </c:pt>
                <c:pt idx="66">
                  <c:v>43891</c:v>
                </c:pt>
                <c:pt idx="67">
                  <c:v>43922</c:v>
                </c:pt>
                <c:pt idx="68">
                  <c:v>43952</c:v>
                </c:pt>
                <c:pt idx="69">
                  <c:v>43983</c:v>
                </c:pt>
                <c:pt idx="70">
                  <c:v>44013</c:v>
                </c:pt>
                <c:pt idx="71">
                  <c:v>44044</c:v>
                </c:pt>
                <c:pt idx="72">
                  <c:v>44075</c:v>
                </c:pt>
                <c:pt idx="73">
                  <c:v>44105</c:v>
                </c:pt>
                <c:pt idx="74">
                  <c:v>44136</c:v>
                </c:pt>
                <c:pt idx="75">
                  <c:v>44166</c:v>
                </c:pt>
                <c:pt idx="76">
                  <c:v>44197</c:v>
                </c:pt>
                <c:pt idx="77">
                  <c:v>44228</c:v>
                </c:pt>
                <c:pt idx="78">
                  <c:v>44256</c:v>
                </c:pt>
                <c:pt idx="79">
                  <c:v>44287</c:v>
                </c:pt>
                <c:pt idx="80">
                  <c:v>44317</c:v>
                </c:pt>
                <c:pt idx="81">
                  <c:v>44348</c:v>
                </c:pt>
                <c:pt idx="82">
                  <c:v>44378</c:v>
                </c:pt>
                <c:pt idx="83">
                  <c:v>44409</c:v>
                </c:pt>
                <c:pt idx="84">
                  <c:v>44440</c:v>
                </c:pt>
                <c:pt idx="85">
                  <c:v>44470</c:v>
                </c:pt>
                <c:pt idx="86">
                  <c:v>44501</c:v>
                </c:pt>
                <c:pt idx="87">
                  <c:v>44531</c:v>
                </c:pt>
                <c:pt idx="88">
                  <c:v>44562</c:v>
                </c:pt>
                <c:pt idx="89">
                  <c:v>44593</c:v>
                </c:pt>
                <c:pt idx="90">
                  <c:v>44621</c:v>
                </c:pt>
                <c:pt idx="91">
                  <c:v>44652</c:v>
                </c:pt>
                <c:pt idx="92">
                  <c:v>44682</c:v>
                </c:pt>
                <c:pt idx="93">
                  <c:v>44713</c:v>
                </c:pt>
                <c:pt idx="94">
                  <c:v>44743</c:v>
                </c:pt>
                <c:pt idx="95">
                  <c:v>44774</c:v>
                </c:pt>
                <c:pt idx="96">
                  <c:v>44805</c:v>
                </c:pt>
                <c:pt idx="97">
                  <c:v>44835</c:v>
                </c:pt>
                <c:pt idx="98">
                  <c:v>44866</c:v>
                </c:pt>
                <c:pt idx="99">
                  <c:v>44896</c:v>
                </c:pt>
                <c:pt idx="100">
                  <c:v>44927</c:v>
                </c:pt>
                <c:pt idx="101">
                  <c:v>44958</c:v>
                </c:pt>
                <c:pt idx="102">
                  <c:v>44986</c:v>
                </c:pt>
                <c:pt idx="103">
                  <c:v>45017</c:v>
                </c:pt>
                <c:pt idx="104">
                  <c:v>45047</c:v>
                </c:pt>
                <c:pt idx="105">
                  <c:v>45078</c:v>
                </c:pt>
                <c:pt idx="106">
                  <c:v>45108</c:v>
                </c:pt>
                <c:pt idx="107">
                  <c:v>45139</c:v>
                </c:pt>
                <c:pt idx="108">
                  <c:v>45170</c:v>
                </c:pt>
                <c:pt idx="109">
                  <c:v>45200</c:v>
                </c:pt>
                <c:pt idx="110">
                  <c:v>45231</c:v>
                </c:pt>
                <c:pt idx="111">
                  <c:v>45261</c:v>
                </c:pt>
                <c:pt idx="112">
                  <c:v>45292</c:v>
                </c:pt>
                <c:pt idx="113">
                  <c:v>45323</c:v>
                </c:pt>
                <c:pt idx="114">
                  <c:v>45352</c:v>
                </c:pt>
                <c:pt idx="115">
                  <c:v>45383</c:v>
                </c:pt>
                <c:pt idx="116">
                  <c:v>45413</c:v>
                </c:pt>
                <c:pt idx="117">
                  <c:v>45444</c:v>
                </c:pt>
                <c:pt idx="118">
                  <c:v>45474</c:v>
                </c:pt>
                <c:pt idx="119">
                  <c:v>45505</c:v>
                </c:pt>
                <c:pt idx="120">
                  <c:v>45536</c:v>
                </c:pt>
              </c:numCache>
            </c:numRef>
          </c:cat>
          <c:val>
            <c:numRef>
              <c:f>'Figure 1'!$B$5:$B$245</c:f>
              <c:numCache>
                <c:formatCode>0.0%</c:formatCode>
                <c:ptCount val="241"/>
                <c:pt idx="0">
                  <c:v>1.0906836425030108E-2</c:v>
                </c:pt>
                <c:pt idx="1">
                  <c:v>1.1006722742369994E-2</c:v>
                </c:pt>
                <c:pt idx="2">
                  <c:v>1.1106421885640665E-2</c:v>
                </c:pt>
                <c:pt idx="3">
                  <c:v>1.1206069458264568E-2</c:v>
                </c:pt>
                <c:pt idx="4">
                  <c:v>1.1042680279761108E-2</c:v>
                </c:pt>
                <c:pt idx="5">
                  <c:v>1.0879624651044256E-2</c:v>
                </c:pt>
                <c:pt idx="6">
                  <c:v>1.0717153495343657E-2</c:v>
                </c:pt>
                <c:pt idx="7">
                  <c:v>1.074952984423188E-2</c:v>
                </c:pt>
                <c:pt idx="8">
                  <c:v>1.0781672200783365E-2</c:v>
                </c:pt>
                <c:pt idx="9">
                  <c:v>1.0813902879456589E-2</c:v>
                </c:pt>
                <c:pt idx="10">
                  <c:v>1.07959068818384E-2</c:v>
                </c:pt>
                <c:pt idx="11">
                  <c:v>1.0777689136237122E-2</c:v>
                </c:pt>
                <c:pt idx="12">
                  <c:v>1.0759699593120658E-2</c:v>
                </c:pt>
                <c:pt idx="13">
                  <c:v>1.0773171882958441E-2</c:v>
                </c:pt>
                <c:pt idx="14">
                  <c:v>1.0786366940814689E-2</c:v>
                </c:pt>
                <c:pt idx="15">
                  <c:v>1.0799801901256076E-2</c:v>
                </c:pt>
                <c:pt idx="16">
                  <c:v>1.0946828365668387E-2</c:v>
                </c:pt>
                <c:pt idx="17">
                  <c:v>1.1093556447373429E-2</c:v>
                </c:pt>
                <c:pt idx="18">
                  <c:v>1.1239851197155551E-2</c:v>
                </c:pt>
                <c:pt idx="19">
                  <c:v>1.1362122546753622E-2</c:v>
                </c:pt>
                <c:pt idx="20">
                  <c:v>1.1484361846139463E-2</c:v>
                </c:pt>
                <c:pt idx="21">
                  <c:v>1.1606374475299809E-2</c:v>
                </c:pt>
                <c:pt idx="22">
                  <c:v>1.1961936193675344E-2</c:v>
                </c:pt>
                <c:pt idx="23">
                  <c:v>1.2292980700673991E-2</c:v>
                </c:pt>
                <c:pt idx="24">
                  <c:v>1.2622752096103036E-2</c:v>
                </c:pt>
                <c:pt idx="25">
                  <c:v>1.2801616548743979E-2</c:v>
                </c:pt>
                <c:pt idx="26">
                  <c:v>1.2980800319343943E-2</c:v>
                </c:pt>
                <c:pt idx="27">
                  <c:v>1.3159156885036669E-2</c:v>
                </c:pt>
                <c:pt idx="28">
                  <c:v>1.3402607326625961E-2</c:v>
                </c:pt>
                <c:pt idx="29">
                  <c:v>1.3645068675261727E-2</c:v>
                </c:pt>
                <c:pt idx="30">
                  <c:v>1.3887167500174904E-2</c:v>
                </c:pt>
                <c:pt idx="31">
                  <c:v>1.3936391065889467E-2</c:v>
                </c:pt>
                <c:pt idx="32">
                  <c:v>1.3985475540255204E-2</c:v>
                </c:pt>
                <c:pt idx="33">
                  <c:v>1.40344824403712E-2</c:v>
                </c:pt>
                <c:pt idx="34">
                  <c:v>1.393752079509112E-2</c:v>
                </c:pt>
                <c:pt idx="35">
                  <c:v>1.3865443455474285E-2</c:v>
                </c:pt>
                <c:pt idx="36">
                  <c:v>1.379349474957072E-2</c:v>
                </c:pt>
                <c:pt idx="37">
                  <c:v>1.348057780850332E-2</c:v>
                </c:pt>
                <c:pt idx="38">
                  <c:v>1.3167330649168063E-2</c:v>
                </c:pt>
                <c:pt idx="39">
                  <c:v>1.2855522469890598E-2</c:v>
                </c:pt>
                <c:pt idx="40">
                  <c:v>1.2753540044094853E-2</c:v>
                </c:pt>
                <c:pt idx="41">
                  <c:v>1.2652147451947614E-2</c:v>
                </c:pt>
                <c:pt idx="42">
                  <c:v>1.2550828141116771E-2</c:v>
                </c:pt>
                <c:pt idx="43">
                  <c:v>1.2533806478310346E-2</c:v>
                </c:pt>
                <c:pt idx="44">
                  <c:v>1.2516690354282189E-2</c:v>
                </c:pt>
                <c:pt idx="45">
                  <c:v>1.2499788120343139E-2</c:v>
                </c:pt>
                <c:pt idx="46">
                  <c:v>1.2570569295043193E-2</c:v>
                </c:pt>
                <c:pt idx="47">
                  <c:v>1.264055270159436E-2</c:v>
                </c:pt>
                <c:pt idx="48">
                  <c:v>1.2710990843889988E-2</c:v>
                </c:pt>
                <c:pt idx="49">
                  <c:v>1.2867032137071676E-2</c:v>
                </c:pt>
                <c:pt idx="50">
                  <c:v>1.3023145076457871E-2</c:v>
                </c:pt>
                <c:pt idx="51">
                  <c:v>1.317882562569884E-2</c:v>
                </c:pt>
                <c:pt idx="52">
                  <c:v>1.3127121245879119E-2</c:v>
                </c:pt>
                <c:pt idx="53">
                  <c:v>1.3076072333977539E-2</c:v>
                </c:pt>
                <c:pt idx="54">
                  <c:v>1.3024682879650839E-2</c:v>
                </c:pt>
                <c:pt idx="55">
                  <c:v>1.2788860857144068E-2</c:v>
                </c:pt>
                <c:pt idx="56">
                  <c:v>1.255385521653026E-2</c:v>
                </c:pt>
                <c:pt idx="57">
                  <c:v>1.2318799251474681E-2</c:v>
                </c:pt>
                <c:pt idx="58">
                  <c:v>1.2202565354094698E-2</c:v>
                </c:pt>
                <c:pt idx="59">
                  <c:v>1.2086448507063415E-2</c:v>
                </c:pt>
                <c:pt idx="60">
                  <c:v>1.1970811748010787E-2</c:v>
                </c:pt>
                <c:pt idx="61">
                  <c:v>1.1820621716439626E-2</c:v>
                </c:pt>
                <c:pt idx="62">
                  <c:v>1.1670043032742666E-2</c:v>
                </c:pt>
                <c:pt idx="63">
                  <c:v>1.1520292741082313E-2</c:v>
                </c:pt>
                <c:pt idx="64">
                  <c:v>1.1155791530981318E-2</c:v>
                </c:pt>
                <c:pt idx="65">
                  <c:v>1.0792246070679169E-2</c:v>
                </c:pt>
                <c:pt idx="66">
                  <c:v>1.042989737912571E-2</c:v>
                </c:pt>
                <c:pt idx="67">
                  <c:v>9.6304558342006456E-3</c:v>
                </c:pt>
                <c:pt idx="68">
                  <c:v>8.8319419500200742E-3</c:v>
                </c:pt>
                <c:pt idx="69">
                  <c:v>8.0343574952868434E-3</c:v>
                </c:pt>
                <c:pt idx="70">
                  <c:v>6.0334462716093032E-3</c:v>
                </c:pt>
                <c:pt idx="71">
                  <c:v>4.0374669658757006E-3</c:v>
                </c:pt>
                <c:pt idx="72">
                  <c:v>2.0459163428937443E-3</c:v>
                </c:pt>
                <c:pt idx="73">
                  <c:v>8.7891159860513965E-4</c:v>
                </c:pt>
                <c:pt idx="74">
                  <c:v>-2.8588668845364008E-4</c:v>
                </c:pt>
                <c:pt idx="75">
                  <c:v>-1.4501697840748062E-3</c:v>
                </c:pt>
                <c:pt idx="76">
                  <c:v>-2.8321461375492825E-3</c:v>
                </c:pt>
                <c:pt idx="77">
                  <c:v>-4.2110255273023721E-3</c:v>
                </c:pt>
                <c:pt idx="78">
                  <c:v>-5.586818285951152E-3</c:v>
                </c:pt>
                <c:pt idx="79">
                  <c:v>-5.3760870111303387E-3</c:v>
                </c:pt>
                <c:pt idx="80">
                  <c:v>-5.1659873405414738E-3</c:v>
                </c:pt>
                <c:pt idx="81">
                  <c:v>-4.9550793335744322E-3</c:v>
                </c:pt>
                <c:pt idx="82">
                  <c:v>-4.3152792349029035E-3</c:v>
                </c:pt>
                <c:pt idx="83">
                  <c:v>-3.6745573234727527E-3</c:v>
                </c:pt>
                <c:pt idx="84">
                  <c:v>-3.0326718444763931E-3</c:v>
                </c:pt>
                <c:pt idx="85">
                  <c:v>-1.8042545181849864E-3</c:v>
                </c:pt>
                <c:pt idx="86">
                  <c:v>-5.7446870154297396E-4</c:v>
                </c:pt>
                <c:pt idx="87">
                  <c:v>6.5686683975518312E-4</c:v>
                </c:pt>
                <c:pt idx="88">
                  <c:v>2.9406824665609036E-3</c:v>
                </c:pt>
                <c:pt idx="89">
                  <c:v>5.2252765429867797E-3</c:v>
                </c:pt>
                <c:pt idx="90">
                  <c:v>7.5114939439810402E-3</c:v>
                </c:pt>
                <c:pt idx="91">
                  <c:v>8.9558977575943631E-3</c:v>
                </c:pt>
                <c:pt idx="92">
                  <c:v>1.0400421984962719E-2</c:v>
                </c:pt>
                <c:pt idx="93">
                  <c:v>1.1844814408507808E-2</c:v>
                </c:pt>
                <c:pt idx="94">
                  <c:v>1.4363014547552087E-2</c:v>
                </c:pt>
                <c:pt idx="95">
                  <c:v>1.6882498282828645E-2</c:v>
                </c:pt>
                <c:pt idx="96">
                  <c:v>1.9402416640121649E-2</c:v>
                </c:pt>
                <c:pt idx="97">
                  <c:v>2.1021431262390308E-2</c:v>
                </c:pt>
                <c:pt idx="98">
                  <c:v>2.2637978266532622E-2</c:v>
                </c:pt>
                <c:pt idx="99">
                  <c:v>2.4252728811243351E-2</c:v>
                </c:pt>
                <c:pt idx="100">
                  <c:v>2.5303455789019661E-2</c:v>
                </c:pt>
                <c:pt idx="101">
                  <c:v>2.6350446953263863E-2</c:v>
                </c:pt>
                <c:pt idx="102">
                  <c:v>2.739274521058142E-2</c:v>
                </c:pt>
                <c:pt idx="103">
                  <c:v>2.8156326316917956E-2</c:v>
                </c:pt>
                <c:pt idx="104">
                  <c:v>2.8918450320843943E-2</c:v>
                </c:pt>
                <c:pt idx="105">
                  <c:v>2.9677667377419115E-2</c:v>
                </c:pt>
                <c:pt idx="106">
                  <c:v>2.9998445330792427E-2</c:v>
                </c:pt>
                <c:pt idx="107">
                  <c:v>3.0317854649651976E-2</c:v>
                </c:pt>
                <c:pt idx="108">
                  <c:v>3.0635682065563934E-2</c:v>
                </c:pt>
                <c:pt idx="109">
                  <c:v>3.0144627690529169E-2</c:v>
                </c:pt>
                <c:pt idx="110">
                  <c:v>2.9656185120961125E-2</c:v>
                </c:pt>
                <c:pt idx="111">
                  <c:v>2.9169495021519453E-2</c:v>
                </c:pt>
                <c:pt idx="112">
                  <c:v>2.839744709407506E-2</c:v>
                </c:pt>
                <c:pt idx="113">
                  <c:v>2.7629605947500916E-2</c:v>
                </c:pt>
                <c:pt idx="114">
                  <c:v>2.6866870191651345E-2</c:v>
                </c:pt>
                <c:pt idx="115">
                  <c:v>2.6400179750008343E-2</c:v>
                </c:pt>
                <c:pt idx="116">
                  <c:v>2.5934985060547356E-2</c:v>
                </c:pt>
                <c:pt idx="117">
                  <c:v>2.5472334792356725E-2</c:v>
                </c:pt>
                <c:pt idx="118">
                  <c:v>2.5076292974933266E-2</c:v>
                </c:pt>
                <c:pt idx="119">
                  <c:v>2.4681911469330704E-2</c:v>
                </c:pt>
                <c:pt idx="120">
                  <c:v>2.4289999501874191E-2</c:v>
                </c:pt>
              </c:numCache>
            </c:numRef>
          </c:val>
          <c:smooth val="0"/>
          <c:extLst>
            <c:ext xmlns:c16="http://schemas.microsoft.com/office/drawing/2014/chart" uri="{C3380CC4-5D6E-409C-BE32-E72D297353CC}">
              <c16:uniqueId val="{00000000-1B85-44A9-8448-83DCDC188569}"/>
            </c:ext>
          </c:extLst>
        </c:ser>
        <c:ser>
          <c:idx val="1"/>
          <c:order val="1"/>
          <c:tx>
            <c:strRef>
              <c:f>'Figure 1'!$C$4</c:f>
              <c:strCache>
                <c:ptCount val="1"/>
                <c:pt idx="0">
                  <c:v>Annual change in employment (%)</c:v>
                </c:pt>
              </c:strCache>
            </c:strRef>
          </c:tx>
          <c:spPr>
            <a:ln w="22225" cap="rnd">
              <a:solidFill>
                <a:schemeClr val="accent2"/>
              </a:solidFill>
              <a:round/>
            </a:ln>
            <a:effectLst/>
          </c:spPr>
          <c:marker>
            <c:symbol val="none"/>
          </c:marker>
          <c:cat>
            <c:numRef>
              <c:f>'Figure 1'!$A$5:$A$125</c:f>
              <c:numCache>
                <c:formatCode>mmm\-yy</c:formatCode>
                <c:ptCount val="121"/>
                <c:pt idx="0">
                  <c:v>41883</c:v>
                </c:pt>
                <c:pt idx="1">
                  <c:v>41913</c:v>
                </c:pt>
                <c:pt idx="2">
                  <c:v>41944</c:v>
                </c:pt>
                <c:pt idx="3">
                  <c:v>41974</c:v>
                </c:pt>
                <c:pt idx="4">
                  <c:v>42005</c:v>
                </c:pt>
                <c:pt idx="5">
                  <c:v>42036</c:v>
                </c:pt>
                <c:pt idx="6">
                  <c:v>42064</c:v>
                </c:pt>
                <c:pt idx="7">
                  <c:v>42095</c:v>
                </c:pt>
                <c:pt idx="8">
                  <c:v>42125</c:v>
                </c:pt>
                <c:pt idx="9">
                  <c:v>42156</c:v>
                </c:pt>
                <c:pt idx="10">
                  <c:v>42186</c:v>
                </c:pt>
                <c:pt idx="11">
                  <c:v>42217</c:v>
                </c:pt>
                <c:pt idx="12">
                  <c:v>42248</c:v>
                </c:pt>
                <c:pt idx="13">
                  <c:v>42278</c:v>
                </c:pt>
                <c:pt idx="14">
                  <c:v>42309</c:v>
                </c:pt>
                <c:pt idx="15">
                  <c:v>42339</c:v>
                </c:pt>
                <c:pt idx="16">
                  <c:v>42370</c:v>
                </c:pt>
                <c:pt idx="17">
                  <c:v>42401</c:v>
                </c:pt>
                <c:pt idx="18">
                  <c:v>42430</c:v>
                </c:pt>
                <c:pt idx="19">
                  <c:v>42461</c:v>
                </c:pt>
                <c:pt idx="20">
                  <c:v>42491</c:v>
                </c:pt>
                <c:pt idx="21">
                  <c:v>42522</c:v>
                </c:pt>
                <c:pt idx="22">
                  <c:v>42552</c:v>
                </c:pt>
                <c:pt idx="23">
                  <c:v>42583</c:v>
                </c:pt>
                <c:pt idx="24">
                  <c:v>42614</c:v>
                </c:pt>
                <c:pt idx="25">
                  <c:v>42644</c:v>
                </c:pt>
                <c:pt idx="26">
                  <c:v>42675</c:v>
                </c:pt>
                <c:pt idx="27">
                  <c:v>42705</c:v>
                </c:pt>
                <c:pt idx="28">
                  <c:v>42736</c:v>
                </c:pt>
                <c:pt idx="29">
                  <c:v>42767</c:v>
                </c:pt>
                <c:pt idx="30">
                  <c:v>42795</c:v>
                </c:pt>
                <c:pt idx="31">
                  <c:v>42826</c:v>
                </c:pt>
                <c:pt idx="32">
                  <c:v>42856</c:v>
                </c:pt>
                <c:pt idx="33">
                  <c:v>42887</c:v>
                </c:pt>
                <c:pt idx="34">
                  <c:v>42917</c:v>
                </c:pt>
                <c:pt idx="35">
                  <c:v>42948</c:v>
                </c:pt>
                <c:pt idx="36">
                  <c:v>42979</c:v>
                </c:pt>
                <c:pt idx="37">
                  <c:v>43009</c:v>
                </c:pt>
                <c:pt idx="38">
                  <c:v>43040</c:v>
                </c:pt>
                <c:pt idx="39">
                  <c:v>43070</c:v>
                </c:pt>
                <c:pt idx="40">
                  <c:v>43101</c:v>
                </c:pt>
                <c:pt idx="41">
                  <c:v>43132</c:v>
                </c:pt>
                <c:pt idx="42">
                  <c:v>43160</c:v>
                </c:pt>
                <c:pt idx="43">
                  <c:v>43191</c:v>
                </c:pt>
                <c:pt idx="44">
                  <c:v>43221</c:v>
                </c:pt>
                <c:pt idx="45">
                  <c:v>43252</c:v>
                </c:pt>
                <c:pt idx="46">
                  <c:v>43282</c:v>
                </c:pt>
                <c:pt idx="47">
                  <c:v>43313</c:v>
                </c:pt>
                <c:pt idx="48">
                  <c:v>43344</c:v>
                </c:pt>
                <c:pt idx="49">
                  <c:v>43374</c:v>
                </c:pt>
                <c:pt idx="50">
                  <c:v>43405</c:v>
                </c:pt>
                <c:pt idx="51">
                  <c:v>43435</c:v>
                </c:pt>
                <c:pt idx="52">
                  <c:v>43466</c:v>
                </c:pt>
                <c:pt idx="53">
                  <c:v>43497</c:v>
                </c:pt>
                <c:pt idx="54">
                  <c:v>43525</c:v>
                </c:pt>
                <c:pt idx="55">
                  <c:v>43556</c:v>
                </c:pt>
                <c:pt idx="56">
                  <c:v>43586</c:v>
                </c:pt>
                <c:pt idx="57">
                  <c:v>43617</c:v>
                </c:pt>
                <c:pt idx="58">
                  <c:v>43647</c:v>
                </c:pt>
                <c:pt idx="59">
                  <c:v>43678</c:v>
                </c:pt>
                <c:pt idx="60">
                  <c:v>43709</c:v>
                </c:pt>
                <c:pt idx="61">
                  <c:v>43739</c:v>
                </c:pt>
                <c:pt idx="62">
                  <c:v>43770</c:v>
                </c:pt>
                <c:pt idx="63">
                  <c:v>43800</c:v>
                </c:pt>
                <c:pt idx="64">
                  <c:v>43831</c:v>
                </c:pt>
                <c:pt idx="65">
                  <c:v>43862</c:v>
                </c:pt>
                <c:pt idx="66">
                  <c:v>43891</c:v>
                </c:pt>
                <c:pt idx="67">
                  <c:v>43922</c:v>
                </c:pt>
                <c:pt idx="68">
                  <c:v>43952</c:v>
                </c:pt>
                <c:pt idx="69">
                  <c:v>43983</c:v>
                </c:pt>
                <c:pt idx="70">
                  <c:v>44013</c:v>
                </c:pt>
                <c:pt idx="71">
                  <c:v>44044</c:v>
                </c:pt>
                <c:pt idx="72">
                  <c:v>44075</c:v>
                </c:pt>
                <c:pt idx="73">
                  <c:v>44105</c:v>
                </c:pt>
                <c:pt idx="74">
                  <c:v>44136</c:v>
                </c:pt>
                <c:pt idx="75">
                  <c:v>44166</c:v>
                </c:pt>
                <c:pt idx="76">
                  <c:v>44197</c:v>
                </c:pt>
                <c:pt idx="77">
                  <c:v>44228</c:v>
                </c:pt>
                <c:pt idx="78">
                  <c:v>44256</c:v>
                </c:pt>
                <c:pt idx="79">
                  <c:v>44287</c:v>
                </c:pt>
                <c:pt idx="80">
                  <c:v>44317</c:v>
                </c:pt>
                <c:pt idx="81">
                  <c:v>44348</c:v>
                </c:pt>
                <c:pt idx="82">
                  <c:v>44378</c:v>
                </c:pt>
                <c:pt idx="83">
                  <c:v>44409</c:v>
                </c:pt>
                <c:pt idx="84">
                  <c:v>44440</c:v>
                </c:pt>
                <c:pt idx="85">
                  <c:v>44470</c:v>
                </c:pt>
                <c:pt idx="86">
                  <c:v>44501</c:v>
                </c:pt>
                <c:pt idx="87">
                  <c:v>44531</c:v>
                </c:pt>
                <c:pt idx="88">
                  <c:v>44562</c:v>
                </c:pt>
                <c:pt idx="89">
                  <c:v>44593</c:v>
                </c:pt>
                <c:pt idx="90">
                  <c:v>44621</c:v>
                </c:pt>
                <c:pt idx="91">
                  <c:v>44652</c:v>
                </c:pt>
                <c:pt idx="92">
                  <c:v>44682</c:v>
                </c:pt>
                <c:pt idx="93">
                  <c:v>44713</c:v>
                </c:pt>
                <c:pt idx="94">
                  <c:v>44743</c:v>
                </c:pt>
                <c:pt idx="95">
                  <c:v>44774</c:v>
                </c:pt>
                <c:pt idx="96">
                  <c:v>44805</c:v>
                </c:pt>
                <c:pt idx="97">
                  <c:v>44835</c:v>
                </c:pt>
                <c:pt idx="98">
                  <c:v>44866</c:v>
                </c:pt>
                <c:pt idx="99">
                  <c:v>44896</c:v>
                </c:pt>
                <c:pt idx="100">
                  <c:v>44927</c:v>
                </c:pt>
                <c:pt idx="101">
                  <c:v>44958</c:v>
                </c:pt>
                <c:pt idx="102">
                  <c:v>44986</c:v>
                </c:pt>
                <c:pt idx="103">
                  <c:v>45017</c:v>
                </c:pt>
                <c:pt idx="104">
                  <c:v>45047</c:v>
                </c:pt>
                <c:pt idx="105">
                  <c:v>45078</c:v>
                </c:pt>
                <c:pt idx="106">
                  <c:v>45108</c:v>
                </c:pt>
                <c:pt idx="107">
                  <c:v>45139</c:v>
                </c:pt>
                <c:pt idx="108">
                  <c:v>45170</c:v>
                </c:pt>
                <c:pt idx="109">
                  <c:v>45200</c:v>
                </c:pt>
                <c:pt idx="110">
                  <c:v>45231</c:v>
                </c:pt>
                <c:pt idx="111">
                  <c:v>45261</c:v>
                </c:pt>
                <c:pt idx="112">
                  <c:v>45292</c:v>
                </c:pt>
                <c:pt idx="113">
                  <c:v>45323</c:v>
                </c:pt>
                <c:pt idx="114">
                  <c:v>45352</c:v>
                </c:pt>
                <c:pt idx="115">
                  <c:v>45383</c:v>
                </c:pt>
                <c:pt idx="116">
                  <c:v>45413</c:v>
                </c:pt>
                <c:pt idx="117">
                  <c:v>45444</c:v>
                </c:pt>
                <c:pt idx="118">
                  <c:v>45474</c:v>
                </c:pt>
                <c:pt idx="119">
                  <c:v>45505</c:v>
                </c:pt>
                <c:pt idx="120">
                  <c:v>45536</c:v>
                </c:pt>
              </c:numCache>
            </c:numRef>
          </c:cat>
          <c:val>
            <c:numRef>
              <c:f>'Figure 1'!$C$5:$C$245</c:f>
              <c:numCache>
                <c:formatCode>0.0%</c:formatCode>
                <c:ptCount val="241"/>
                <c:pt idx="0">
                  <c:v>6.2759913563602953E-3</c:v>
                </c:pt>
                <c:pt idx="1">
                  <c:v>6.2496483171392498E-3</c:v>
                </c:pt>
                <c:pt idx="2">
                  <c:v>8.1314512729436829E-3</c:v>
                </c:pt>
                <c:pt idx="3">
                  <c:v>1.5684680783217247E-2</c:v>
                </c:pt>
                <c:pt idx="4">
                  <c:v>1.3551814571834979E-2</c:v>
                </c:pt>
                <c:pt idx="5">
                  <c:v>1.6746724425726202E-2</c:v>
                </c:pt>
                <c:pt idx="6">
                  <c:v>1.4004256158208831E-2</c:v>
                </c:pt>
                <c:pt idx="7">
                  <c:v>1.3367187476511045E-2</c:v>
                </c:pt>
                <c:pt idx="8">
                  <c:v>1.9165468134721857E-2</c:v>
                </c:pt>
                <c:pt idx="9">
                  <c:v>1.7255950434255447E-2</c:v>
                </c:pt>
                <c:pt idx="10">
                  <c:v>1.8613172012284497E-2</c:v>
                </c:pt>
                <c:pt idx="11">
                  <c:v>1.8597347624614988E-2</c:v>
                </c:pt>
                <c:pt idx="12">
                  <c:v>2.0493216663805641E-2</c:v>
                </c:pt>
                <c:pt idx="13">
                  <c:v>2.7580676496458095E-2</c:v>
                </c:pt>
                <c:pt idx="14">
                  <c:v>3.0453770925420068E-2</c:v>
                </c:pt>
                <c:pt idx="15">
                  <c:v>2.6595982179780046E-2</c:v>
                </c:pt>
                <c:pt idx="16">
                  <c:v>2.6267301985083907E-2</c:v>
                </c:pt>
                <c:pt idx="17">
                  <c:v>2.166462777856068E-2</c:v>
                </c:pt>
                <c:pt idx="18">
                  <c:v>2.1244285991540473E-2</c:v>
                </c:pt>
                <c:pt idx="19">
                  <c:v>2.1906071265766752E-2</c:v>
                </c:pt>
                <c:pt idx="20">
                  <c:v>1.7751198388173225E-2</c:v>
                </c:pt>
                <c:pt idx="21">
                  <c:v>2.0106637153774625E-2</c:v>
                </c:pt>
                <c:pt idx="22">
                  <c:v>1.9925518966551703E-2</c:v>
                </c:pt>
                <c:pt idx="23">
                  <c:v>1.6240148552538927E-2</c:v>
                </c:pt>
                <c:pt idx="24">
                  <c:v>1.3441292232346167E-2</c:v>
                </c:pt>
                <c:pt idx="25">
                  <c:v>8.4430272376921772E-3</c:v>
                </c:pt>
                <c:pt idx="26">
                  <c:v>7.884924797607825E-3</c:v>
                </c:pt>
                <c:pt idx="27">
                  <c:v>9.1843177010892518E-3</c:v>
                </c:pt>
                <c:pt idx="28">
                  <c:v>1.070489761122545E-2</c:v>
                </c:pt>
                <c:pt idx="29">
                  <c:v>7.4614433560402241E-3</c:v>
                </c:pt>
                <c:pt idx="30">
                  <c:v>1.1251443560872383E-2</c:v>
                </c:pt>
                <c:pt idx="31">
                  <c:v>1.5447298270294545E-2</c:v>
                </c:pt>
                <c:pt idx="32">
                  <c:v>1.8705381389238492E-2</c:v>
                </c:pt>
                <c:pt idx="33">
                  <c:v>1.9623466425465075E-2</c:v>
                </c:pt>
                <c:pt idx="34">
                  <c:v>1.9547991407073285E-2</c:v>
                </c:pt>
                <c:pt idx="35">
                  <c:v>2.7265853925577944E-2</c:v>
                </c:pt>
                <c:pt idx="36">
                  <c:v>3.1773857152910492E-2</c:v>
                </c:pt>
                <c:pt idx="37">
                  <c:v>3.0447188669558891E-2</c:v>
                </c:pt>
                <c:pt idx="38">
                  <c:v>3.1788098464301341E-2</c:v>
                </c:pt>
                <c:pt idx="39">
                  <c:v>3.1605007183572467E-2</c:v>
                </c:pt>
                <c:pt idx="40">
                  <c:v>3.3194021271003731E-2</c:v>
                </c:pt>
                <c:pt idx="41">
                  <c:v>3.3843845137871573E-2</c:v>
                </c:pt>
                <c:pt idx="42">
                  <c:v>3.0410086734262869E-2</c:v>
                </c:pt>
                <c:pt idx="43">
                  <c:v>2.7009589768081706E-2</c:v>
                </c:pt>
                <c:pt idx="44">
                  <c:v>2.3662526753824006E-2</c:v>
                </c:pt>
                <c:pt idx="45">
                  <c:v>2.6653298409606334E-2</c:v>
                </c:pt>
                <c:pt idx="46">
                  <c:v>2.351758676297315E-2</c:v>
                </c:pt>
                <c:pt idx="47">
                  <c:v>2.4711732318445156E-2</c:v>
                </c:pt>
                <c:pt idx="48">
                  <c:v>2.2669031503812036E-2</c:v>
                </c:pt>
                <c:pt idx="49">
                  <c:v>2.4293152535467127E-2</c:v>
                </c:pt>
                <c:pt idx="50">
                  <c:v>2.2392684022008915E-2</c:v>
                </c:pt>
                <c:pt idx="51">
                  <c:v>2.1889226735457075E-2</c:v>
                </c:pt>
                <c:pt idx="52">
                  <c:v>2.259221238204184E-2</c:v>
                </c:pt>
                <c:pt idx="53">
                  <c:v>2.4425320599164007E-2</c:v>
                </c:pt>
                <c:pt idx="54">
                  <c:v>2.4680438284554039E-2</c:v>
                </c:pt>
                <c:pt idx="55">
                  <c:v>2.6124014682522567E-2</c:v>
                </c:pt>
                <c:pt idx="56">
                  <c:v>2.7309652051356541E-2</c:v>
                </c:pt>
                <c:pt idx="57">
                  <c:v>2.261150692549696E-2</c:v>
                </c:pt>
                <c:pt idx="58">
                  <c:v>2.4905432045163843E-2</c:v>
                </c:pt>
                <c:pt idx="59">
                  <c:v>2.3506775074808556E-2</c:v>
                </c:pt>
                <c:pt idx="60">
                  <c:v>2.3906805446759688E-2</c:v>
                </c:pt>
                <c:pt idx="61">
                  <c:v>1.806911509814451E-2</c:v>
                </c:pt>
                <c:pt idx="62">
                  <c:v>1.829211238381032E-2</c:v>
                </c:pt>
                <c:pt idx="63">
                  <c:v>1.9991551098099802E-2</c:v>
                </c:pt>
                <c:pt idx="64">
                  <c:v>1.7125760768114652E-2</c:v>
                </c:pt>
                <c:pt idx="65">
                  <c:v>1.6122697434636266E-2</c:v>
                </c:pt>
                <c:pt idx="66">
                  <c:v>1.3973296075831504E-2</c:v>
                </c:pt>
                <c:pt idx="67">
                  <c:v>-3.427134412005902E-2</c:v>
                </c:pt>
                <c:pt idx="68">
                  <c:v>-5.7880038403023693E-2</c:v>
                </c:pt>
                <c:pt idx="69">
                  <c:v>-4.091182387409141E-2</c:v>
                </c:pt>
                <c:pt idx="70">
                  <c:v>-3.2919625295297759E-2</c:v>
                </c:pt>
                <c:pt idx="71">
                  <c:v>-2.5838267980783296E-2</c:v>
                </c:pt>
                <c:pt idx="72">
                  <c:v>-2.9780171341593907E-2</c:v>
                </c:pt>
                <c:pt idx="73">
                  <c:v>-1.5241576399479479E-2</c:v>
                </c:pt>
                <c:pt idx="74">
                  <c:v>-1.0162307495016544E-2</c:v>
                </c:pt>
                <c:pt idx="75">
                  <c:v>-9.7709784316415971E-3</c:v>
                </c:pt>
                <c:pt idx="76">
                  <c:v>-7.7025722105649235E-3</c:v>
                </c:pt>
                <c:pt idx="77">
                  <c:v>-2.9716597529865036E-3</c:v>
                </c:pt>
                <c:pt idx="78">
                  <c:v>2.4194651264874962E-3</c:v>
                </c:pt>
                <c:pt idx="79">
                  <c:v>4.8701765115504801E-2</c:v>
                </c:pt>
                <c:pt idx="80">
                  <c:v>8.1768813937243279E-2</c:v>
                </c:pt>
                <c:pt idx="81">
                  <c:v>6.3611542598318818E-2</c:v>
                </c:pt>
                <c:pt idx="82">
                  <c:v>5.3719451539545507E-2</c:v>
                </c:pt>
                <c:pt idx="83">
                  <c:v>3.1634165824389472E-2</c:v>
                </c:pt>
                <c:pt idx="84">
                  <c:v>2.4415929405712977E-2</c:v>
                </c:pt>
                <c:pt idx="85">
                  <c:v>9.3684113010941081E-3</c:v>
                </c:pt>
                <c:pt idx="86">
                  <c:v>3.139034222771616E-2</c:v>
                </c:pt>
                <c:pt idx="87">
                  <c:v>3.4054721313358148E-2</c:v>
                </c:pt>
                <c:pt idx="88">
                  <c:v>3.4671756227142178E-2</c:v>
                </c:pt>
                <c:pt idx="89">
                  <c:v>3.7303087184842307E-2</c:v>
                </c:pt>
                <c:pt idx="90">
                  <c:v>3.37531257417365E-2</c:v>
                </c:pt>
                <c:pt idx="91">
                  <c:v>3.8530279953243471E-2</c:v>
                </c:pt>
                <c:pt idx="92">
                  <c:v>3.407980691769915E-2</c:v>
                </c:pt>
                <c:pt idx="93">
                  <c:v>3.9860450422806122E-2</c:v>
                </c:pt>
                <c:pt idx="94">
                  <c:v>3.8549640711675985E-2</c:v>
                </c:pt>
                <c:pt idx="95">
                  <c:v>5.4494572523878723E-2</c:v>
                </c:pt>
                <c:pt idx="96">
                  <c:v>6.5518142236753243E-2</c:v>
                </c:pt>
                <c:pt idx="97">
                  <c:v>7.2806428494209846E-2</c:v>
                </c:pt>
                <c:pt idx="98">
                  <c:v>4.8183294043654283E-2</c:v>
                </c:pt>
                <c:pt idx="99">
                  <c:v>4.0950148453486157E-2</c:v>
                </c:pt>
                <c:pt idx="100">
                  <c:v>3.8173801949360833E-2</c:v>
                </c:pt>
                <c:pt idx="101">
                  <c:v>3.5063147121192031E-2</c:v>
                </c:pt>
                <c:pt idx="102">
                  <c:v>4.0486549991967498E-2</c:v>
                </c:pt>
                <c:pt idx="103">
                  <c:v>3.5430850079768927E-2</c:v>
                </c:pt>
                <c:pt idx="104">
                  <c:v>3.889458687135626E-2</c:v>
                </c:pt>
                <c:pt idx="105">
                  <c:v>3.2710389903409923E-2</c:v>
                </c:pt>
                <c:pt idx="106">
                  <c:v>3.2041560594946956E-2</c:v>
                </c:pt>
                <c:pt idx="107">
                  <c:v>3.1791006013074323E-2</c:v>
                </c:pt>
                <c:pt idx="108">
                  <c:v>3.1028124262109904E-2</c:v>
                </c:pt>
                <c:pt idx="109">
                  <c:v>3.2298476867077049E-2</c:v>
                </c:pt>
                <c:pt idx="110">
                  <c:v>3.0881921139210001E-2</c:v>
                </c:pt>
                <c:pt idx="111">
                  <c:v>2.7438450404461273E-2</c:v>
                </c:pt>
                <c:pt idx="112">
                  <c:v>2.579231084503605E-2</c:v>
                </c:pt>
                <c:pt idx="113">
                  <c:v>3.0540224371233941E-2</c:v>
                </c:pt>
                <c:pt idx="114">
                  <c:v>2.2548339638050079E-2</c:v>
                </c:pt>
                <c:pt idx="115">
                  <c:v>2.5829808967726357E-2</c:v>
                </c:pt>
                <c:pt idx="116">
                  <c:v>2.2209674579310845E-2</c:v>
                </c:pt>
                <c:pt idx="117">
                  <c:v>2.4034381074880182E-2</c:v>
                </c:pt>
                <c:pt idx="118">
                  <c:v>2.8842638046633982E-2</c:v>
                </c:pt>
                <c:pt idx="119">
                  <c:v>2.6591684493830609E-2</c:v>
                </c:pt>
                <c:pt idx="120">
                  <c:v>3.0871421504346384E-2</c:v>
                </c:pt>
              </c:numCache>
            </c:numRef>
          </c:val>
          <c:smooth val="0"/>
          <c:extLst>
            <c:ext xmlns:c16="http://schemas.microsoft.com/office/drawing/2014/chart" uri="{C3380CC4-5D6E-409C-BE32-E72D297353CC}">
              <c16:uniqueId val="{00000001-1B85-44A9-8448-83DCDC188569}"/>
            </c:ext>
          </c:extLst>
        </c:ser>
        <c:dLbls>
          <c:showLegendKey val="0"/>
          <c:showVal val="0"/>
          <c:showCatName val="0"/>
          <c:showSerName val="0"/>
          <c:showPercent val="0"/>
          <c:showBubbleSize val="0"/>
        </c:dLbls>
        <c:smooth val="0"/>
        <c:axId val="1932666672"/>
        <c:axId val="1654456912"/>
      </c:lineChart>
      <c:dateAx>
        <c:axId val="1932666672"/>
        <c:scaling>
          <c:orientation val="minMax"/>
        </c:scaling>
        <c:delete val="0"/>
        <c:axPos val="b"/>
        <c:numFmt formatCode="mmm\-yy" sourceLinked="1"/>
        <c:majorTickMark val="out"/>
        <c:minorTickMark val="none"/>
        <c:tickLblPos val="low"/>
        <c:spPr>
          <a:noFill/>
          <a:ln w="9525" cap="flat" cmpd="sng" algn="ctr">
            <a:solidFill>
              <a:schemeClr val="tx1"/>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54456912"/>
        <c:crosses val="autoZero"/>
        <c:auto val="1"/>
        <c:lblOffset val="100"/>
        <c:baseTimeUnit val="months"/>
        <c:majorUnit val="6"/>
        <c:majorTimeUnit val="months"/>
      </c:dateAx>
      <c:valAx>
        <c:axId val="1654456912"/>
        <c:scaling>
          <c:orientation val="minMax"/>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3266667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ayout>
        <c:manualLayout>
          <c:xMode val="edge"/>
          <c:yMode val="edge"/>
          <c:x val="0"/>
          <c:y val="0.86214731684726986"/>
          <c:w val="0.97855434257289964"/>
          <c:h val="7.74599277404575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'National IVI data'!$C$1</c:f>
              <c:strCache>
                <c:ptCount val="1"/>
                <c:pt idx="0">
                  <c:v>Veterinarians</c:v>
                </c:pt>
              </c:strCache>
            </c:strRef>
          </c:tx>
          <c:spPr>
            <a:ln w="22225" cap="rnd">
              <a:solidFill>
                <a:srgbClr val="6929C4"/>
              </a:solidFill>
              <a:round/>
            </a:ln>
            <a:effectLst/>
          </c:spPr>
          <c:marker>
            <c:symbol val="none"/>
          </c:marker>
          <c:cat>
            <c:numRef>
              <c:f>'National IVI data'!$A$2:$A$224</c:f>
              <c:numCache>
                <c:formatCode>mmm\-yy</c:formatCode>
                <c:ptCount val="223"/>
                <c:pt idx="0">
                  <c:v>38777</c:v>
                </c:pt>
                <c:pt idx="1">
                  <c:v>38808</c:v>
                </c:pt>
                <c:pt idx="2">
                  <c:v>38838</c:v>
                </c:pt>
                <c:pt idx="3">
                  <c:v>38869</c:v>
                </c:pt>
                <c:pt idx="4">
                  <c:v>38899</c:v>
                </c:pt>
                <c:pt idx="5">
                  <c:v>38930</c:v>
                </c:pt>
                <c:pt idx="6">
                  <c:v>38961</c:v>
                </c:pt>
                <c:pt idx="7">
                  <c:v>38991</c:v>
                </c:pt>
                <c:pt idx="8">
                  <c:v>39022</c:v>
                </c:pt>
                <c:pt idx="9">
                  <c:v>39052</c:v>
                </c:pt>
                <c:pt idx="10">
                  <c:v>39083</c:v>
                </c:pt>
                <c:pt idx="11">
                  <c:v>39114</c:v>
                </c:pt>
                <c:pt idx="12">
                  <c:v>39142</c:v>
                </c:pt>
                <c:pt idx="13">
                  <c:v>39173</c:v>
                </c:pt>
                <c:pt idx="14">
                  <c:v>39203</c:v>
                </c:pt>
                <c:pt idx="15">
                  <c:v>39234</c:v>
                </c:pt>
                <c:pt idx="16">
                  <c:v>39264</c:v>
                </c:pt>
                <c:pt idx="17">
                  <c:v>39295</c:v>
                </c:pt>
                <c:pt idx="18">
                  <c:v>39326</c:v>
                </c:pt>
                <c:pt idx="19">
                  <c:v>39356</c:v>
                </c:pt>
                <c:pt idx="20">
                  <c:v>39387</c:v>
                </c:pt>
                <c:pt idx="21">
                  <c:v>39417</c:v>
                </c:pt>
                <c:pt idx="22">
                  <c:v>39448</c:v>
                </c:pt>
                <c:pt idx="23">
                  <c:v>39479</c:v>
                </c:pt>
                <c:pt idx="24">
                  <c:v>39508</c:v>
                </c:pt>
                <c:pt idx="25">
                  <c:v>39539</c:v>
                </c:pt>
                <c:pt idx="26">
                  <c:v>39569</c:v>
                </c:pt>
                <c:pt idx="27">
                  <c:v>39600</c:v>
                </c:pt>
                <c:pt idx="28">
                  <c:v>39630</c:v>
                </c:pt>
                <c:pt idx="29">
                  <c:v>39661</c:v>
                </c:pt>
                <c:pt idx="30">
                  <c:v>39692</c:v>
                </c:pt>
                <c:pt idx="31">
                  <c:v>39722</c:v>
                </c:pt>
                <c:pt idx="32">
                  <c:v>39753</c:v>
                </c:pt>
                <c:pt idx="33">
                  <c:v>39783</c:v>
                </c:pt>
                <c:pt idx="34">
                  <c:v>39814</c:v>
                </c:pt>
                <c:pt idx="35">
                  <c:v>39845</c:v>
                </c:pt>
                <c:pt idx="36">
                  <c:v>39873</c:v>
                </c:pt>
                <c:pt idx="37">
                  <c:v>39904</c:v>
                </c:pt>
                <c:pt idx="38">
                  <c:v>39934</c:v>
                </c:pt>
                <c:pt idx="39">
                  <c:v>39965</c:v>
                </c:pt>
                <c:pt idx="40">
                  <c:v>39995</c:v>
                </c:pt>
                <c:pt idx="41">
                  <c:v>40026</c:v>
                </c:pt>
                <c:pt idx="42">
                  <c:v>40057</c:v>
                </c:pt>
                <c:pt idx="43">
                  <c:v>40087</c:v>
                </c:pt>
                <c:pt idx="44">
                  <c:v>40118</c:v>
                </c:pt>
                <c:pt idx="45">
                  <c:v>40148</c:v>
                </c:pt>
                <c:pt idx="46">
                  <c:v>40179</c:v>
                </c:pt>
                <c:pt idx="47">
                  <c:v>40210</c:v>
                </c:pt>
                <c:pt idx="48">
                  <c:v>40238</c:v>
                </c:pt>
                <c:pt idx="49">
                  <c:v>40269</c:v>
                </c:pt>
                <c:pt idx="50">
                  <c:v>40299</c:v>
                </c:pt>
                <c:pt idx="51">
                  <c:v>40330</c:v>
                </c:pt>
                <c:pt idx="52">
                  <c:v>40360</c:v>
                </c:pt>
                <c:pt idx="53">
                  <c:v>40391</c:v>
                </c:pt>
                <c:pt idx="54">
                  <c:v>40422</c:v>
                </c:pt>
                <c:pt idx="55">
                  <c:v>40452</c:v>
                </c:pt>
                <c:pt idx="56">
                  <c:v>40483</c:v>
                </c:pt>
                <c:pt idx="57">
                  <c:v>40513</c:v>
                </c:pt>
                <c:pt idx="58">
                  <c:v>40544</c:v>
                </c:pt>
                <c:pt idx="59">
                  <c:v>40575</c:v>
                </c:pt>
                <c:pt idx="60">
                  <c:v>40603</c:v>
                </c:pt>
                <c:pt idx="61">
                  <c:v>40634</c:v>
                </c:pt>
                <c:pt idx="62">
                  <c:v>40664</c:v>
                </c:pt>
                <c:pt idx="63">
                  <c:v>40695</c:v>
                </c:pt>
                <c:pt idx="64">
                  <c:v>40725</c:v>
                </c:pt>
                <c:pt idx="65">
                  <c:v>40756</c:v>
                </c:pt>
                <c:pt idx="66">
                  <c:v>40787</c:v>
                </c:pt>
                <c:pt idx="67">
                  <c:v>40817</c:v>
                </c:pt>
                <c:pt idx="68">
                  <c:v>40848</c:v>
                </c:pt>
                <c:pt idx="69">
                  <c:v>40878</c:v>
                </c:pt>
                <c:pt idx="70">
                  <c:v>40909</c:v>
                </c:pt>
                <c:pt idx="71">
                  <c:v>40940</c:v>
                </c:pt>
                <c:pt idx="72">
                  <c:v>40969</c:v>
                </c:pt>
                <c:pt idx="73">
                  <c:v>41000</c:v>
                </c:pt>
                <c:pt idx="74">
                  <c:v>41030</c:v>
                </c:pt>
                <c:pt idx="75">
                  <c:v>41061</c:v>
                </c:pt>
                <c:pt idx="76">
                  <c:v>41091</c:v>
                </c:pt>
                <c:pt idx="77">
                  <c:v>41122</c:v>
                </c:pt>
                <c:pt idx="78">
                  <c:v>41153</c:v>
                </c:pt>
                <c:pt idx="79">
                  <c:v>41183</c:v>
                </c:pt>
                <c:pt idx="80">
                  <c:v>41214</c:v>
                </c:pt>
                <c:pt idx="81">
                  <c:v>41244</c:v>
                </c:pt>
                <c:pt idx="82">
                  <c:v>41275</c:v>
                </c:pt>
                <c:pt idx="83">
                  <c:v>41306</c:v>
                </c:pt>
                <c:pt idx="84">
                  <c:v>41334</c:v>
                </c:pt>
                <c:pt idx="85">
                  <c:v>41365</c:v>
                </c:pt>
                <c:pt idx="86">
                  <c:v>41395</c:v>
                </c:pt>
                <c:pt idx="87">
                  <c:v>41426</c:v>
                </c:pt>
                <c:pt idx="88">
                  <c:v>41456</c:v>
                </c:pt>
                <c:pt idx="89">
                  <c:v>41487</c:v>
                </c:pt>
                <c:pt idx="90">
                  <c:v>41518</c:v>
                </c:pt>
                <c:pt idx="91">
                  <c:v>41548</c:v>
                </c:pt>
                <c:pt idx="92">
                  <c:v>41579</c:v>
                </c:pt>
                <c:pt idx="93">
                  <c:v>41609</c:v>
                </c:pt>
                <c:pt idx="94">
                  <c:v>41640</c:v>
                </c:pt>
                <c:pt idx="95">
                  <c:v>41671</c:v>
                </c:pt>
                <c:pt idx="96">
                  <c:v>41699</c:v>
                </c:pt>
                <c:pt idx="97">
                  <c:v>41730</c:v>
                </c:pt>
                <c:pt idx="98">
                  <c:v>41760</c:v>
                </c:pt>
                <c:pt idx="99">
                  <c:v>41791</c:v>
                </c:pt>
                <c:pt idx="100">
                  <c:v>41821</c:v>
                </c:pt>
                <c:pt idx="101">
                  <c:v>41852</c:v>
                </c:pt>
                <c:pt idx="102">
                  <c:v>41883</c:v>
                </c:pt>
                <c:pt idx="103">
                  <c:v>41913</c:v>
                </c:pt>
                <c:pt idx="104">
                  <c:v>41944</c:v>
                </c:pt>
                <c:pt idx="105">
                  <c:v>41974</c:v>
                </c:pt>
                <c:pt idx="106">
                  <c:v>42005</c:v>
                </c:pt>
                <c:pt idx="107">
                  <c:v>42036</c:v>
                </c:pt>
                <c:pt idx="108">
                  <c:v>42064</c:v>
                </c:pt>
                <c:pt idx="109">
                  <c:v>42095</c:v>
                </c:pt>
                <c:pt idx="110">
                  <c:v>42125</c:v>
                </c:pt>
                <c:pt idx="111">
                  <c:v>42156</c:v>
                </c:pt>
                <c:pt idx="112">
                  <c:v>42186</c:v>
                </c:pt>
                <c:pt idx="113">
                  <c:v>42217</c:v>
                </c:pt>
                <c:pt idx="114">
                  <c:v>42248</c:v>
                </c:pt>
                <c:pt idx="115">
                  <c:v>42278</c:v>
                </c:pt>
                <c:pt idx="116">
                  <c:v>42309</c:v>
                </c:pt>
                <c:pt idx="117">
                  <c:v>42339</c:v>
                </c:pt>
                <c:pt idx="118">
                  <c:v>42370</c:v>
                </c:pt>
                <c:pt idx="119">
                  <c:v>42401</c:v>
                </c:pt>
                <c:pt idx="120">
                  <c:v>42430</c:v>
                </c:pt>
                <c:pt idx="121">
                  <c:v>42461</c:v>
                </c:pt>
                <c:pt idx="122">
                  <c:v>42491</c:v>
                </c:pt>
                <c:pt idx="123">
                  <c:v>42522</c:v>
                </c:pt>
                <c:pt idx="124">
                  <c:v>42552</c:v>
                </c:pt>
                <c:pt idx="125">
                  <c:v>42583</c:v>
                </c:pt>
                <c:pt idx="126">
                  <c:v>42614</c:v>
                </c:pt>
                <c:pt idx="127">
                  <c:v>42644</c:v>
                </c:pt>
                <c:pt idx="128">
                  <c:v>42675</c:v>
                </c:pt>
                <c:pt idx="129">
                  <c:v>42705</c:v>
                </c:pt>
                <c:pt idx="130">
                  <c:v>42736</c:v>
                </c:pt>
                <c:pt idx="131">
                  <c:v>42767</c:v>
                </c:pt>
                <c:pt idx="132">
                  <c:v>42795</c:v>
                </c:pt>
                <c:pt idx="133">
                  <c:v>42826</c:v>
                </c:pt>
                <c:pt idx="134">
                  <c:v>42856</c:v>
                </c:pt>
                <c:pt idx="135">
                  <c:v>42887</c:v>
                </c:pt>
                <c:pt idx="136">
                  <c:v>42917</c:v>
                </c:pt>
                <c:pt idx="137">
                  <c:v>42948</c:v>
                </c:pt>
                <c:pt idx="138">
                  <c:v>42979</c:v>
                </c:pt>
                <c:pt idx="139">
                  <c:v>43009</c:v>
                </c:pt>
                <c:pt idx="140">
                  <c:v>43040</c:v>
                </c:pt>
                <c:pt idx="141">
                  <c:v>43070</c:v>
                </c:pt>
                <c:pt idx="142">
                  <c:v>43101</c:v>
                </c:pt>
                <c:pt idx="143">
                  <c:v>43132</c:v>
                </c:pt>
                <c:pt idx="144">
                  <c:v>43160</c:v>
                </c:pt>
                <c:pt idx="145">
                  <c:v>43191</c:v>
                </c:pt>
                <c:pt idx="146">
                  <c:v>43221</c:v>
                </c:pt>
                <c:pt idx="147">
                  <c:v>43252</c:v>
                </c:pt>
                <c:pt idx="148">
                  <c:v>43282</c:v>
                </c:pt>
                <c:pt idx="149">
                  <c:v>43313</c:v>
                </c:pt>
                <c:pt idx="150">
                  <c:v>43344</c:v>
                </c:pt>
                <c:pt idx="151">
                  <c:v>43374</c:v>
                </c:pt>
                <c:pt idx="152">
                  <c:v>43405</c:v>
                </c:pt>
                <c:pt idx="153">
                  <c:v>43435</c:v>
                </c:pt>
                <c:pt idx="154">
                  <c:v>43466</c:v>
                </c:pt>
                <c:pt idx="155">
                  <c:v>43497</c:v>
                </c:pt>
                <c:pt idx="156">
                  <c:v>43525</c:v>
                </c:pt>
                <c:pt idx="157">
                  <c:v>43556</c:v>
                </c:pt>
                <c:pt idx="158">
                  <c:v>43586</c:v>
                </c:pt>
                <c:pt idx="159">
                  <c:v>43617</c:v>
                </c:pt>
                <c:pt idx="160">
                  <c:v>43647</c:v>
                </c:pt>
                <c:pt idx="161">
                  <c:v>43678</c:v>
                </c:pt>
                <c:pt idx="162">
                  <c:v>43709</c:v>
                </c:pt>
                <c:pt idx="163">
                  <c:v>43739</c:v>
                </c:pt>
                <c:pt idx="164">
                  <c:v>43770</c:v>
                </c:pt>
                <c:pt idx="165">
                  <c:v>43800</c:v>
                </c:pt>
                <c:pt idx="166">
                  <c:v>43831</c:v>
                </c:pt>
                <c:pt idx="167">
                  <c:v>43862</c:v>
                </c:pt>
                <c:pt idx="168">
                  <c:v>43891</c:v>
                </c:pt>
                <c:pt idx="169">
                  <c:v>43922</c:v>
                </c:pt>
                <c:pt idx="170">
                  <c:v>43952</c:v>
                </c:pt>
                <c:pt idx="171">
                  <c:v>43983</c:v>
                </c:pt>
                <c:pt idx="172">
                  <c:v>44013</c:v>
                </c:pt>
                <c:pt idx="173">
                  <c:v>44044</c:v>
                </c:pt>
                <c:pt idx="174">
                  <c:v>44075</c:v>
                </c:pt>
                <c:pt idx="175">
                  <c:v>44105</c:v>
                </c:pt>
                <c:pt idx="176">
                  <c:v>44136</c:v>
                </c:pt>
                <c:pt idx="177">
                  <c:v>44166</c:v>
                </c:pt>
                <c:pt idx="178">
                  <c:v>44197</c:v>
                </c:pt>
                <c:pt idx="179">
                  <c:v>44228</c:v>
                </c:pt>
                <c:pt idx="180">
                  <c:v>44256</c:v>
                </c:pt>
                <c:pt idx="181">
                  <c:v>44287</c:v>
                </c:pt>
                <c:pt idx="182">
                  <c:v>44317</c:v>
                </c:pt>
                <c:pt idx="183">
                  <c:v>44348</c:v>
                </c:pt>
                <c:pt idx="184">
                  <c:v>44378</c:v>
                </c:pt>
                <c:pt idx="185">
                  <c:v>44409</c:v>
                </c:pt>
                <c:pt idx="186">
                  <c:v>44440</c:v>
                </c:pt>
                <c:pt idx="187">
                  <c:v>44470</c:v>
                </c:pt>
                <c:pt idx="188">
                  <c:v>44501</c:v>
                </c:pt>
                <c:pt idx="189">
                  <c:v>44531</c:v>
                </c:pt>
                <c:pt idx="190">
                  <c:v>44562</c:v>
                </c:pt>
                <c:pt idx="191">
                  <c:v>44593</c:v>
                </c:pt>
                <c:pt idx="192">
                  <c:v>44621</c:v>
                </c:pt>
                <c:pt idx="193">
                  <c:v>44652</c:v>
                </c:pt>
                <c:pt idx="194">
                  <c:v>44682</c:v>
                </c:pt>
                <c:pt idx="195">
                  <c:v>44713</c:v>
                </c:pt>
                <c:pt idx="196">
                  <c:v>44743</c:v>
                </c:pt>
                <c:pt idx="197">
                  <c:v>44774</c:v>
                </c:pt>
                <c:pt idx="198">
                  <c:v>44805</c:v>
                </c:pt>
                <c:pt idx="199">
                  <c:v>44835</c:v>
                </c:pt>
                <c:pt idx="200">
                  <c:v>44866</c:v>
                </c:pt>
                <c:pt idx="201">
                  <c:v>44896</c:v>
                </c:pt>
                <c:pt idx="202">
                  <c:v>44927</c:v>
                </c:pt>
                <c:pt idx="203">
                  <c:v>44958</c:v>
                </c:pt>
                <c:pt idx="204">
                  <c:v>44986</c:v>
                </c:pt>
                <c:pt idx="205">
                  <c:v>45017</c:v>
                </c:pt>
                <c:pt idx="206">
                  <c:v>45047</c:v>
                </c:pt>
                <c:pt idx="207">
                  <c:v>45078</c:v>
                </c:pt>
                <c:pt idx="208">
                  <c:v>45108</c:v>
                </c:pt>
                <c:pt idx="209">
                  <c:v>45139</c:v>
                </c:pt>
                <c:pt idx="210">
                  <c:v>45170</c:v>
                </c:pt>
                <c:pt idx="211">
                  <c:v>45200</c:v>
                </c:pt>
                <c:pt idx="212">
                  <c:v>45231</c:v>
                </c:pt>
                <c:pt idx="213">
                  <c:v>45261</c:v>
                </c:pt>
                <c:pt idx="214">
                  <c:v>45292</c:v>
                </c:pt>
                <c:pt idx="215">
                  <c:v>45323</c:v>
                </c:pt>
                <c:pt idx="216">
                  <c:v>45352</c:v>
                </c:pt>
                <c:pt idx="217">
                  <c:v>45383</c:v>
                </c:pt>
                <c:pt idx="218">
                  <c:v>45413</c:v>
                </c:pt>
                <c:pt idx="219">
                  <c:v>45444</c:v>
                </c:pt>
                <c:pt idx="220">
                  <c:v>45474</c:v>
                </c:pt>
                <c:pt idx="221">
                  <c:v>45505</c:v>
                </c:pt>
                <c:pt idx="222">
                  <c:v>45536</c:v>
                </c:pt>
              </c:numCache>
            </c:numRef>
          </c:cat>
          <c:val>
            <c:numRef>
              <c:f>'National IVI data'!$C$2:$C$224</c:f>
              <c:numCache>
                <c:formatCode>General</c:formatCode>
                <c:ptCount val="223"/>
                <c:pt idx="0">
                  <c:v>13.381679999999999</c:v>
                </c:pt>
                <c:pt idx="1">
                  <c:v>11.072520000000001</c:v>
                </c:pt>
                <c:pt idx="2">
                  <c:v>10.381679999999999</c:v>
                </c:pt>
                <c:pt idx="3">
                  <c:v>14.048349999999999</c:v>
                </c:pt>
                <c:pt idx="4">
                  <c:v>16.715019999999999</c:v>
                </c:pt>
                <c:pt idx="5">
                  <c:v>17.811710000000001</c:v>
                </c:pt>
                <c:pt idx="6">
                  <c:v>13.47838</c:v>
                </c:pt>
                <c:pt idx="7">
                  <c:v>11.4542</c:v>
                </c:pt>
                <c:pt idx="8">
                  <c:v>11.35751</c:v>
                </c:pt>
                <c:pt idx="9">
                  <c:v>12.02417</c:v>
                </c:pt>
                <c:pt idx="10">
                  <c:v>12.66667</c:v>
                </c:pt>
                <c:pt idx="11">
                  <c:v>10.33333</c:v>
                </c:pt>
                <c:pt idx="12">
                  <c:v>14.35751</c:v>
                </c:pt>
                <c:pt idx="13">
                  <c:v>17.072520000000001</c:v>
                </c:pt>
                <c:pt idx="14">
                  <c:v>17.739190000000001</c:v>
                </c:pt>
                <c:pt idx="15">
                  <c:v>18.048349999999999</c:v>
                </c:pt>
                <c:pt idx="16">
                  <c:v>15.02417</c:v>
                </c:pt>
                <c:pt idx="17">
                  <c:v>17.096699999999998</c:v>
                </c:pt>
                <c:pt idx="18">
                  <c:v>14.4542</c:v>
                </c:pt>
                <c:pt idx="19">
                  <c:v>15.145049999999999</c:v>
                </c:pt>
                <c:pt idx="20">
                  <c:v>14.835889999999999</c:v>
                </c:pt>
                <c:pt idx="21">
                  <c:v>12.21757</c:v>
                </c:pt>
                <c:pt idx="22">
                  <c:v>10.88424</c:v>
                </c:pt>
                <c:pt idx="23">
                  <c:v>11.5509</c:v>
                </c:pt>
                <c:pt idx="24">
                  <c:v>14.88424</c:v>
                </c:pt>
                <c:pt idx="25">
                  <c:v>13.860060000000001</c:v>
                </c:pt>
                <c:pt idx="26">
                  <c:v>15.502549999999999</c:v>
                </c:pt>
                <c:pt idx="27">
                  <c:v>15.169219999999999</c:v>
                </c:pt>
                <c:pt idx="28">
                  <c:v>18.290089999999999</c:v>
                </c:pt>
                <c:pt idx="29">
                  <c:v>16.980930000000001</c:v>
                </c:pt>
                <c:pt idx="30">
                  <c:v>17.290089999999999</c:v>
                </c:pt>
                <c:pt idx="31">
                  <c:v>19.31427</c:v>
                </c:pt>
                <c:pt idx="32">
                  <c:v>15.31427</c:v>
                </c:pt>
                <c:pt idx="33">
                  <c:v>13.67177</c:v>
                </c:pt>
                <c:pt idx="34">
                  <c:v>11.5509</c:v>
                </c:pt>
                <c:pt idx="35">
                  <c:v>15.502549999999999</c:v>
                </c:pt>
                <c:pt idx="36">
                  <c:v>15.0967</c:v>
                </c:pt>
                <c:pt idx="37">
                  <c:v>14.381679999999999</c:v>
                </c:pt>
                <c:pt idx="38">
                  <c:v>15.405860000000001</c:v>
                </c:pt>
                <c:pt idx="39">
                  <c:v>17.12087</c:v>
                </c:pt>
                <c:pt idx="40">
                  <c:v>21.835889999999999</c:v>
                </c:pt>
                <c:pt idx="41">
                  <c:v>20.811710000000001</c:v>
                </c:pt>
                <c:pt idx="42">
                  <c:v>24.096699999999998</c:v>
                </c:pt>
                <c:pt idx="43">
                  <c:v>18.405860000000001</c:v>
                </c:pt>
                <c:pt idx="44">
                  <c:v>18.096699999999998</c:v>
                </c:pt>
                <c:pt idx="45">
                  <c:v>16.763359999999999</c:v>
                </c:pt>
                <c:pt idx="46">
                  <c:v>16.4542</c:v>
                </c:pt>
                <c:pt idx="47">
                  <c:v>14.715020000000001</c:v>
                </c:pt>
                <c:pt idx="48">
                  <c:v>11.76336</c:v>
                </c:pt>
                <c:pt idx="49">
                  <c:v>11.715020000000001</c:v>
                </c:pt>
                <c:pt idx="50">
                  <c:v>11.835889999999999</c:v>
                </c:pt>
                <c:pt idx="51">
                  <c:v>13.502549999999999</c:v>
                </c:pt>
                <c:pt idx="52">
                  <c:v>15.59925</c:v>
                </c:pt>
                <c:pt idx="53">
                  <c:v>12.860060000000001</c:v>
                </c:pt>
                <c:pt idx="54">
                  <c:v>8.2659199999999995</c:v>
                </c:pt>
                <c:pt idx="55">
                  <c:v>8.2175700000000003</c:v>
                </c:pt>
                <c:pt idx="56">
                  <c:v>12.980930000000001</c:v>
                </c:pt>
                <c:pt idx="57">
                  <c:v>14.265919999999999</c:v>
                </c:pt>
                <c:pt idx="58">
                  <c:v>13.59925</c:v>
                </c:pt>
                <c:pt idx="59">
                  <c:v>9.1692199999999993</c:v>
                </c:pt>
                <c:pt idx="60">
                  <c:v>10.81171</c:v>
                </c:pt>
                <c:pt idx="61">
                  <c:v>11.81171</c:v>
                </c:pt>
                <c:pt idx="62">
                  <c:v>16.478380000000001</c:v>
                </c:pt>
                <c:pt idx="63">
                  <c:v>16.526730000000001</c:v>
                </c:pt>
                <c:pt idx="64">
                  <c:v>16.290089999999999</c:v>
                </c:pt>
                <c:pt idx="65">
                  <c:v>15.647600000000001</c:v>
                </c:pt>
                <c:pt idx="66">
                  <c:v>18.290089999999999</c:v>
                </c:pt>
                <c:pt idx="67">
                  <c:v>15.47838</c:v>
                </c:pt>
                <c:pt idx="68">
                  <c:v>13.145049999999999</c:v>
                </c:pt>
                <c:pt idx="69">
                  <c:v>8.0967000000000002</c:v>
                </c:pt>
                <c:pt idx="70">
                  <c:v>9.4783799999999996</c:v>
                </c:pt>
                <c:pt idx="71">
                  <c:v>8.4058600000000006</c:v>
                </c:pt>
                <c:pt idx="72">
                  <c:v>8.0483499999999992</c:v>
                </c:pt>
                <c:pt idx="73">
                  <c:v>7.3575100000000004</c:v>
                </c:pt>
                <c:pt idx="74">
                  <c:v>10.381679999999999</c:v>
                </c:pt>
                <c:pt idx="75">
                  <c:v>12.048349999999999</c:v>
                </c:pt>
                <c:pt idx="76">
                  <c:v>11.69084</c:v>
                </c:pt>
                <c:pt idx="77">
                  <c:v>10.33333</c:v>
                </c:pt>
                <c:pt idx="78">
                  <c:v>11.33333</c:v>
                </c:pt>
                <c:pt idx="79">
                  <c:v>11.66667</c:v>
                </c:pt>
                <c:pt idx="80">
                  <c:v>11</c:v>
                </c:pt>
                <c:pt idx="81">
                  <c:v>7</c:v>
                </c:pt>
                <c:pt idx="82">
                  <c:v>6</c:v>
                </c:pt>
                <c:pt idx="83">
                  <c:v>7.6666699999999999</c:v>
                </c:pt>
                <c:pt idx="84">
                  <c:v>11</c:v>
                </c:pt>
                <c:pt idx="85">
                  <c:v>12</c:v>
                </c:pt>
                <c:pt idx="86">
                  <c:v>11.33333</c:v>
                </c:pt>
                <c:pt idx="87">
                  <c:v>11</c:v>
                </c:pt>
                <c:pt idx="88">
                  <c:v>9.6666699999999999</c:v>
                </c:pt>
                <c:pt idx="89">
                  <c:v>8</c:v>
                </c:pt>
                <c:pt idx="90">
                  <c:v>7.3333300000000001</c:v>
                </c:pt>
                <c:pt idx="91">
                  <c:v>9</c:v>
                </c:pt>
                <c:pt idx="92">
                  <c:v>9</c:v>
                </c:pt>
                <c:pt idx="93">
                  <c:v>8.6666699999999999</c:v>
                </c:pt>
                <c:pt idx="94">
                  <c:v>7.6666699999999999</c:v>
                </c:pt>
                <c:pt idx="95">
                  <c:v>9.6666699999999999</c:v>
                </c:pt>
                <c:pt idx="96">
                  <c:v>10.66667</c:v>
                </c:pt>
                <c:pt idx="97">
                  <c:v>12</c:v>
                </c:pt>
                <c:pt idx="98">
                  <c:v>13.33333</c:v>
                </c:pt>
                <c:pt idx="99">
                  <c:v>12.33333</c:v>
                </c:pt>
                <c:pt idx="100">
                  <c:v>17</c:v>
                </c:pt>
                <c:pt idx="101">
                  <c:v>17.66667</c:v>
                </c:pt>
                <c:pt idx="102">
                  <c:v>20.66667</c:v>
                </c:pt>
                <c:pt idx="103">
                  <c:v>16.66667</c:v>
                </c:pt>
                <c:pt idx="104">
                  <c:v>13</c:v>
                </c:pt>
                <c:pt idx="105">
                  <c:v>10.33333</c:v>
                </c:pt>
                <c:pt idx="106">
                  <c:v>12.33333</c:v>
                </c:pt>
                <c:pt idx="107">
                  <c:v>13.33333</c:v>
                </c:pt>
                <c:pt idx="108">
                  <c:v>19.33333</c:v>
                </c:pt>
                <c:pt idx="109">
                  <c:v>20.33333</c:v>
                </c:pt>
                <c:pt idx="110">
                  <c:v>21.66667</c:v>
                </c:pt>
                <c:pt idx="111">
                  <c:v>18.66667</c:v>
                </c:pt>
                <c:pt idx="112">
                  <c:v>19</c:v>
                </c:pt>
                <c:pt idx="113">
                  <c:v>20</c:v>
                </c:pt>
                <c:pt idx="114">
                  <c:v>20.33333</c:v>
                </c:pt>
                <c:pt idx="115">
                  <c:v>18.66667</c:v>
                </c:pt>
                <c:pt idx="116">
                  <c:v>17.33333</c:v>
                </c:pt>
                <c:pt idx="117">
                  <c:v>19</c:v>
                </c:pt>
                <c:pt idx="118">
                  <c:v>20</c:v>
                </c:pt>
                <c:pt idx="119">
                  <c:v>22</c:v>
                </c:pt>
                <c:pt idx="120">
                  <c:v>21</c:v>
                </c:pt>
                <c:pt idx="121">
                  <c:v>23</c:v>
                </c:pt>
                <c:pt idx="122">
                  <c:v>28.66667</c:v>
                </c:pt>
                <c:pt idx="123">
                  <c:v>31</c:v>
                </c:pt>
                <c:pt idx="124">
                  <c:v>30.66667</c:v>
                </c:pt>
                <c:pt idx="125">
                  <c:v>29.66667</c:v>
                </c:pt>
                <c:pt idx="126">
                  <c:v>27.33333</c:v>
                </c:pt>
                <c:pt idx="127">
                  <c:v>26</c:v>
                </c:pt>
                <c:pt idx="128">
                  <c:v>21</c:v>
                </c:pt>
                <c:pt idx="129">
                  <c:v>22.66667</c:v>
                </c:pt>
                <c:pt idx="130">
                  <c:v>21</c:v>
                </c:pt>
                <c:pt idx="131">
                  <c:v>20</c:v>
                </c:pt>
                <c:pt idx="132">
                  <c:v>17.33333</c:v>
                </c:pt>
                <c:pt idx="133">
                  <c:v>16</c:v>
                </c:pt>
                <c:pt idx="134">
                  <c:v>20</c:v>
                </c:pt>
                <c:pt idx="135">
                  <c:v>20.66667</c:v>
                </c:pt>
                <c:pt idx="136">
                  <c:v>22.33333</c:v>
                </c:pt>
                <c:pt idx="137">
                  <c:v>20.66667</c:v>
                </c:pt>
                <c:pt idx="138">
                  <c:v>22</c:v>
                </c:pt>
                <c:pt idx="139">
                  <c:v>27</c:v>
                </c:pt>
                <c:pt idx="140">
                  <c:v>27.66667</c:v>
                </c:pt>
                <c:pt idx="141">
                  <c:v>28</c:v>
                </c:pt>
                <c:pt idx="142">
                  <c:v>24</c:v>
                </c:pt>
                <c:pt idx="143">
                  <c:v>24.66667</c:v>
                </c:pt>
                <c:pt idx="144">
                  <c:v>25.33333</c:v>
                </c:pt>
                <c:pt idx="145">
                  <c:v>29</c:v>
                </c:pt>
                <c:pt idx="146">
                  <c:v>26.33333</c:v>
                </c:pt>
                <c:pt idx="147">
                  <c:v>26.33333</c:v>
                </c:pt>
                <c:pt idx="148">
                  <c:v>22.33333</c:v>
                </c:pt>
                <c:pt idx="149">
                  <c:v>19.66667</c:v>
                </c:pt>
                <c:pt idx="150">
                  <c:v>21.66667</c:v>
                </c:pt>
                <c:pt idx="151">
                  <c:v>25</c:v>
                </c:pt>
                <c:pt idx="152">
                  <c:v>34</c:v>
                </c:pt>
                <c:pt idx="153">
                  <c:v>31.66667</c:v>
                </c:pt>
                <c:pt idx="154">
                  <c:v>32.333329999999997</c:v>
                </c:pt>
                <c:pt idx="155">
                  <c:v>32.333329999999997</c:v>
                </c:pt>
                <c:pt idx="156">
                  <c:v>35.666670000000003</c:v>
                </c:pt>
                <c:pt idx="157">
                  <c:v>37.333329999999997</c:v>
                </c:pt>
                <c:pt idx="158">
                  <c:v>35</c:v>
                </c:pt>
                <c:pt idx="159">
                  <c:v>35.333329999999997</c:v>
                </c:pt>
                <c:pt idx="160">
                  <c:v>31.66667</c:v>
                </c:pt>
                <c:pt idx="161">
                  <c:v>32.666670000000003</c:v>
                </c:pt>
                <c:pt idx="162">
                  <c:v>31</c:v>
                </c:pt>
                <c:pt idx="163">
                  <c:v>37.666670000000003</c:v>
                </c:pt>
                <c:pt idx="164">
                  <c:v>37</c:v>
                </c:pt>
                <c:pt idx="165">
                  <c:v>35.666670000000003</c:v>
                </c:pt>
                <c:pt idx="166">
                  <c:v>33.333329999999997</c:v>
                </c:pt>
                <c:pt idx="167">
                  <c:v>35</c:v>
                </c:pt>
                <c:pt idx="168">
                  <c:v>36.333329999999997</c:v>
                </c:pt>
                <c:pt idx="169">
                  <c:v>25</c:v>
                </c:pt>
                <c:pt idx="170">
                  <c:v>19.33333</c:v>
                </c:pt>
                <c:pt idx="171">
                  <c:v>19.33333</c:v>
                </c:pt>
                <c:pt idx="172">
                  <c:v>23.33333</c:v>
                </c:pt>
                <c:pt idx="173">
                  <c:v>29.33333</c:v>
                </c:pt>
                <c:pt idx="174">
                  <c:v>32</c:v>
                </c:pt>
                <c:pt idx="175">
                  <c:v>49</c:v>
                </c:pt>
                <c:pt idx="176">
                  <c:v>57.333329999999997</c:v>
                </c:pt>
                <c:pt idx="177">
                  <c:v>70.666669999999996</c:v>
                </c:pt>
                <c:pt idx="178">
                  <c:v>89.666669999999996</c:v>
                </c:pt>
                <c:pt idx="179">
                  <c:v>98.666669999999996</c:v>
                </c:pt>
                <c:pt idx="180">
                  <c:v>107.33333</c:v>
                </c:pt>
                <c:pt idx="181">
                  <c:v>106.33333</c:v>
                </c:pt>
                <c:pt idx="182">
                  <c:v>132</c:v>
                </c:pt>
                <c:pt idx="183">
                  <c:v>152.66667000000001</c:v>
                </c:pt>
                <c:pt idx="184">
                  <c:v>170.66667000000001</c:v>
                </c:pt>
                <c:pt idx="185">
                  <c:v>195</c:v>
                </c:pt>
                <c:pt idx="186">
                  <c:v>211.33332999999999</c:v>
                </c:pt>
                <c:pt idx="187">
                  <c:v>220.66667000000001</c:v>
                </c:pt>
                <c:pt idx="188">
                  <c:v>221.66667000000001</c:v>
                </c:pt>
                <c:pt idx="189">
                  <c:v>196.33332999999999</c:v>
                </c:pt>
                <c:pt idx="190">
                  <c:v>199</c:v>
                </c:pt>
                <c:pt idx="191">
                  <c:v>196.33332999999999</c:v>
                </c:pt>
                <c:pt idx="192">
                  <c:v>216.33332999999999</c:v>
                </c:pt>
                <c:pt idx="193">
                  <c:v>204.33332999999999</c:v>
                </c:pt>
                <c:pt idx="194">
                  <c:v>210.33332999999999</c:v>
                </c:pt>
                <c:pt idx="195">
                  <c:v>200.33332999999999</c:v>
                </c:pt>
                <c:pt idx="196">
                  <c:v>197.66667000000001</c:v>
                </c:pt>
                <c:pt idx="197">
                  <c:v>188</c:v>
                </c:pt>
                <c:pt idx="198">
                  <c:v>188.66667000000001</c:v>
                </c:pt>
                <c:pt idx="199">
                  <c:v>181</c:v>
                </c:pt>
                <c:pt idx="200">
                  <c:v>160</c:v>
                </c:pt>
                <c:pt idx="201">
                  <c:v>135</c:v>
                </c:pt>
                <c:pt idx="202">
                  <c:v>122</c:v>
                </c:pt>
                <c:pt idx="203">
                  <c:v>101.33333</c:v>
                </c:pt>
                <c:pt idx="204">
                  <c:v>112.33333</c:v>
                </c:pt>
                <c:pt idx="205">
                  <c:v>115.33333</c:v>
                </c:pt>
                <c:pt idx="206">
                  <c:v>164.66667000000001</c:v>
                </c:pt>
                <c:pt idx="207">
                  <c:v>183</c:v>
                </c:pt>
                <c:pt idx="208">
                  <c:v>217</c:v>
                </c:pt>
                <c:pt idx="209">
                  <c:v>214.66667000000001</c:v>
                </c:pt>
                <c:pt idx="210">
                  <c:v>247</c:v>
                </c:pt>
                <c:pt idx="211">
                  <c:v>219.33332999999999</c:v>
                </c:pt>
                <c:pt idx="212">
                  <c:v>197</c:v>
                </c:pt>
                <c:pt idx="213">
                  <c:v>179</c:v>
                </c:pt>
                <c:pt idx="214">
                  <c:v>207.33332999999999</c:v>
                </c:pt>
                <c:pt idx="215">
                  <c:v>197.33332999999999</c:v>
                </c:pt>
                <c:pt idx="216">
                  <c:v>204.66667000000001</c:v>
                </c:pt>
                <c:pt idx="217">
                  <c:v>175.33332999999999</c:v>
                </c:pt>
                <c:pt idx="218">
                  <c:v>186.33332999999999</c:v>
                </c:pt>
                <c:pt idx="219">
                  <c:v>144.33332999999999</c:v>
                </c:pt>
                <c:pt idx="220">
                  <c:v>123.33333</c:v>
                </c:pt>
                <c:pt idx="221">
                  <c:v>174</c:v>
                </c:pt>
                <c:pt idx="222">
                  <c:v>187.33332999999999</c:v>
                </c:pt>
              </c:numCache>
            </c:numRef>
          </c:val>
          <c:smooth val="0"/>
          <c:extLst>
            <c:ext xmlns:c16="http://schemas.microsoft.com/office/drawing/2014/chart" uri="{C3380CC4-5D6E-409C-BE32-E72D297353CC}">
              <c16:uniqueId val="{00000000-5C73-4B61-B348-FB2BF278B389}"/>
            </c:ext>
          </c:extLst>
        </c:ser>
        <c:ser>
          <c:idx val="2"/>
          <c:order val="1"/>
          <c:tx>
            <c:strRef>
              <c:f>'National IVI data'!$D$1</c:f>
              <c:strCache>
                <c:ptCount val="1"/>
                <c:pt idx="0">
                  <c:v>Veterinary Nurses</c:v>
                </c:pt>
              </c:strCache>
            </c:strRef>
          </c:tx>
          <c:spPr>
            <a:ln w="22225" cap="rnd">
              <a:solidFill>
                <a:srgbClr val="009D9A"/>
              </a:solidFill>
              <a:round/>
            </a:ln>
            <a:effectLst/>
          </c:spPr>
          <c:marker>
            <c:symbol val="none"/>
          </c:marker>
          <c:cat>
            <c:numRef>
              <c:f>'National IVI data'!$A$2:$A$224</c:f>
              <c:numCache>
                <c:formatCode>mmm\-yy</c:formatCode>
                <c:ptCount val="223"/>
                <c:pt idx="0">
                  <c:v>38777</c:v>
                </c:pt>
                <c:pt idx="1">
                  <c:v>38808</c:v>
                </c:pt>
                <c:pt idx="2">
                  <c:v>38838</c:v>
                </c:pt>
                <c:pt idx="3">
                  <c:v>38869</c:v>
                </c:pt>
                <c:pt idx="4">
                  <c:v>38899</c:v>
                </c:pt>
                <c:pt idx="5">
                  <c:v>38930</c:v>
                </c:pt>
                <c:pt idx="6">
                  <c:v>38961</c:v>
                </c:pt>
                <c:pt idx="7">
                  <c:v>38991</c:v>
                </c:pt>
                <c:pt idx="8">
                  <c:v>39022</c:v>
                </c:pt>
                <c:pt idx="9">
                  <c:v>39052</c:v>
                </c:pt>
                <c:pt idx="10">
                  <c:v>39083</c:v>
                </c:pt>
                <c:pt idx="11">
                  <c:v>39114</c:v>
                </c:pt>
                <c:pt idx="12">
                  <c:v>39142</c:v>
                </c:pt>
                <c:pt idx="13">
                  <c:v>39173</c:v>
                </c:pt>
                <c:pt idx="14">
                  <c:v>39203</c:v>
                </c:pt>
                <c:pt idx="15">
                  <c:v>39234</c:v>
                </c:pt>
                <c:pt idx="16">
                  <c:v>39264</c:v>
                </c:pt>
                <c:pt idx="17">
                  <c:v>39295</c:v>
                </c:pt>
                <c:pt idx="18">
                  <c:v>39326</c:v>
                </c:pt>
                <c:pt idx="19">
                  <c:v>39356</c:v>
                </c:pt>
                <c:pt idx="20">
                  <c:v>39387</c:v>
                </c:pt>
                <c:pt idx="21">
                  <c:v>39417</c:v>
                </c:pt>
                <c:pt idx="22">
                  <c:v>39448</c:v>
                </c:pt>
                <c:pt idx="23">
                  <c:v>39479</c:v>
                </c:pt>
                <c:pt idx="24">
                  <c:v>39508</c:v>
                </c:pt>
                <c:pt idx="25">
                  <c:v>39539</c:v>
                </c:pt>
                <c:pt idx="26">
                  <c:v>39569</c:v>
                </c:pt>
                <c:pt idx="27">
                  <c:v>39600</c:v>
                </c:pt>
                <c:pt idx="28">
                  <c:v>39630</c:v>
                </c:pt>
                <c:pt idx="29">
                  <c:v>39661</c:v>
                </c:pt>
                <c:pt idx="30">
                  <c:v>39692</c:v>
                </c:pt>
                <c:pt idx="31">
                  <c:v>39722</c:v>
                </c:pt>
                <c:pt idx="32">
                  <c:v>39753</c:v>
                </c:pt>
                <c:pt idx="33">
                  <c:v>39783</c:v>
                </c:pt>
                <c:pt idx="34">
                  <c:v>39814</c:v>
                </c:pt>
                <c:pt idx="35">
                  <c:v>39845</c:v>
                </c:pt>
                <c:pt idx="36">
                  <c:v>39873</c:v>
                </c:pt>
                <c:pt idx="37">
                  <c:v>39904</c:v>
                </c:pt>
                <c:pt idx="38">
                  <c:v>39934</c:v>
                </c:pt>
                <c:pt idx="39">
                  <c:v>39965</c:v>
                </c:pt>
                <c:pt idx="40">
                  <c:v>39995</c:v>
                </c:pt>
                <c:pt idx="41">
                  <c:v>40026</c:v>
                </c:pt>
                <c:pt idx="42">
                  <c:v>40057</c:v>
                </c:pt>
                <c:pt idx="43">
                  <c:v>40087</c:v>
                </c:pt>
                <c:pt idx="44">
                  <c:v>40118</c:v>
                </c:pt>
                <c:pt idx="45">
                  <c:v>40148</c:v>
                </c:pt>
                <c:pt idx="46">
                  <c:v>40179</c:v>
                </c:pt>
                <c:pt idx="47">
                  <c:v>40210</c:v>
                </c:pt>
                <c:pt idx="48">
                  <c:v>40238</c:v>
                </c:pt>
                <c:pt idx="49">
                  <c:v>40269</c:v>
                </c:pt>
                <c:pt idx="50">
                  <c:v>40299</c:v>
                </c:pt>
                <c:pt idx="51">
                  <c:v>40330</c:v>
                </c:pt>
                <c:pt idx="52">
                  <c:v>40360</c:v>
                </c:pt>
                <c:pt idx="53">
                  <c:v>40391</c:v>
                </c:pt>
                <c:pt idx="54">
                  <c:v>40422</c:v>
                </c:pt>
                <c:pt idx="55">
                  <c:v>40452</c:v>
                </c:pt>
                <c:pt idx="56">
                  <c:v>40483</c:v>
                </c:pt>
                <c:pt idx="57">
                  <c:v>40513</c:v>
                </c:pt>
                <c:pt idx="58">
                  <c:v>40544</c:v>
                </c:pt>
                <c:pt idx="59">
                  <c:v>40575</c:v>
                </c:pt>
                <c:pt idx="60">
                  <c:v>40603</c:v>
                </c:pt>
                <c:pt idx="61">
                  <c:v>40634</c:v>
                </c:pt>
                <c:pt idx="62">
                  <c:v>40664</c:v>
                </c:pt>
                <c:pt idx="63">
                  <c:v>40695</c:v>
                </c:pt>
                <c:pt idx="64">
                  <c:v>40725</c:v>
                </c:pt>
                <c:pt idx="65">
                  <c:v>40756</c:v>
                </c:pt>
                <c:pt idx="66">
                  <c:v>40787</c:v>
                </c:pt>
                <c:pt idx="67">
                  <c:v>40817</c:v>
                </c:pt>
                <c:pt idx="68">
                  <c:v>40848</c:v>
                </c:pt>
                <c:pt idx="69">
                  <c:v>40878</c:v>
                </c:pt>
                <c:pt idx="70">
                  <c:v>40909</c:v>
                </c:pt>
                <c:pt idx="71">
                  <c:v>40940</c:v>
                </c:pt>
                <c:pt idx="72">
                  <c:v>40969</c:v>
                </c:pt>
                <c:pt idx="73">
                  <c:v>41000</c:v>
                </c:pt>
                <c:pt idx="74">
                  <c:v>41030</c:v>
                </c:pt>
                <c:pt idx="75">
                  <c:v>41061</c:v>
                </c:pt>
                <c:pt idx="76">
                  <c:v>41091</c:v>
                </c:pt>
                <c:pt idx="77">
                  <c:v>41122</c:v>
                </c:pt>
                <c:pt idx="78">
                  <c:v>41153</c:v>
                </c:pt>
                <c:pt idx="79">
                  <c:v>41183</c:v>
                </c:pt>
                <c:pt idx="80">
                  <c:v>41214</c:v>
                </c:pt>
                <c:pt idx="81">
                  <c:v>41244</c:v>
                </c:pt>
                <c:pt idx="82">
                  <c:v>41275</c:v>
                </c:pt>
                <c:pt idx="83">
                  <c:v>41306</c:v>
                </c:pt>
                <c:pt idx="84">
                  <c:v>41334</c:v>
                </c:pt>
                <c:pt idx="85">
                  <c:v>41365</c:v>
                </c:pt>
                <c:pt idx="86">
                  <c:v>41395</c:v>
                </c:pt>
                <c:pt idx="87">
                  <c:v>41426</c:v>
                </c:pt>
                <c:pt idx="88">
                  <c:v>41456</c:v>
                </c:pt>
                <c:pt idx="89">
                  <c:v>41487</c:v>
                </c:pt>
                <c:pt idx="90">
                  <c:v>41518</c:v>
                </c:pt>
                <c:pt idx="91">
                  <c:v>41548</c:v>
                </c:pt>
                <c:pt idx="92">
                  <c:v>41579</c:v>
                </c:pt>
                <c:pt idx="93">
                  <c:v>41609</c:v>
                </c:pt>
                <c:pt idx="94">
                  <c:v>41640</c:v>
                </c:pt>
                <c:pt idx="95">
                  <c:v>41671</c:v>
                </c:pt>
                <c:pt idx="96">
                  <c:v>41699</c:v>
                </c:pt>
                <c:pt idx="97">
                  <c:v>41730</c:v>
                </c:pt>
                <c:pt idx="98">
                  <c:v>41760</c:v>
                </c:pt>
                <c:pt idx="99">
                  <c:v>41791</c:v>
                </c:pt>
                <c:pt idx="100">
                  <c:v>41821</c:v>
                </c:pt>
                <c:pt idx="101">
                  <c:v>41852</c:v>
                </c:pt>
                <c:pt idx="102">
                  <c:v>41883</c:v>
                </c:pt>
                <c:pt idx="103">
                  <c:v>41913</c:v>
                </c:pt>
                <c:pt idx="104">
                  <c:v>41944</c:v>
                </c:pt>
                <c:pt idx="105">
                  <c:v>41974</c:v>
                </c:pt>
                <c:pt idx="106">
                  <c:v>42005</c:v>
                </c:pt>
                <c:pt idx="107">
                  <c:v>42036</c:v>
                </c:pt>
                <c:pt idx="108">
                  <c:v>42064</c:v>
                </c:pt>
                <c:pt idx="109">
                  <c:v>42095</c:v>
                </c:pt>
                <c:pt idx="110">
                  <c:v>42125</c:v>
                </c:pt>
                <c:pt idx="111">
                  <c:v>42156</c:v>
                </c:pt>
                <c:pt idx="112">
                  <c:v>42186</c:v>
                </c:pt>
                <c:pt idx="113">
                  <c:v>42217</c:v>
                </c:pt>
                <c:pt idx="114">
                  <c:v>42248</c:v>
                </c:pt>
                <c:pt idx="115">
                  <c:v>42278</c:v>
                </c:pt>
                <c:pt idx="116">
                  <c:v>42309</c:v>
                </c:pt>
                <c:pt idx="117">
                  <c:v>42339</c:v>
                </c:pt>
                <c:pt idx="118">
                  <c:v>42370</c:v>
                </c:pt>
                <c:pt idx="119">
                  <c:v>42401</c:v>
                </c:pt>
                <c:pt idx="120">
                  <c:v>42430</c:v>
                </c:pt>
                <c:pt idx="121">
                  <c:v>42461</c:v>
                </c:pt>
                <c:pt idx="122">
                  <c:v>42491</c:v>
                </c:pt>
                <c:pt idx="123">
                  <c:v>42522</c:v>
                </c:pt>
                <c:pt idx="124">
                  <c:v>42552</c:v>
                </c:pt>
                <c:pt idx="125">
                  <c:v>42583</c:v>
                </c:pt>
                <c:pt idx="126">
                  <c:v>42614</c:v>
                </c:pt>
                <c:pt idx="127">
                  <c:v>42644</c:v>
                </c:pt>
                <c:pt idx="128">
                  <c:v>42675</c:v>
                </c:pt>
                <c:pt idx="129">
                  <c:v>42705</c:v>
                </c:pt>
                <c:pt idx="130">
                  <c:v>42736</c:v>
                </c:pt>
                <c:pt idx="131">
                  <c:v>42767</c:v>
                </c:pt>
                <c:pt idx="132">
                  <c:v>42795</c:v>
                </c:pt>
                <c:pt idx="133">
                  <c:v>42826</c:v>
                </c:pt>
                <c:pt idx="134">
                  <c:v>42856</c:v>
                </c:pt>
                <c:pt idx="135">
                  <c:v>42887</c:v>
                </c:pt>
                <c:pt idx="136">
                  <c:v>42917</c:v>
                </c:pt>
                <c:pt idx="137">
                  <c:v>42948</c:v>
                </c:pt>
                <c:pt idx="138">
                  <c:v>42979</c:v>
                </c:pt>
                <c:pt idx="139">
                  <c:v>43009</c:v>
                </c:pt>
                <c:pt idx="140">
                  <c:v>43040</c:v>
                </c:pt>
                <c:pt idx="141">
                  <c:v>43070</c:v>
                </c:pt>
                <c:pt idx="142">
                  <c:v>43101</c:v>
                </c:pt>
                <c:pt idx="143">
                  <c:v>43132</c:v>
                </c:pt>
                <c:pt idx="144">
                  <c:v>43160</c:v>
                </c:pt>
                <c:pt idx="145">
                  <c:v>43191</c:v>
                </c:pt>
                <c:pt idx="146">
                  <c:v>43221</c:v>
                </c:pt>
                <c:pt idx="147">
                  <c:v>43252</c:v>
                </c:pt>
                <c:pt idx="148">
                  <c:v>43282</c:v>
                </c:pt>
                <c:pt idx="149">
                  <c:v>43313</c:v>
                </c:pt>
                <c:pt idx="150">
                  <c:v>43344</c:v>
                </c:pt>
                <c:pt idx="151">
                  <c:v>43374</c:v>
                </c:pt>
                <c:pt idx="152">
                  <c:v>43405</c:v>
                </c:pt>
                <c:pt idx="153">
                  <c:v>43435</c:v>
                </c:pt>
                <c:pt idx="154">
                  <c:v>43466</c:v>
                </c:pt>
                <c:pt idx="155">
                  <c:v>43497</c:v>
                </c:pt>
                <c:pt idx="156">
                  <c:v>43525</c:v>
                </c:pt>
                <c:pt idx="157">
                  <c:v>43556</c:v>
                </c:pt>
                <c:pt idx="158">
                  <c:v>43586</c:v>
                </c:pt>
                <c:pt idx="159">
                  <c:v>43617</c:v>
                </c:pt>
                <c:pt idx="160">
                  <c:v>43647</c:v>
                </c:pt>
                <c:pt idx="161">
                  <c:v>43678</c:v>
                </c:pt>
                <c:pt idx="162">
                  <c:v>43709</c:v>
                </c:pt>
                <c:pt idx="163">
                  <c:v>43739</c:v>
                </c:pt>
                <c:pt idx="164">
                  <c:v>43770</c:v>
                </c:pt>
                <c:pt idx="165">
                  <c:v>43800</c:v>
                </c:pt>
                <c:pt idx="166">
                  <c:v>43831</c:v>
                </c:pt>
                <c:pt idx="167">
                  <c:v>43862</c:v>
                </c:pt>
                <c:pt idx="168">
                  <c:v>43891</c:v>
                </c:pt>
                <c:pt idx="169">
                  <c:v>43922</c:v>
                </c:pt>
                <c:pt idx="170">
                  <c:v>43952</c:v>
                </c:pt>
                <c:pt idx="171">
                  <c:v>43983</c:v>
                </c:pt>
                <c:pt idx="172">
                  <c:v>44013</c:v>
                </c:pt>
                <c:pt idx="173">
                  <c:v>44044</c:v>
                </c:pt>
                <c:pt idx="174">
                  <c:v>44075</c:v>
                </c:pt>
                <c:pt idx="175">
                  <c:v>44105</c:v>
                </c:pt>
                <c:pt idx="176">
                  <c:v>44136</c:v>
                </c:pt>
                <c:pt idx="177">
                  <c:v>44166</c:v>
                </c:pt>
                <c:pt idx="178">
                  <c:v>44197</c:v>
                </c:pt>
                <c:pt idx="179">
                  <c:v>44228</c:v>
                </c:pt>
                <c:pt idx="180">
                  <c:v>44256</c:v>
                </c:pt>
                <c:pt idx="181">
                  <c:v>44287</c:v>
                </c:pt>
                <c:pt idx="182">
                  <c:v>44317</c:v>
                </c:pt>
                <c:pt idx="183">
                  <c:v>44348</c:v>
                </c:pt>
                <c:pt idx="184">
                  <c:v>44378</c:v>
                </c:pt>
                <c:pt idx="185">
                  <c:v>44409</c:v>
                </c:pt>
                <c:pt idx="186">
                  <c:v>44440</c:v>
                </c:pt>
                <c:pt idx="187">
                  <c:v>44470</c:v>
                </c:pt>
                <c:pt idx="188">
                  <c:v>44501</c:v>
                </c:pt>
                <c:pt idx="189">
                  <c:v>44531</c:v>
                </c:pt>
                <c:pt idx="190">
                  <c:v>44562</c:v>
                </c:pt>
                <c:pt idx="191">
                  <c:v>44593</c:v>
                </c:pt>
                <c:pt idx="192">
                  <c:v>44621</c:v>
                </c:pt>
                <c:pt idx="193">
                  <c:v>44652</c:v>
                </c:pt>
                <c:pt idx="194">
                  <c:v>44682</c:v>
                </c:pt>
                <c:pt idx="195">
                  <c:v>44713</c:v>
                </c:pt>
                <c:pt idx="196">
                  <c:v>44743</c:v>
                </c:pt>
                <c:pt idx="197">
                  <c:v>44774</c:v>
                </c:pt>
                <c:pt idx="198">
                  <c:v>44805</c:v>
                </c:pt>
                <c:pt idx="199">
                  <c:v>44835</c:v>
                </c:pt>
                <c:pt idx="200">
                  <c:v>44866</c:v>
                </c:pt>
                <c:pt idx="201">
                  <c:v>44896</c:v>
                </c:pt>
                <c:pt idx="202">
                  <c:v>44927</c:v>
                </c:pt>
                <c:pt idx="203">
                  <c:v>44958</c:v>
                </c:pt>
                <c:pt idx="204">
                  <c:v>44986</c:v>
                </c:pt>
                <c:pt idx="205">
                  <c:v>45017</c:v>
                </c:pt>
                <c:pt idx="206">
                  <c:v>45047</c:v>
                </c:pt>
                <c:pt idx="207">
                  <c:v>45078</c:v>
                </c:pt>
                <c:pt idx="208">
                  <c:v>45108</c:v>
                </c:pt>
                <c:pt idx="209">
                  <c:v>45139</c:v>
                </c:pt>
                <c:pt idx="210">
                  <c:v>45170</c:v>
                </c:pt>
                <c:pt idx="211">
                  <c:v>45200</c:v>
                </c:pt>
                <c:pt idx="212">
                  <c:v>45231</c:v>
                </c:pt>
                <c:pt idx="213">
                  <c:v>45261</c:v>
                </c:pt>
                <c:pt idx="214">
                  <c:v>45292</c:v>
                </c:pt>
                <c:pt idx="215">
                  <c:v>45323</c:v>
                </c:pt>
                <c:pt idx="216">
                  <c:v>45352</c:v>
                </c:pt>
                <c:pt idx="217">
                  <c:v>45383</c:v>
                </c:pt>
                <c:pt idx="218">
                  <c:v>45413</c:v>
                </c:pt>
                <c:pt idx="219">
                  <c:v>45444</c:v>
                </c:pt>
                <c:pt idx="220">
                  <c:v>45474</c:v>
                </c:pt>
                <c:pt idx="221">
                  <c:v>45505</c:v>
                </c:pt>
                <c:pt idx="222">
                  <c:v>45536</c:v>
                </c:pt>
              </c:numCache>
            </c:numRef>
          </c:cat>
          <c:val>
            <c:numRef>
              <c:f>'National IVI data'!$D$2:$D$224</c:f>
              <c:numCache>
                <c:formatCode>General</c:formatCode>
                <c:ptCount val="223"/>
                <c:pt idx="0">
                  <c:v>36.744300000000003</c:v>
                </c:pt>
                <c:pt idx="1">
                  <c:v>34.507660000000001</c:v>
                </c:pt>
                <c:pt idx="2">
                  <c:v>35.222679999999997</c:v>
                </c:pt>
                <c:pt idx="3">
                  <c:v>38.319369999999999</c:v>
                </c:pt>
                <c:pt idx="4">
                  <c:v>36.580179999999999</c:v>
                </c:pt>
                <c:pt idx="5">
                  <c:v>40.246850000000002</c:v>
                </c:pt>
                <c:pt idx="6">
                  <c:v>38.010210000000001</c:v>
                </c:pt>
                <c:pt idx="7">
                  <c:v>47.797750000000001</c:v>
                </c:pt>
                <c:pt idx="8">
                  <c:v>45.701059999999998</c:v>
                </c:pt>
                <c:pt idx="9">
                  <c:v>41.865169999999999</c:v>
                </c:pt>
                <c:pt idx="10">
                  <c:v>36.410960000000003</c:v>
                </c:pt>
                <c:pt idx="11">
                  <c:v>36.671770000000002</c:v>
                </c:pt>
                <c:pt idx="12">
                  <c:v>46.386789999999998</c:v>
                </c:pt>
                <c:pt idx="13">
                  <c:v>48.101799999999997</c:v>
                </c:pt>
                <c:pt idx="14">
                  <c:v>55.628529999999998</c:v>
                </c:pt>
                <c:pt idx="15">
                  <c:v>51.580179999999999</c:v>
                </c:pt>
                <c:pt idx="16">
                  <c:v>49.889339999999997</c:v>
                </c:pt>
                <c:pt idx="17">
                  <c:v>42.053460000000001</c:v>
                </c:pt>
                <c:pt idx="18">
                  <c:v>43.386789999999998</c:v>
                </c:pt>
                <c:pt idx="19">
                  <c:v>45.125979999999998</c:v>
                </c:pt>
                <c:pt idx="20">
                  <c:v>43.435139999999997</c:v>
                </c:pt>
                <c:pt idx="21">
                  <c:v>38.053460000000001</c:v>
                </c:pt>
                <c:pt idx="22">
                  <c:v>37.932580000000002</c:v>
                </c:pt>
                <c:pt idx="23">
                  <c:v>40.792650000000002</c:v>
                </c:pt>
                <c:pt idx="24">
                  <c:v>46.937690000000003</c:v>
                </c:pt>
                <c:pt idx="25">
                  <c:v>43.773580000000003</c:v>
                </c:pt>
                <c:pt idx="26">
                  <c:v>41.512770000000003</c:v>
                </c:pt>
                <c:pt idx="27">
                  <c:v>37.155259999999998</c:v>
                </c:pt>
                <c:pt idx="28">
                  <c:v>37.701059999999998</c:v>
                </c:pt>
                <c:pt idx="29">
                  <c:v>38.319369999999999</c:v>
                </c:pt>
                <c:pt idx="30">
                  <c:v>41.488590000000002</c:v>
                </c:pt>
                <c:pt idx="31">
                  <c:v>44.155259999999998</c:v>
                </c:pt>
                <c:pt idx="32">
                  <c:v>42.749400000000001</c:v>
                </c:pt>
                <c:pt idx="33">
                  <c:v>37.507660000000001</c:v>
                </c:pt>
                <c:pt idx="34">
                  <c:v>35.222679999999997</c:v>
                </c:pt>
                <c:pt idx="35">
                  <c:v>35.865169999999999</c:v>
                </c:pt>
                <c:pt idx="36">
                  <c:v>35.150149999999996</c:v>
                </c:pt>
                <c:pt idx="37">
                  <c:v>31.053460000000001</c:v>
                </c:pt>
                <c:pt idx="38">
                  <c:v>23.647600000000001</c:v>
                </c:pt>
                <c:pt idx="39">
                  <c:v>26.077629999999999</c:v>
                </c:pt>
                <c:pt idx="40">
                  <c:v>23.671769999999999</c:v>
                </c:pt>
                <c:pt idx="41">
                  <c:v>24.744299999999999</c:v>
                </c:pt>
                <c:pt idx="42">
                  <c:v>21.69595</c:v>
                </c:pt>
                <c:pt idx="43">
                  <c:v>25.22268</c:v>
                </c:pt>
                <c:pt idx="44">
                  <c:v>27.459309999999999</c:v>
                </c:pt>
                <c:pt idx="45">
                  <c:v>26.410959999999999</c:v>
                </c:pt>
                <c:pt idx="46">
                  <c:v>24.338439999999999</c:v>
                </c:pt>
                <c:pt idx="47">
                  <c:v>25.768470000000001</c:v>
                </c:pt>
                <c:pt idx="48">
                  <c:v>27.174330000000001</c:v>
                </c:pt>
                <c:pt idx="49">
                  <c:v>27.768470000000001</c:v>
                </c:pt>
                <c:pt idx="50">
                  <c:v>29.02928</c:v>
                </c:pt>
                <c:pt idx="51">
                  <c:v>28.435140000000001</c:v>
                </c:pt>
                <c:pt idx="52">
                  <c:v>26.913519999999998</c:v>
                </c:pt>
                <c:pt idx="53">
                  <c:v>22.556010000000001</c:v>
                </c:pt>
                <c:pt idx="54">
                  <c:v>22.913519999999998</c:v>
                </c:pt>
                <c:pt idx="55">
                  <c:v>25.319369999999999</c:v>
                </c:pt>
                <c:pt idx="56">
                  <c:v>26.34355</c:v>
                </c:pt>
                <c:pt idx="57">
                  <c:v>25.865169999999999</c:v>
                </c:pt>
                <c:pt idx="58">
                  <c:v>27.69595</c:v>
                </c:pt>
                <c:pt idx="59">
                  <c:v>30.744299999999999</c:v>
                </c:pt>
                <c:pt idx="60">
                  <c:v>31.36261</c:v>
                </c:pt>
                <c:pt idx="61">
                  <c:v>27.36261</c:v>
                </c:pt>
                <c:pt idx="62">
                  <c:v>25.980930000000001</c:v>
                </c:pt>
                <c:pt idx="63">
                  <c:v>30.386790000000001</c:v>
                </c:pt>
                <c:pt idx="64">
                  <c:v>29.647600000000001</c:v>
                </c:pt>
                <c:pt idx="65">
                  <c:v>26.90841</c:v>
                </c:pt>
                <c:pt idx="66">
                  <c:v>23.623429999999999</c:v>
                </c:pt>
                <c:pt idx="67">
                  <c:v>26.290089999999999</c:v>
                </c:pt>
                <c:pt idx="68">
                  <c:v>32.005110000000002</c:v>
                </c:pt>
                <c:pt idx="69">
                  <c:v>28.90841</c:v>
                </c:pt>
                <c:pt idx="70">
                  <c:v>26.502549999999999</c:v>
                </c:pt>
                <c:pt idx="71">
                  <c:v>21.860060000000001</c:v>
                </c:pt>
                <c:pt idx="72">
                  <c:v>21.193390000000001</c:v>
                </c:pt>
                <c:pt idx="73">
                  <c:v>22.24174</c:v>
                </c:pt>
                <c:pt idx="74">
                  <c:v>21.932580000000002</c:v>
                </c:pt>
                <c:pt idx="75">
                  <c:v>21.884239999999998</c:v>
                </c:pt>
                <c:pt idx="76">
                  <c:v>18.169219999999999</c:v>
                </c:pt>
                <c:pt idx="77">
                  <c:v>16.66667</c:v>
                </c:pt>
                <c:pt idx="78">
                  <c:v>19</c:v>
                </c:pt>
                <c:pt idx="79">
                  <c:v>24</c:v>
                </c:pt>
                <c:pt idx="80">
                  <c:v>23.66667</c:v>
                </c:pt>
                <c:pt idx="81">
                  <c:v>19</c:v>
                </c:pt>
                <c:pt idx="82">
                  <c:v>16.66667</c:v>
                </c:pt>
                <c:pt idx="83">
                  <c:v>18</c:v>
                </c:pt>
                <c:pt idx="84">
                  <c:v>22</c:v>
                </c:pt>
                <c:pt idx="85">
                  <c:v>20.33333</c:v>
                </c:pt>
                <c:pt idx="86">
                  <c:v>19.33333</c:v>
                </c:pt>
                <c:pt idx="87">
                  <c:v>17.33333</c:v>
                </c:pt>
                <c:pt idx="88">
                  <c:v>17.33333</c:v>
                </c:pt>
                <c:pt idx="89">
                  <c:v>17.66667</c:v>
                </c:pt>
                <c:pt idx="90">
                  <c:v>16.66667</c:v>
                </c:pt>
                <c:pt idx="91">
                  <c:v>17.33333</c:v>
                </c:pt>
                <c:pt idx="92">
                  <c:v>17.33333</c:v>
                </c:pt>
                <c:pt idx="93">
                  <c:v>16.33333</c:v>
                </c:pt>
                <c:pt idx="94">
                  <c:v>16.66667</c:v>
                </c:pt>
                <c:pt idx="95">
                  <c:v>15.33333</c:v>
                </c:pt>
                <c:pt idx="96">
                  <c:v>16.33333</c:v>
                </c:pt>
                <c:pt idx="97">
                  <c:v>15.33333</c:v>
                </c:pt>
                <c:pt idx="98">
                  <c:v>15.66667</c:v>
                </c:pt>
                <c:pt idx="99">
                  <c:v>16.66667</c:v>
                </c:pt>
                <c:pt idx="100">
                  <c:v>15.33333</c:v>
                </c:pt>
                <c:pt idx="101">
                  <c:v>14</c:v>
                </c:pt>
                <c:pt idx="102">
                  <c:v>18</c:v>
                </c:pt>
                <c:pt idx="103">
                  <c:v>20</c:v>
                </c:pt>
                <c:pt idx="104">
                  <c:v>22.33333</c:v>
                </c:pt>
                <c:pt idx="105">
                  <c:v>16.66667</c:v>
                </c:pt>
                <c:pt idx="106">
                  <c:v>17</c:v>
                </c:pt>
                <c:pt idx="107">
                  <c:v>17</c:v>
                </c:pt>
                <c:pt idx="108">
                  <c:v>20</c:v>
                </c:pt>
                <c:pt idx="109">
                  <c:v>18</c:v>
                </c:pt>
                <c:pt idx="110">
                  <c:v>17.33333</c:v>
                </c:pt>
                <c:pt idx="111">
                  <c:v>17</c:v>
                </c:pt>
                <c:pt idx="112">
                  <c:v>18.66667</c:v>
                </c:pt>
                <c:pt idx="113">
                  <c:v>16.33333</c:v>
                </c:pt>
                <c:pt idx="114">
                  <c:v>17.33333</c:v>
                </c:pt>
                <c:pt idx="115">
                  <c:v>15</c:v>
                </c:pt>
                <c:pt idx="116">
                  <c:v>16</c:v>
                </c:pt>
                <c:pt idx="117">
                  <c:v>16.33333</c:v>
                </c:pt>
                <c:pt idx="118">
                  <c:v>19.33333</c:v>
                </c:pt>
                <c:pt idx="119">
                  <c:v>21.66667</c:v>
                </c:pt>
                <c:pt idx="120">
                  <c:v>23</c:v>
                </c:pt>
                <c:pt idx="121">
                  <c:v>22.33333</c:v>
                </c:pt>
                <c:pt idx="122">
                  <c:v>22.66667</c:v>
                </c:pt>
                <c:pt idx="123">
                  <c:v>20.66667</c:v>
                </c:pt>
                <c:pt idx="124">
                  <c:v>23.33333</c:v>
                </c:pt>
                <c:pt idx="125">
                  <c:v>25.33333</c:v>
                </c:pt>
                <c:pt idx="126">
                  <c:v>26.66667</c:v>
                </c:pt>
                <c:pt idx="127">
                  <c:v>23.66667</c:v>
                </c:pt>
                <c:pt idx="128">
                  <c:v>22.33333</c:v>
                </c:pt>
                <c:pt idx="129">
                  <c:v>18.33333</c:v>
                </c:pt>
                <c:pt idx="130">
                  <c:v>21</c:v>
                </c:pt>
                <c:pt idx="131">
                  <c:v>19.66667</c:v>
                </c:pt>
                <c:pt idx="132">
                  <c:v>22.66667</c:v>
                </c:pt>
                <c:pt idx="133">
                  <c:v>21.66667</c:v>
                </c:pt>
                <c:pt idx="134">
                  <c:v>25.66667</c:v>
                </c:pt>
                <c:pt idx="135">
                  <c:v>28.66667</c:v>
                </c:pt>
                <c:pt idx="136">
                  <c:v>28.66667</c:v>
                </c:pt>
                <c:pt idx="137">
                  <c:v>27</c:v>
                </c:pt>
                <c:pt idx="138">
                  <c:v>26.33333</c:v>
                </c:pt>
                <c:pt idx="139">
                  <c:v>28</c:v>
                </c:pt>
                <c:pt idx="140">
                  <c:v>24.66667</c:v>
                </c:pt>
                <c:pt idx="141">
                  <c:v>21.66667</c:v>
                </c:pt>
                <c:pt idx="142">
                  <c:v>25.33333</c:v>
                </c:pt>
                <c:pt idx="143">
                  <c:v>27</c:v>
                </c:pt>
                <c:pt idx="144">
                  <c:v>29.66667</c:v>
                </c:pt>
                <c:pt idx="145">
                  <c:v>25</c:v>
                </c:pt>
                <c:pt idx="146">
                  <c:v>24.33333</c:v>
                </c:pt>
                <c:pt idx="147">
                  <c:v>25</c:v>
                </c:pt>
                <c:pt idx="148">
                  <c:v>24.33333</c:v>
                </c:pt>
                <c:pt idx="149">
                  <c:v>25</c:v>
                </c:pt>
                <c:pt idx="150">
                  <c:v>24.33333</c:v>
                </c:pt>
                <c:pt idx="151">
                  <c:v>24.33333</c:v>
                </c:pt>
                <c:pt idx="152">
                  <c:v>25.66667</c:v>
                </c:pt>
                <c:pt idx="153">
                  <c:v>25</c:v>
                </c:pt>
                <c:pt idx="154">
                  <c:v>28.66667</c:v>
                </c:pt>
                <c:pt idx="155">
                  <c:v>27.66667</c:v>
                </c:pt>
                <c:pt idx="156">
                  <c:v>31</c:v>
                </c:pt>
                <c:pt idx="157">
                  <c:v>28</c:v>
                </c:pt>
                <c:pt idx="158">
                  <c:v>29.33333</c:v>
                </c:pt>
                <c:pt idx="159">
                  <c:v>27</c:v>
                </c:pt>
                <c:pt idx="160">
                  <c:v>26.33333</c:v>
                </c:pt>
                <c:pt idx="161">
                  <c:v>25.33333</c:v>
                </c:pt>
                <c:pt idx="162">
                  <c:v>28.33333</c:v>
                </c:pt>
                <c:pt idx="163">
                  <c:v>29.66667</c:v>
                </c:pt>
                <c:pt idx="164">
                  <c:v>28.66667</c:v>
                </c:pt>
                <c:pt idx="165">
                  <c:v>22</c:v>
                </c:pt>
                <c:pt idx="166">
                  <c:v>26.66667</c:v>
                </c:pt>
                <c:pt idx="167">
                  <c:v>29</c:v>
                </c:pt>
                <c:pt idx="168">
                  <c:v>30.33333</c:v>
                </c:pt>
                <c:pt idx="169">
                  <c:v>20.66667</c:v>
                </c:pt>
                <c:pt idx="170">
                  <c:v>17.33333</c:v>
                </c:pt>
                <c:pt idx="171">
                  <c:v>24</c:v>
                </c:pt>
                <c:pt idx="172">
                  <c:v>32.333329999999997</c:v>
                </c:pt>
                <c:pt idx="173">
                  <c:v>41</c:v>
                </c:pt>
                <c:pt idx="174">
                  <c:v>45.666670000000003</c:v>
                </c:pt>
                <c:pt idx="175">
                  <c:v>52</c:v>
                </c:pt>
                <c:pt idx="176">
                  <c:v>55.666670000000003</c:v>
                </c:pt>
                <c:pt idx="177">
                  <c:v>53.666670000000003</c:v>
                </c:pt>
                <c:pt idx="178">
                  <c:v>61</c:v>
                </c:pt>
                <c:pt idx="179">
                  <c:v>68.666669999999996</c:v>
                </c:pt>
                <c:pt idx="180">
                  <c:v>88</c:v>
                </c:pt>
                <c:pt idx="181">
                  <c:v>93.666669999999996</c:v>
                </c:pt>
                <c:pt idx="182">
                  <c:v>99</c:v>
                </c:pt>
                <c:pt idx="183">
                  <c:v>91</c:v>
                </c:pt>
                <c:pt idx="184">
                  <c:v>91.333330000000004</c:v>
                </c:pt>
                <c:pt idx="185">
                  <c:v>101</c:v>
                </c:pt>
                <c:pt idx="186">
                  <c:v>107.33333</c:v>
                </c:pt>
                <c:pt idx="187">
                  <c:v>112</c:v>
                </c:pt>
                <c:pt idx="188">
                  <c:v>107</c:v>
                </c:pt>
                <c:pt idx="189">
                  <c:v>107.66667</c:v>
                </c:pt>
                <c:pt idx="190">
                  <c:v>111.33333</c:v>
                </c:pt>
                <c:pt idx="191">
                  <c:v>113.66667</c:v>
                </c:pt>
                <c:pt idx="192">
                  <c:v>127.66667</c:v>
                </c:pt>
                <c:pt idx="193">
                  <c:v>116</c:v>
                </c:pt>
                <c:pt idx="194">
                  <c:v>123</c:v>
                </c:pt>
                <c:pt idx="195">
                  <c:v>110.66667</c:v>
                </c:pt>
                <c:pt idx="196">
                  <c:v>113.33333</c:v>
                </c:pt>
                <c:pt idx="197">
                  <c:v>108.33333</c:v>
                </c:pt>
                <c:pt idx="198">
                  <c:v>106.66667</c:v>
                </c:pt>
                <c:pt idx="199">
                  <c:v>123.33333</c:v>
                </c:pt>
                <c:pt idx="200">
                  <c:v>124.33333</c:v>
                </c:pt>
                <c:pt idx="201">
                  <c:v>118</c:v>
                </c:pt>
                <c:pt idx="202">
                  <c:v>110.66667</c:v>
                </c:pt>
                <c:pt idx="203">
                  <c:v>103</c:v>
                </c:pt>
                <c:pt idx="204">
                  <c:v>115.33333</c:v>
                </c:pt>
                <c:pt idx="205">
                  <c:v>106</c:v>
                </c:pt>
                <c:pt idx="206">
                  <c:v>125.66667</c:v>
                </c:pt>
                <c:pt idx="207">
                  <c:v>123</c:v>
                </c:pt>
                <c:pt idx="208">
                  <c:v>127</c:v>
                </c:pt>
                <c:pt idx="209">
                  <c:v>121.33333</c:v>
                </c:pt>
                <c:pt idx="210">
                  <c:v>131.66667000000001</c:v>
                </c:pt>
                <c:pt idx="211">
                  <c:v>144.33332999999999</c:v>
                </c:pt>
                <c:pt idx="212">
                  <c:v>144.66667000000001</c:v>
                </c:pt>
                <c:pt idx="213">
                  <c:v>128</c:v>
                </c:pt>
                <c:pt idx="214">
                  <c:v>122</c:v>
                </c:pt>
                <c:pt idx="215">
                  <c:v>118.33333</c:v>
                </c:pt>
                <c:pt idx="216">
                  <c:v>140.66667000000001</c:v>
                </c:pt>
                <c:pt idx="217">
                  <c:v>138.66667000000001</c:v>
                </c:pt>
                <c:pt idx="218">
                  <c:v>143</c:v>
                </c:pt>
                <c:pt idx="219">
                  <c:v>119.33333</c:v>
                </c:pt>
                <c:pt idx="220">
                  <c:v>108</c:v>
                </c:pt>
                <c:pt idx="221">
                  <c:v>112.33333</c:v>
                </c:pt>
                <c:pt idx="222">
                  <c:v>128</c:v>
                </c:pt>
              </c:numCache>
            </c:numRef>
          </c:val>
          <c:smooth val="0"/>
          <c:extLst>
            <c:ext xmlns:c16="http://schemas.microsoft.com/office/drawing/2014/chart" uri="{C3380CC4-5D6E-409C-BE32-E72D297353CC}">
              <c16:uniqueId val="{00000001-5C73-4B61-B348-FB2BF278B389}"/>
            </c:ext>
          </c:extLst>
        </c:ser>
        <c:dLbls>
          <c:showLegendKey val="0"/>
          <c:showVal val="0"/>
          <c:showCatName val="0"/>
          <c:showSerName val="0"/>
          <c:showPercent val="0"/>
          <c:showBubbleSize val="0"/>
        </c:dLbls>
        <c:smooth val="0"/>
        <c:axId val="1930735151"/>
        <c:axId val="1930728431"/>
      </c:lineChart>
      <c:dateAx>
        <c:axId val="1930735151"/>
        <c:scaling>
          <c:orientation val="minMax"/>
          <c:min val="38961"/>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30728431"/>
        <c:crosses val="autoZero"/>
        <c:auto val="1"/>
        <c:lblOffset val="100"/>
        <c:baseTimeUnit val="months"/>
        <c:majorUnit val="12"/>
        <c:majorTimeUnit val="months"/>
      </c:dateAx>
      <c:valAx>
        <c:axId val="1930728431"/>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Online job advertisements</a:t>
                </a:r>
              </a:p>
            </c:rich>
          </c:tx>
          <c:layout>
            <c:manualLayout>
              <c:xMode val="edge"/>
              <c:yMode val="edge"/>
              <c:x val="1.3656538067599864E-2"/>
              <c:y val="8.963686406152020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30735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2'!$B$4</c:f>
              <c:strCache>
                <c:ptCount val="1"/>
                <c:pt idx="0">
                  <c:v>Annual change in employment (%)</c:v>
                </c:pt>
              </c:strCache>
            </c:strRef>
          </c:tx>
          <c:spPr>
            <a:solidFill>
              <a:schemeClr val="accent1"/>
            </a:solidFill>
            <a:ln>
              <a:noFill/>
            </a:ln>
            <a:effectLst/>
          </c:spPr>
          <c:invertIfNegative val="0"/>
          <c:cat>
            <c:numRef>
              <c:f>'Figure 2'!$A$5:$A$65</c:f>
              <c:numCache>
                <c:formatCode>mmm\-yy</c:formatCode>
                <c:ptCount val="61"/>
                <c:pt idx="0">
                  <c:v>43709</c:v>
                </c:pt>
                <c:pt idx="1">
                  <c:v>43739</c:v>
                </c:pt>
                <c:pt idx="2">
                  <c:v>43770</c:v>
                </c:pt>
                <c:pt idx="3">
                  <c:v>43800</c:v>
                </c:pt>
                <c:pt idx="4">
                  <c:v>43831</c:v>
                </c:pt>
                <c:pt idx="5">
                  <c:v>43862</c:v>
                </c:pt>
                <c:pt idx="6">
                  <c:v>43891</c:v>
                </c:pt>
                <c:pt idx="7">
                  <c:v>43922</c:v>
                </c:pt>
                <c:pt idx="8">
                  <c:v>43952</c:v>
                </c:pt>
                <c:pt idx="9">
                  <c:v>43983</c:v>
                </c:pt>
                <c:pt idx="10">
                  <c:v>44013</c:v>
                </c:pt>
                <c:pt idx="11">
                  <c:v>44044</c:v>
                </c:pt>
                <c:pt idx="12">
                  <c:v>44075</c:v>
                </c:pt>
                <c:pt idx="13">
                  <c:v>44105</c:v>
                </c:pt>
                <c:pt idx="14">
                  <c:v>44136</c:v>
                </c:pt>
                <c:pt idx="15">
                  <c:v>44166</c:v>
                </c:pt>
                <c:pt idx="16">
                  <c:v>44197</c:v>
                </c:pt>
                <c:pt idx="17">
                  <c:v>44228</c:v>
                </c:pt>
                <c:pt idx="18">
                  <c:v>44256</c:v>
                </c:pt>
                <c:pt idx="19">
                  <c:v>44287</c:v>
                </c:pt>
                <c:pt idx="20">
                  <c:v>44317</c:v>
                </c:pt>
                <c:pt idx="21">
                  <c:v>44348</c:v>
                </c:pt>
                <c:pt idx="22">
                  <c:v>44378</c:v>
                </c:pt>
                <c:pt idx="23">
                  <c:v>44409</c:v>
                </c:pt>
                <c:pt idx="24">
                  <c:v>44440</c:v>
                </c:pt>
                <c:pt idx="25">
                  <c:v>44470</c:v>
                </c:pt>
                <c:pt idx="26">
                  <c:v>44501</c:v>
                </c:pt>
                <c:pt idx="27">
                  <c:v>44531</c:v>
                </c:pt>
                <c:pt idx="28">
                  <c:v>44562</c:v>
                </c:pt>
                <c:pt idx="29">
                  <c:v>44593</c:v>
                </c:pt>
                <c:pt idx="30">
                  <c:v>44621</c:v>
                </c:pt>
                <c:pt idx="31">
                  <c:v>44652</c:v>
                </c:pt>
                <c:pt idx="32">
                  <c:v>44682</c:v>
                </c:pt>
                <c:pt idx="33">
                  <c:v>44713</c:v>
                </c:pt>
                <c:pt idx="34">
                  <c:v>44743</c:v>
                </c:pt>
                <c:pt idx="35">
                  <c:v>44774</c:v>
                </c:pt>
                <c:pt idx="36">
                  <c:v>44805</c:v>
                </c:pt>
                <c:pt idx="37">
                  <c:v>44835</c:v>
                </c:pt>
                <c:pt idx="38">
                  <c:v>44866</c:v>
                </c:pt>
                <c:pt idx="39">
                  <c:v>44896</c:v>
                </c:pt>
                <c:pt idx="40">
                  <c:v>44927</c:v>
                </c:pt>
                <c:pt idx="41">
                  <c:v>44958</c:v>
                </c:pt>
                <c:pt idx="42">
                  <c:v>44986</c:v>
                </c:pt>
                <c:pt idx="43">
                  <c:v>45017</c:v>
                </c:pt>
                <c:pt idx="44">
                  <c:v>45047</c:v>
                </c:pt>
                <c:pt idx="45">
                  <c:v>45078</c:v>
                </c:pt>
                <c:pt idx="46">
                  <c:v>45108</c:v>
                </c:pt>
                <c:pt idx="47">
                  <c:v>45139</c:v>
                </c:pt>
                <c:pt idx="48">
                  <c:v>45170</c:v>
                </c:pt>
                <c:pt idx="49">
                  <c:v>45200</c:v>
                </c:pt>
                <c:pt idx="50">
                  <c:v>45231</c:v>
                </c:pt>
                <c:pt idx="51">
                  <c:v>45261</c:v>
                </c:pt>
                <c:pt idx="52">
                  <c:v>45292</c:v>
                </c:pt>
                <c:pt idx="53">
                  <c:v>45323</c:v>
                </c:pt>
                <c:pt idx="54">
                  <c:v>45352</c:v>
                </c:pt>
                <c:pt idx="55">
                  <c:v>45383</c:v>
                </c:pt>
                <c:pt idx="56">
                  <c:v>45413</c:v>
                </c:pt>
                <c:pt idx="57">
                  <c:v>45444</c:v>
                </c:pt>
                <c:pt idx="58">
                  <c:v>45474</c:v>
                </c:pt>
                <c:pt idx="59">
                  <c:v>45505</c:v>
                </c:pt>
                <c:pt idx="60">
                  <c:v>45536</c:v>
                </c:pt>
              </c:numCache>
            </c:numRef>
          </c:cat>
          <c:val>
            <c:numRef>
              <c:f>'Figure 2'!$B$5:$B$65</c:f>
              <c:numCache>
                <c:formatCode>0.0%</c:formatCode>
                <c:ptCount val="61"/>
                <c:pt idx="0">
                  <c:v>2.3906805446759688E-2</c:v>
                </c:pt>
                <c:pt idx="1">
                  <c:v>1.806911509814451E-2</c:v>
                </c:pt>
                <c:pt idx="2">
                  <c:v>1.829211238381032E-2</c:v>
                </c:pt>
                <c:pt idx="3">
                  <c:v>1.9991551098099802E-2</c:v>
                </c:pt>
                <c:pt idx="4">
                  <c:v>1.7125760768114652E-2</c:v>
                </c:pt>
                <c:pt idx="5">
                  <c:v>1.6122697434636266E-2</c:v>
                </c:pt>
                <c:pt idx="6">
                  <c:v>1.3973296075831504E-2</c:v>
                </c:pt>
                <c:pt idx="7">
                  <c:v>-3.427134412005902E-2</c:v>
                </c:pt>
                <c:pt idx="8">
                  <c:v>-5.7880038403023693E-2</c:v>
                </c:pt>
                <c:pt idx="9">
                  <c:v>-4.091182387409141E-2</c:v>
                </c:pt>
                <c:pt idx="10">
                  <c:v>-3.2919625295297759E-2</c:v>
                </c:pt>
                <c:pt idx="11">
                  <c:v>-2.5838267980783296E-2</c:v>
                </c:pt>
                <c:pt idx="12">
                  <c:v>-2.9780171341593907E-2</c:v>
                </c:pt>
                <c:pt idx="13">
                  <c:v>-1.5241576399479479E-2</c:v>
                </c:pt>
                <c:pt idx="14">
                  <c:v>-1.0162307495016544E-2</c:v>
                </c:pt>
                <c:pt idx="15">
                  <c:v>-9.7709784316415971E-3</c:v>
                </c:pt>
                <c:pt idx="16">
                  <c:v>-7.7025722105649235E-3</c:v>
                </c:pt>
                <c:pt idx="17">
                  <c:v>-2.9716597529865036E-3</c:v>
                </c:pt>
                <c:pt idx="18">
                  <c:v>2.4194651264874962E-3</c:v>
                </c:pt>
                <c:pt idx="19">
                  <c:v>4.8701765115504801E-2</c:v>
                </c:pt>
                <c:pt idx="20">
                  <c:v>8.1768813937243279E-2</c:v>
                </c:pt>
                <c:pt idx="21">
                  <c:v>6.3611542598318818E-2</c:v>
                </c:pt>
                <c:pt idx="22">
                  <c:v>5.3719451539545507E-2</c:v>
                </c:pt>
                <c:pt idx="23">
                  <c:v>3.1634165824389472E-2</c:v>
                </c:pt>
                <c:pt idx="24">
                  <c:v>2.4415929405712977E-2</c:v>
                </c:pt>
                <c:pt idx="25">
                  <c:v>9.3684113010941081E-3</c:v>
                </c:pt>
                <c:pt idx="26">
                  <c:v>3.139034222771616E-2</c:v>
                </c:pt>
                <c:pt idx="27">
                  <c:v>3.4054721313358148E-2</c:v>
                </c:pt>
                <c:pt idx="28">
                  <c:v>3.4671756227142178E-2</c:v>
                </c:pt>
                <c:pt idx="29">
                  <c:v>3.7303087184842307E-2</c:v>
                </c:pt>
                <c:pt idx="30">
                  <c:v>3.37531257417365E-2</c:v>
                </c:pt>
                <c:pt idx="31">
                  <c:v>3.8530279953243471E-2</c:v>
                </c:pt>
                <c:pt idx="32">
                  <c:v>3.407980691769915E-2</c:v>
                </c:pt>
                <c:pt idx="33">
                  <c:v>3.9860450422806122E-2</c:v>
                </c:pt>
                <c:pt idx="34">
                  <c:v>3.8549640711675985E-2</c:v>
                </c:pt>
                <c:pt idx="35">
                  <c:v>5.4494572523878723E-2</c:v>
                </c:pt>
                <c:pt idx="36">
                  <c:v>6.5518142236753243E-2</c:v>
                </c:pt>
                <c:pt idx="37">
                  <c:v>7.2806428494209846E-2</c:v>
                </c:pt>
                <c:pt idx="38">
                  <c:v>4.8183294043654283E-2</c:v>
                </c:pt>
                <c:pt idx="39">
                  <c:v>4.0950148453486157E-2</c:v>
                </c:pt>
                <c:pt idx="40">
                  <c:v>3.8173801949360833E-2</c:v>
                </c:pt>
                <c:pt idx="41">
                  <c:v>3.5063147121192031E-2</c:v>
                </c:pt>
                <c:pt idx="42">
                  <c:v>4.0486549991967498E-2</c:v>
                </c:pt>
                <c:pt idx="43">
                  <c:v>3.5430850079768927E-2</c:v>
                </c:pt>
                <c:pt idx="44">
                  <c:v>3.889458687135626E-2</c:v>
                </c:pt>
                <c:pt idx="45">
                  <c:v>3.2710389903409923E-2</c:v>
                </c:pt>
                <c:pt idx="46">
                  <c:v>3.2041560594946956E-2</c:v>
                </c:pt>
                <c:pt idx="47">
                  <c:v>3.1791006013074323E-2</c:v>
                </c:pt>
                <c:pt idx="48">
                  <c:v>3.1028124262109904E-2</c:v>
                </c:pt>
                <c:pt idx="49">
                  <c:v>3.2298476867077049E-2</c:v>
                </c:pt>
                <c:pt idx="50">
                  <c:v>3.0881921139210001E-2</c:v>
                </c:pt>
                <c:pt idx="51">
                  <c:v>2.7438450404461273E-2</c:v>
                </c:pt>
                <c:pt idx="52">
                  <c:v>2.579231084503605E-2</c:v>
                </c:pt>
                <c:pt idx="53">
                  <c:v>3.0540224371233941E-2</c:v>
                </c:pt>
                <c:pt idx="54">
                  <c:v>2.2548339638050079E-2</c:v>
                </c:pt>
                <c:pt idx="55">
                  <c:v>2.5829808967726357E-2</c:v>
                </c:pt>
                <c:pt idx="56">
                  <c:v>2.2209674579310845E-2</c:v>
                </c:pt>
                <c:pt idx="57">
                  <c:v>2.4034381074880182E-2</c:v>
                </c:pt>
                <c:pt idx="58">
                  <c:v>2.8842638046633982E-2</c:v>
                </c:pt>
                <c:pt idx="59">
                  <c:v>2.6591684493830609E-2</c:v>
                </c:pt>
                <c:pt idx="60">
                  <c:v>3.0871421504346384E-2</c:v>
                </c:pt>
              </c:numCache>
            </c:numRef>
          </c:val>
          <c:extLst>
            <c:ext xmlns:c16="http://schemas.microsoft.com/office/drawing/2014/chart" uri="{C3380CC4-5D6E-409C-BE32-E72D297353CC}">
              <c16:uniqueId val="{00000000-832C-4730-BCEF-147B5401E2D8}"/>
            </c:ext>
          </c:extLst>
        </c:ser>
        <c:dLbls>
          <c:showLegendKey val="0"/>
          <c:showVal val="0"/>
          <c:showCatName val="0"/>
          <c:showSerName val="0"/>
          <c:showPercent val="0"/>
          <c:showBubbleSize val="0"/>
        </c:dLbls>
        <c:gapWidth val="219"/>
        <c:overlap val="-27"/>
        <c:axId val="1932666672"/>
        <c:axId val="1654456912"/>
      </c:barChart>
      <c:lineChart>
        <c:grouping val="standard"/>
        <c:varyColors val="0"/>
        <c:ser>
          <c:idx val="1"/>
          <c:order val="1"/>
          <c:tx>
            <c:strRef>
              <c:f>'Figure 2'!$C$4</c:f>
              <c:strCache>
                <c:ptCount val="1"/>
                <c:pt idx="0">
                  <c:v>Annual change in aggregate hours worked (%)</c:v>
                </c:pt>
              </c:strCache>
            </c:strRef>
          </c:tx>
          <c:spPr>
            <a:ln w="28575" cap="rnd">
              <a:solidFill>
                <a:schemeClr val="accent2"/>
              </a:solidFill>
              <a:round/>
            </a:ln>
            <a:effectLst/>
          </c:spPr>
          <c:marker>
            <c:symbol val="none"/>
          </c:marker>
          <c:cat>
            <c:numRef>
              <c:f>'Figure 2'!$A$5:$A$65</c:f>
              <c:numCache>
                <c:formatCode>mmm\-yy</c:formatCode>
                <c:ptCount val="61"/>
                <c:pt idx="0">
                  <c:v>43709</c:v>
                </c:pt>
                <c:pt idx="1">
                  <c:v>43739</c:v>
                </c:pt>
                <c:pt idx="2">
                  <c:v>43770</c:v>
                </c:pt>
                <c:pt idx="3">
                  <c:v>43800</c:v>
                </c:pt>
                <c:pt idx="4">
                  <c:v>43831</c:v>
                </c:pt>
                <c:pt idx="5">
                  <c:v>43862</c:v>
                </c:pt>
                <c:pt idx="6">
                  <c:v>43891</c:v>
                </c:pt>
                <c:pt idx="7">
                  <c:v>43922</c:v>
                </c:pt>
                <c:pt idx="8">
                  <c:v>43952</c:v>
                </c:pt>
                <c:pt idx="9">
                  <c:v>43983</c:v>
                </c:pt>
                <c:pt idx="10">
                  <c:v>44013</c:v>
                </c:pt>
                <c:pt idx="11">
                  <c:v>44044</c:v>
                </c:pt>
                <c:pt idx="12">
                  <c:v>44075</c:v>
                </c:pt>
                <c:pt idx="13">
                  <c:v>44105</c:v>
                </c:pt>
                <c:pt idx="14">
                  <c:v>44136</c:v>
                </c:pt>
                <c:pt idx="15">
                  <c:v>44166</c:v>
                </c:pt>
                <c:pt idx="16">
                  <c:v>44197</c:v>
                </c:pt>
                <c:pt idx="17">
                  <c:v>44228</c:v>
                </c:pt>
                <c:pt idx="18">
                  <c:v>44256</c:v>
                </c:pt>
                <c:pt idx="19">
                  <c:v>44287</c:v>
                </c:pt>
                <c:pt idx="20">
                  <c:v>44317</c:v>
                </c:pt>
                <c:pt idx="21">
                  <c:v>44348</c:v>
                </c:pt>
                <c:pt idx="22">
                  <c:v>44378</c:v>
                </c:pt>
                <c:pt idx="23">
                  <c:v>44409</c:v>
                </c:pt>
                <c:pt idx="24">
                  <c:v>44440</c:v>
                </c:pt>
                <c:pt idx="25">
                  <c:v>44470</c:v>
                </c:pt>
                <c:pt idx="26">
                  <c:v>44501</c:v>
                </c:pt>
                <c:pt idx="27">
                  <c:v>44531</c:v>
                </c:pt>
                <c:pt idx="28">
                  <c:v>44562</c:v>
                </c:pt>
                <c:pt idx="29">
                  <c:v>44593</c:v>
                </c:pt>
                <c:pt idx="30">
                  <c:v>44621</c:v>
                </c:pt>
                <c:pt idx="31">
                  <c:v>44652</c:v>
                </c:pt>
                <c:pt idx="32">
                  <c:v>44682</c:v>
                </c:pt>
                <c:pt idx="33">
                  <c:v>44713</c:v>
                </c:pt>
                <c:pt idx="34">
                  <c:v>44743</c:v>
                </c:pt>
                <c:pt idx="35">
                  <c:v>44774</c:v>
                </c:pt>
                <c:pt idx="36">
                  <c:v>44805</c:v>
                </c:pt>
                <c:pt idx="37">
                  <c:v>44835</c:v>
                </c:pt>
                <c:pt idx="38">
                  <c:v>44866</c:v>
                </c:pt>
                <c:pt idx="39">
                  <c:v>44896</c:v>
                </c:pt>
                <c:pt idx="40">
                  <c:v>44927</c:v>
                </c:pt>
                <c:pt idx="41">
                  <c:v>44958</c:v>
                </c:pt>
                <c:pt idx="42">
                  <c:v>44986</c:v>
                </c:pt>
                <c:pt idx="43">
                  <c:v>45017</c:v>
                </c:pt>
                <c:pt idx="44">
                  <c:v>45047</c:v>
                </c:pt>
                <c:pt idx="45">
                  <c:v>45078</c:v>
                </c:pt>
                <c:pt idx="46">
                  <c:v>45108</c:v>
                </c:pt>
                <c:pt idx="47">
                  <c:v>45139</c:v>
                </c:pt>
                <c:pt idx="48">
                  <c:v>45170</c:v>
                </c:pt>
                <c:pt idx="49">
                  <c:v>45200</c:v>
                </c:pt>
                <c:pt idx="50">
                  <c:v>45231</c:v>
                </c:pt>
                <c:pt idx="51">
                  <c:v>45261</c:v>
                </c:pt>
                <c:pt idx="52">
                  <c:v>45292</c:v>
                </c:pt>
                <c:pt idx="53">
                  <c:v>45323</c:v>
                </c:pt>
                <c:pt idx="54">
                  <c:v>45352</c:v>
                </c:pt>
                <c:pt idx="55">
                  <c:v>45383</c:v>
                </c:pt>
                <c:pt idx="56">
                  <c:v>45413</c:v>
                </c:pt>
                <c:pt idx="57">
                  <c:v>45444</c:v>
                </c:pt>
                <c:pt idx="58">
                  <c:v>45474</c:v>
                </c:pt>
                <c:pt idx="59">
                  <c:v>45505</c:v>
                </c:pt>
                <c:pt idx="60">
                  <c:v>45536</c:v>
                </c:pt>
              </c:numCache>
            </c:numRef>
          </c:cat>
          <c:val>
            <c:numRef>
              <c:f>'Figure 2'!$C$5:$C$65</c:f>
              <c:numCache>
                <c:formatCode>0.0%</c:formatCode>
                <c:ptCount val="61"/>
                <c:pt idx="0">
                  <c:v>1.8294918397968148E-2</c:v>
                </c:pt>
                <c:pt idx="1">
                  <c:v>1.3355186488268032E-2</c:v>
                </c:pt>
                <c:pt idx="2">
                  <c:v>1.2619697563596025E-2</c:v>
                </c:pt>
                <c:pt idx="3">
                  <c:v>2.0336757132791802E-2</c:v>
                </c:pt>
                <c:pt idx="4">
                  <c:v>9.3584176958086927E-3</c:v>
                </c:pt>
                <c:pt idx="5">
                  <c:v>3.0357225166591044E-4</c:v>
                </c:pt>
                <c:pt idx="6">
                  <c:v>-7.3295265530027975E-3</c:v>
                </c:pt>
                <c:pt idx="7">
                  <c:v>-0.1033929187964971</c:v>
                </c:pt>
                <c:pt idx="8">
                  <c:v>-9.3226171153704643E-2</c:v>
                </c:pt>
                <c:pt idx="9">
                  <c:v>-5.8952189339104677E-2</c:v>
                </c:pt>
                <c:pt idx="10">
                  <c:v>-5.0032954645923639E-2</c:v>
                </c:pt>
                <c:pt idx="11">
                  <c:v>-5.0003577213030954E-2</c:v>
                </c:pt>
                <c:pt idx="12">
                  <c:v>-5.0675470360194201E-2</c:v>
                </c:pt>
                <c:pt idx="13">
                  <c:v>-3.6050107647759101E-2</c:v>
                </c:pt>
                <c:pt idx="14">
                  <c:v>-1.4462493213055008E-2</c:v>
                </c:pt>
                <c:pt idx="15">
                  <c:v>-1.7217071976580799E-2</c:v>
                </c:pt>
                <c:pt idx="16">
                  <c:v>-5.2005991653421214E-2</c:v>
                </c:pt>
                <c:pt idx="17">
                  <c:v>-3.6953010209443016E-3</c:v>
                </c:pt>
                <c:pt idx="18">
                  <c:v>2.0505201795410665E-2</c:v>
                </c:pt>
                <c:pt idx="19">
                  <c:v>0.11776373029113614</c:v>
                </c:pt>
                <c:pt idx="20">
                  <c:v>0.12801430240515643</c:v>
                </c:pt>
                <c:pt idx="21">
                  <c:v>6.8581103511275304E-2</c:v>
                </c:pt>
                <c:pt idx="22">
                  <c:v>5.5544216359310186E-2</c:v>
                </c:pt>
                <c:pt idx="23">
                  <c:v>1.0754376440039976E-2</c:v>
                </c:pt>
                <c:pt idx="24">
                  <c:v>2.31309006448089E-2</c:v>
                </c:pt>
                <c:pt idx="25">
                  <c:v>9.9979150930293859E-3</c:v>
                </c:pt>
                <c:pt idx="26">
                  <c:v>2.9585171983348788E-2</c:v>
                </c:pt>
                <c:pt idx="27">
                  <c:v>4.3272275104203395E-2</c:v>
                </c:pt>
                <c:pt idx="28">
                  <c:v>7.7214616086834515E-3</c:v>
                </c:pt>
                <c:pt idx="29">
                  <c:v>3.4436660583560423E-2</c:v>
                </c:pt>
                <c:pt idx="30">
                  <c:v>7.4321936994089857E-3</c:v>
                </c:pt>
                <c:pt idx="31">
                  <c:v>2.9423558449931879E-2</c:v>
                </c:pt>
                <c:pt idx="32">
                  <c:v>2.4767615353228852E-2</c:v>
                </c:pt>
                <c:pt idx="33">
                  <c:v>4.4590619603689222E-2</c:v>
                </c:pt>
                <c:pt idx="34">
                  <c:v>4.2747942405477198E-2</c:v>
                </c:pt>
                <c:pt idx="35">
                  <c:v>9.8245167708720396E-2</c:v>
                </c:pt>
                <c:pt idx="36">
                  <c:v>8.6803260030310386E-2</c:v>
                </c:pt>
                <c:pt idx="37">
                  <c:v>0.10243845191063596</c:v>
                </c:pt>
                <c:pt idx="38">
                  <c:v>6.1325945389666722E-2</c:v>
                </c:pt>
                <c:pt idx="39">
                  <c:v>4.2418330872291285E-2</c:v>
                </c:pt>
                <c:pt idx="40">
                  <c:v>0.10423413511847461</c:v>
                </c:pt>
                <c:pt idx="41">
                  <c:v>5.857899859982648E-2</c:v>
                </c:pt>
                <c:pt idx="42">
                  <c:v>6.6521143281979556E-2</c:v>
                </c:pt>
                <c:pt idx="43">
                  <c:v>8.4057628719831787E-2</c:v>
                </c:pt>
                <c:pt idx="44">
                  <c:v>5.0543664858615139E-2</c:v>
                </c:pt>
                <c:pt idx="45">
                  <c:v>4.8412153231571733E-2</c:v>
                </c:pt>
                <c:pt idx="46">
                  <c:v>5.1510310004744729E-2</c:v>
                </c:pt>
                <c:pt idx="47">
                  <c:v>3.2046393658390654E-2</c:v>
                </c:pt>
                <c:pt idx="48">
                  <c:v>2.6510264609084393E-2</c:v>
                </c:pt>
                <c:pt idx="49">
                  <c:v>1.2293679786918726E-2</c:v>
                </c:pt>
                <c:pt idx="50">
                  <c:v>1.0024877474606652E-2</c:v>
                </c:pt>
                <c:pt idx="51">
                  <c:v>7.5348243220167569E-3</c:v>
                </c:pt>
                <c:pt idx="52">
                  <c:v>2.4831872429550311E-3</c:v>
                </c:pt>
                <c:pt idx="53">
                  <c:v>3.5971566991604763E-3</c:v>
                </c:pt>
                <c:pt idx="54">
                  <c:v>1.0402966290536296E-2</c:v>
                </c:pt>
                <c:pt idx="55">
                  <c:v>-1.3311314736444483E-2</c:v>
                </c:pt>
                <c:pt idx="56">
                  <c:v>1.0629049306560073E-3</c:v>
                </c:pt>
                <c:pt idx="57">
                  <c:v>2.0155129942994463E-3</c:v>
                </c:pt>
                <c:pt idx="58">
                  <c:v>5.3215688664417053E-3</c:v>
                </c:pt>
                <c:pt idx="59">
                  <c:v>1.7081654238402508E-2</c:v>
                </c:pt>
                <c:pt idx="60">
                  <c:v>2.3538051026059225E-2</c:v>
                </c:pt>
              </c:numCache>
            </c:numRef>
          </c:val>
          <c:smooth val="0"/>
          <c:extLst>
            <c:ext xmlns:c16="http://schemas.microsoft.com/office/drawing/2014/chart" uri="{C3380CC4-5D6E-409C-BE32-E72D297353CC}">
              <c16:uniqueId val="{00000001-832C-4730-BCEF-147B5401E2D8}"/>
            </c:ext>
          </c:extLst>
        </c:ser>
        <c:dLbls>
          <c:showLegendKey val="0"/>
          <c:showVal val="0"/>
          <c:showCatName val="0"/>
          <c:showSerName val="0"/>
          <c:showPercent val="0"/>
          <c:showBubbleSize val="0"/>
        </c:dLbls>
        <c:marker val="1"/>
        <c:smooth val="0"/>
        <c:axId val="1932666672"/>
        <c:axId val="1654456912"/>
      </c:lineChart>
      <c:dateAx>
        <c:axId val="1932666672"/>
        <c:scaling>
          <c:orientation val="minMax"/>
        </c:scaling>
        <c:delete val="0"/>
        <c:axPos val="b"/>
        <c:numFmt formatCode="mmm\-yy"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54456912"/>
        <c:crosses val="autoZero"/>
        <c:auto val="1"/>
        <c:lblOffset val="100"/>
        <c:baseTimeUnit val="months"/>
        <c:majorUnit val="3"/>
        <c:majorTimeUnit val="months"/>
      </c:dateAx>
      <c:valAx>
        <c:axId val="1654456912"/>
        <c:scaling>
          <c:orientation val="minMax"/>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3266667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260375347818368E-2"/>
          <c:y val="8.6673879632047767E-3"/>
          <c:w val="0.57447926742761335"/>
          <c:h val="0.85515864354908733"/>
        </c:manualLayout>
      </c:layout>
      <c:barChart>
        <c:barDir val="bar"/>
        <c:grouping val="clustered"/>
        <c:varyColors val="0"/>
        <c:ser>
          <c:idx val="0"/>
          <c:order val="0"/>
          <c:tx>
            <c:strRef>
              <c:f>'OIA - Industry'!$B$1</c:f>
              <c:strCache>
                <c:ptCount val="1"/>
                <c:pt idx="0">
                  <c:v>Employment change ('000)</c:v>
                </c:pt>
              </c:strCache>
            </c:strRef>
          </c:tx>
          <c:spPr>
            <a:solidFill>
              <a:srgbClr val="44117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'OIA - Industry'!$A$2:$A$20</c:f>
              <c:strCache>
                <c:ptCount val="19"/>
                <c:pt idx="0">
                  <c:v>Financial and Insurance Services</c:v>
                </c:pt>
                <c:pt idx="1">
                  <c:v>Manufacturing</c:v>
                </c:pt>
                <c:pt idx="2">
                  <c:v>Information Media and Telecommunications</c:v>
                </c:pt>
                <c:pt idx="3">
                  <c:v>Mining</c:v>
                </c:pt>
                <c:pt idx="4">
                  <c:v>Transport, Postal and Warehousing</c:v>
                </c:pt>
                <c:pt idx="5">
                  <c:v>Agriculture, Forestry and Fishing</c:v>
                </c:pt>
                <c:pt idx="6">
                  <c:v>Other Services</c:v>
                </c:pt>
                <c:pt idx="7">
                  <c:v>Retail Trade</c:v>
                </c:pt>
                <c:pt idx="8">
                  <c:v>Administrative and Support Services</c:v>
                </c:pt>
                <c:pt idx="9">
                  <c:v>Wholesale Trade</c:v>
                </c:pt>
                <c:pt idx="10">
                  <c:v>Rental, Hiring and Real Estate Services</c:v>
                </c:pt>
                <c:pt idx="11">
                  <c:v>Construction</c:v>
                </c:pt>
                <c:pt idx="12">
                  <c:v>Electricity, Gas, Water and Waste Services</c:v>
                </c:pt>
                <c:pt idx="13">
                  <c:v>Professional, Scientific and Technical Services</c:v>
                </c:pt>
                <c:pt idx="14">
                  <c:v>Arts and Recreation Services</c:v>
                </c:pt>
                <c:pt idx="15">
                  <c:v>Accommodation and Food Services</c:v>
                </c:pt>
                <c:pt idx="16">
                  <c:v>Education and Training</c:v>
                </c:pt>
                <c:pt idx="17">
                  <c:v>Public Administration and Safety</c:v>
                </c:pt>
                <c:pt idx="18">
                  <c:v>Health Care and Social Assistance</c:v>
                </c:pt>
              </c:strCache>
            </c:strRef>
          </c:cat>
          <c:val>
            <c:numRef>
              <c:f>'OIA - Industry'!$B$2:$B$20</c:f>
              <c:numCache>
                <c:formatCode>0.0</c:formatCode>
                <c:ptCount val="19"/>
                <c:pt idx="0">
                  <c:v>-18.303979451899295</c:v>
                </c:pt>
                <c:pt idx="1">
                  <c:v>-5.2583779699493789</c:v>
                </c:pt>
                <c:pt idx="2">
                  <c:v>-1.7033320782954036</c:v>
                </c:pt>
                <c:pt idx="3">
                  <c:v>-1.5059241810366757</c:v>
                </c:pt>
                <c:pt idx="4">
                  <c:v>-1.35858456613812</c:v>
                </c:pt>
                <c:pt idx="5">
                  <c:v>5.7680152995794742</c:v>
                </c:pt>
                <c:pt idx="6">
                  <c:v>5.8728722862108498</c:v>
                </c:pt>
                <c:pt idx="7">
                  <c:v>6.0300028164899686</c:v>
                </c:pt>
                <c:pt idx="8">
                  <c:v>6.8215879973058122</c:v>
                </c:pt>
                <c:pt idx="9">
                  <c:v>6.8257998984674373</c:v>
                </c:pt>
                <c:pt idx="10">
                  <c:v>12.176312520032809</c:v>
                </c:pt>
                <c:pt idx="11">
                  <c:v>13.394437665861005</c:v>
                </c:pt>
                <c:pt idx="12">
                  <c:v>14.905639365808099</c:v>
                </c:pt>
                <c:pt idx="13">
                  <c:v>14.968849446952618</c:v>
                </c:pt>
                <c:pt idx="14">
                  <c:v>16.577162552588277</c:v>
                </c:pt>
                <c:pt idx="15">
                  <c:v>33.734244010050134</c:v>
                </c:pt>
                <c:pt idx="16">
                  <c:v>48.260881554149137</c:v>
                </c:pt>
                <c:pt idx="17">
                  <c:v>49.043096531002334</c:v>
                </c:pt>
                <c:pt idx="18">
                  <c:v>86.368702313131507</c:v>
                </c:pt>
              </c:numCache>
            </c:numRef>
          </c:val>
          <c:extLst>
            <c:ext xmlns:c16="http://schemas.microsoft.com/office/drawing/2014/chart" uri="{C3380CC4-5D6E-409C-BE32-E72D297353CC}">
              <c16:uniqueId val="{00000000-E061-4A43-8361-BB8806F807AA}"/>
            </c:ext>
          </c:extLst>
        </c:ser>
        <c:dLbls>
          <c:showLegendKey val="0"/>
          <c:showVal val="0"/>
          <c:showCatName val="0"/>
          <c:showSerName val="0"/>
          <c:showPercent val="0"/>
          <c:showBubbleSize val="0"/>
        </c:dLbls>
        <c:gapWidth val="75"/>
        <c:axId val="809945024"/>
        <c:axId val="812499152"/>
      </c:barChart>
      <c:catAx>
        <c:axId val="809945024"/>
        <c:scaling>
          <c:orientation val="minMax"/>
        </c:scaling>
        <c:delete val="0"/>
        <c:axPos val="l"/>
        <c:numFmt formatCode="General" sourceLinked="1"/>
        <c:majorTickMark val="none"/>
        <c:minorTickMark val="none"/>
        <c:tickLblPos val="high"/>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12499152"/>
        <c:crosses val="autoZero"/>
        <c:auto val="1"/>
        <c:lblAlgn val="ctr"/>
        <c:lblOffset val="100"/>
        <c:noMultiLvlLbl val="0"/>
      </c:catAx>
      <c:valAx>
        <c:axId val="812499152"/>
        <c:scaling>
          <c:orientation val="minMax"/>
          <c:max val="100"/>
          <c:min val="-25"/>
        </c:scaling>
        <c:delete val="0"/>
        <c:axPos val="b"/>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09945024"/>
        <c:crosses val="autoZero"/>
        <c:crossBetween val="between"/>
        <c:majorUnit val="25"/>
      </c:valAx>
      <c:spPr>
        <a:noFill/>
        <a:ln>
          <a:noFill/>
        </a:ln>
        <a:effectLst/>
      </c:spPr>
    </c:plotArea>
    <c:legend>
      <c:legendPos val="b"/>
      <c:layout>
        <c:manualLayout>
          <c:xMode val="edge"/>
          <c:yMode val="edge"/>
          <c:x val="0.3409340644960927"/>
          <c:y val="0.95141782650303031"/>
          <c:w val="0.30926841268705807"/>
          <c:h val="4.67453914392002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86588487462689"/>
          <c:y val="4.6296396258962411E-2"/>
          <c:w val="0.76266511961595351"/>
          <c:h val="0.85818638888888887"/>
        </c:manualLayout>
      </c:layout>
      <c:lineChart>
        <c:grouping val="standard"/>
        <c:varyColors val="0"/>
        <c:ser>
          <c:idx val="0"/>
          <c:order val="0"/>
          <c:tx>
            <c:strRef>
              <c:f>'ERSA - Fig.4'!$B$3</c:f>
              <c:strCache>
                <c:ptCount val="1"/>
                <c:pt idx="0">
                  <c:v>Recruitment rate</c:v>
                </c:pt>
              </c:strCache>
            </c:strRef>
          </c:tx>
          <c:spPr>
            <a:ln w="22225" cap="rnd">
              <a:solidFill>
                <a:schemeClr val="accent1"/>
              </a:solidFill>
              <a:round/>
            </a:ln>
            <a:effectLst/>
          </c:spPr>
          <c:marker>
            <c:symbol val="none"/>
          </c:marker>
          <c:dPt>
            <c:idx val="4"/>
            <c:marker>
              <c:symbol val="circle"/>
              <c:size val="10"/>
              <c:spPr>
                <a:solidFill>
                  <a:schemeClr val="accent1"/>
                </a:solidFill>
                <a:ln w="9525">
                  <a:solidFill>
                    <a:schemeClr val="accent1"/>
                  </a:solidFill>
                </a:ln>
                <a:effectLst/>
              </c:spPr>
            </c:marker>
            <c:bubble3D val="0"/>
            <c:extLst>
              <c:ext xmlns:c16="http://schemas.microsoft.com/office/drawing/2014/chart" uri="{C3380CC4-5D6E-409C-BE32-E72D297353CC}">
                <c16:uniqueId val="{00000000-1BD6-4781-B118-935382809E6E}"/>
              </c:ext>
            </c:extLst>
          </c:dPt>
          <c:dPt>
            <c:idx val="12"/>
            <c:marker>
              <c:symbol val="circle"/>
              <c:size val="10"/>
              <c:spPr>
                <a:solidFill>
                  <a:schemeClr val="accent1"/>
                </a:solidFill>
                <a:ln w="9525">
                  <a:solidFill>
                    <a:schemeClr val="accent1"/>
                  </a:solidFill>
                </a:ln>
                <a:effectLst/>
              </c:spPr>
            </c:marker>
            <c:bubble3D val="0"/>
            <c:extLst>
              <c:ext xmlns:c16="http://schemas.microsoft.com/office/drawing/2014/chart" uri="{C3380CC4-5D6E-409C-BE32-E72D297353CC}">
                <c16:uniqueId val="{00000001-1BD6-4781-B118-935382809E6E}"/>
              </c:ext>
            </c:extLst>
          </c:dPt>
          <c:dLbls>
            <c:dLbl>
              <c:idx val="4"/>
              <c:layout>
                <c:manualLayout>
                  <c:x val="-4.32724014336918E-2"/>
                  <c:y val="-5.7325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D6-4781-B118-935382809E6E}"/>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D6-4781-B118-935382809E6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noFill/>
                      <a:round/>
                    </a:ln>
                    <a:effectLst/>
                  </c:spPr>
                </c15:leaderLines>
              </c:ext>
            </c:extLst>
          </c:dLbls>
          <c:cat>
            <c:numRef>
              <c:f>'ERSA - Fig.4'!$A$4:$A$16</c:f>
              <c:numCache>
                <c:formatCode>mmm\-yy</c:formatCode>
                <c:ptCount val="13"/>
                <c:pt idx="0">
                  <c:v>44440</c:v>
                </c:pt>
                <c:pt idx="1">
                  <c:v>44531</c:v>
                </c:pt>
                <c:pt idx="2">
                  <c:v>44621</c:v>
                </c:pt>
                <c:pt idx="3">
                  <c:v>44713</c:v>
                </c:pt>
                <c:pt idx="4">
                  <c:v>44805</c:v>
                </c:pt>
                <c:pt idx="5">
                  <c:v>44896</c:v>
                </c:pt>
                <c:pt idx="6">
                  <c:v>44986</c:v>
                </c:pt>
                <c:pt idx="7">
                  <c:v>45078</c:v>
                </c:pt>
                <c:pt idx="8">
                  <c:v>45170</c:v>
                </c:pt>
                <c:pt idx="9">
                  <c:v>45261</c:v>
                </c:pt>
                <c:pt idx="10">
                  <c:v>45352</c:v>
                </c:pt>
                <c:pt idx="11">
                  <c:v>45444</c:v>
                </c:pt>
                <c:pt idx="12">
                  <c:v>45536</c:v>
                </c:pt>
              </c:numCache>
            </c:numRef>
          </c:cat>
          <c:val>
            <c:numRef>
              <c:f>'ERSA - Fig.4'!$B$4:$B$16</c:f>
              <c:numCache>
                <c:formatCode>0%</c:formatCode>
                <c:ptCount val="13"/>
                <c:pt idx="0">
                  <c:v>0.39</c:v>
                </c:pt>
                <c:pt idx="1">
                  <c:v>0.48</c:v>
                </c:pt>
                <c:pt idx="2">
                  <c:v>0.53</c:v>
                </c:pt>
                <c:pt idx="3">
                  <c:v>0.57999999999999996</c:v>
                </c:pt>
                <c:pt idx="4">
                  <c:v>0.56999999999999995</c:v>
                </c:pt>
                <c:pt idx="5">
                  <c:v>0.56000000000000005</c:v>
                </c:pt>
                <c:pt idx="6">
                  <c:v>0.55000000000000004</c:v>
                </c:pt>
                <c:pt idx="7">
                  <c:v>0.5</c:v>
                </c:pt>
                <c:pt idx="8">
                  <c:v>0.48</c:v>
                </c:pt>
                <c:pt idx="9">
                  <c:v>0.5</c:v>
                </c:pt>
                <c:pt idx="10">
                  <c:v>0.49</c:v>
                </c:pt>
                <c:pt idx="11">
                  <c:v>0.45</c:v>
                </c:pt>
                <c:pt idx="12">
                  <c:v>0.44</c:v>
                </c:pt>
              </c:numCache>
            </c:numRef>
          </c:val>
          <c:smooth val="0"/>
          <c:extLst>
            <c:ext xmlns:c16="http://schemas.microsoft.com/office/drawing/2014/chart" uri="{C3380CC4-5D6E-409C-BE32-E72D297353CC}">
              <c16:uniqueId val="{00000002-1BD6-4781-B118-935382809E6E}"/>
            </c:ext>
          </c:extLst>
        </c:ser>
        <c:dLbls>
          <c:showLegendKey val="0"/>
          <c:showVal val="0"/>
          <c:showCatName val="0"/>
          <c:showSerName val="0"/>
          <c:showPercent val="0"/>
          <c:showBubbleSize val="0"/>
        </c:dLbls>
        <c:smooth val="0"/>
        <c:axId val="347802271"/>
        <c:axId val="347802751"/>
      </c:lineChart>
      <c:dateAx>
        <c:axId val="347802271"/>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7802751"/>
        <c:crosses val="autoZero"/>
        <c:auto val="1"/>
        <c:lblOffset val="100"/>
        <c:baseTimeUnit val="months"/>
        <c:majorUnit val="12"/>
        <c:majorTimeUnit val="months"/>
      </c:dateAx>
      <c:valAx>
        <c:axId val="347802751"/>
        <c:scaling>
          <c:orientation val="minMax"/>
          <c:max val="0.8"/>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Proportion of all employers</a:t>
                </a:r>
              </a:p>
            </c:rich>
          </c:tx>
          <c:layout>
            <c:manualLayout>
              <c:xMode val="edge"/>
              <c:yMode val="edge"/>
              <c:x val="1.6985199684685082E-2"/>
              <c:y val="0.1286207894899213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47802271"/>
        <c:crosses val="autoZero"/>
        <c:crossBetween val="midCat"/>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'NLIV UE timeseries plot (Fig.5)'!$F$1</c:f>
              <c:strCache>
                <c:ptCount val="1"/>
                <c:pt idx="0">
                  <c:v>Seasonally adjusted job advertisements (LHS)</c:v>
                </c:pt>
              </c:strCache>
            </c:strRef>
          </c:tx>
          <c:spPr>
            <a:solidFill>
              <a:srgbClr val="6929C4"/>
            </a:solidFill>
            <a:ln>
              <a:noFill/>
            </a:ln>
            <a:effectLst/>
          </c:spPr>
          <c:invertIfNegative val="0"/>
          <c:cat>
            <c:numRef>
              <c:f>'NLIV UE timeseries plot (Fig.5)'!$A$2:$A$226</c:f>
              <c:numCache>
                <c:formatCode>mmm\-yy</c:formatCode>
                <c:ptCount val="225"/>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pt idx="216">
                  <c:v>45292</c:v>
                </c:pt>
                <c:pt idx="217">
                  <c:v>45323</c:v>
                </c:pt>
                <c:pt idx="218">
                  <c:v>45352</c:v>
                </c:pt>
                <c:pt idx="219">
                  <c:v>45383</c:v>
                </c:pt>
                <c:pt idx="220">
                  <c:v>45413</c:v>
                </c:pt>
                <c:pt idx="221">
                  <c:v>45444</c:v>
                </c:pt>
                <c:pt idx="222">
                  <c:v>45474</c:v>
                </c:pt>
                <c:pt idx="223">
                  <c:v>45505</c:v>
                </c:pt>
                <c:pt idx="224">
                  <c:v>45536</c:v>
                </c:pt>
              </c:numCache>
            </c:numRef>
          </c:cat>
          <c:val>
            <c:numRef>
              <c:f>'NLIV UE timeseries plot (Fig.5)'!$F$2:$F$226</c:f>
              <c:numCache>
                <c:formatCode>General</c:formatCode>
                <c:ptCount val="225"/>
                <c:pt idx="0">
                  <c:v>211.99789199999998</c:v>
                </c:pt>
                <c:pt idx="1">
                  <c:v>216.410731</c:v>
                </c:pt>
                <c:pt idx="2">
                  <c:v>220.79782900000001</c:v>
                </c:pt>
                <c:pt idx="3">
                  <c:v>221.44634599999998</c:v>
                </c:pt>
                <c:pt idx="4">
                  <c:v>218.58195999999998</c:v>
                </c:pt>
                <c:pt idx="5">
                  <c:v>237.57371499999999</c:v>
                </c:pt>
                <c:pt idx="6">
                  <c:v>219.70035200000001</c:v>
                </c:pt>
                <c:pt idx="7">
                  <c:v>226.526332</c:v>
                </c:pt>
                <c:pt idx="8">
                  <c:v>220.05314100000001</c:v>
                </c:pt>
                <c:pt idx="9">
                  <c:v>238.61838900000001</c:v>
                </c:pt>
                <c:pt idx="10">
                  <c:v>238.50656499999999</c:v>
                </c:pt>
                <c:pt idx="11">
                  <c:v>233.32315400000002</c:v>
                </c:pt>
                <c:pt idx="12">
                  <c:v>249.48135200000002</c:v>
                </c:pt>
                <c:pt idx="13">
                  <c:v>256.63775200000003</c:v>
                </c:pt>
                <c:pt idx="14">
                  <c:v>266.509862</c:v>
                </c:pt>
                <c:pt idx="15">
                  <c:v>266.138937</c:v>
                </c:pt>
                <c:pt idx="16">
                  <c:v>271.73188599999997</c:v>
                </c:pt>
                <c:pt idx="17">
                  <c:v>268.878713</c:v>
                </c:pt>
                <c:pt idx="18">
                  <c:v>282.01651600000002</c:v>
                </c:pt>
                <c:pt idx="19">
                  <c:v>281.413027</c:v>
                </c:pt>
                <c:pt idx="20">
                  <c:v>285.707898</c:v>
                </c:pt>
                <c:pt idx="21">
                  <c:v>283.92172600000004</c:v>
                </c:pt>
                <c:pt idx="22">
                  <c:v>294.49593499999997</c:v>
                </c:pt>
                <c:pt idx="23">
                  <c:v>300.41159000000005</c:v>
                </c:pt>
                <c:pt idx="24">
                  <c:v>305.87854599999997</c:v>
                </c:pt>
                <c:pt idx="25">
                  <c:v>306.125541</c:v>
                </c:pt>
                <c:pt idx="26">
                  <c:v>301.18805599999996</c:v>
                </c:pt>
                <c:pt idx="27">
                  <c:v>306.47877</c:v>
                </c:pt>
                <c:pt idx="28">
                  <c:v>299.59612400000003</c:v>
                </c:pt>
                <c:pt idx="29">
                  <c:v>301.49356800000004</c:v>
                </c:pt>
                <c:pt idx="30">
                  <c:v>288.196912</c:v>
                </c:pt>
                <c:pt idx="31">
                  <c:v>273.34674000000001</c:v>
                </c:pt>
                <c:pt idx="32">
                  <c:v>260.48047400000002</c:v>
                </c:pt>
                <c:pt idx="33">
                  <c:v>251.35617300000001</c:v>
                </c:pt>
                <c:pt idx="34">
                  <c:v>234.23542900000001</c:v>
                </c:pt>
                <c:pt idx="35">
                  <c:v>216.676074</c:v>
                </c:pt>
                <c:pt idx="36">
                  <c:v>196.28043</c:v>
                </c:pt>
                <c:pt idx="37">
                  <c:v>182.000834</c:v>
                </c:pt>
                <c:pt idx="38">
                  <c:v>160.59985800000001</c:v>
                </c:pt>
                <c:pt idx="39">
                  <c:v>164.47111799999999</c:v>
                </c:pt>
                <c:pt idx="40">
                  <c:v>156.88273699999999</c:v>
                </c:pt>
                <c:pt idx="41">
                  <c:v>171.84404599999999</c:v>
                </c:pt>
                <c:pt idx="42">
                  <c:v>158.66346100000001</c:v>
                </c:pt>
                <c:pt idx="43">
                  <c:v>165.15636499999999</c:v>
                </c:pt>
                <c:pt idx="44">
                  <c:v>165.99008900000001</c:v>
                </c:pt>
                <c:pt idx="45">
                  <c:v>166.354288</c:v>
                </c:pt>
                <c:pt idx="46">
                  <c:v>169.90912</c:v>
                </c:pt>
                <c:pt idx="47">
                  <c:v>170.84058400000001</c:v>
                </c:pt>
                <c:pt idx="48">
                  <c:v>183.524967</c:v>
                </c:pt>
                <c:pt idx="49">
                  <c:v>188.552087</c:v>
                </c:pt>
                <c:pt idx="50">
                  <c:v>176.83647399999998</c:v>
                </c:pt>
                <c:pt idx="51">
                  <c:v>170.800952</c:v>
                </c:pt>
                <c:pt idx="52">
                  <c:v>186.25927299999998</c:v>
                </c:pt>
                <c:pt idx="53">
                  <c:v>184.94329500000001</c:v>
                </c:pt>
                <c:pt idx="54">
                  <c:v>191.035505</c:v>
                </c:pt>
                <c:pt idx="55">
                  <c:v>192.077865</c:v>
                </c:pt>
                <c:pt idx="56">
                  <c:v>200.48744300000001</c:v>
                </c:pt>
                <c:pt idx="57">
                  <c:v>204.91768999999999</c:v>
                </c:pt>
                <c:pt idx="58">
                  <c:v>205.84514899999999</c:v>
                </c:pt>
                <c:pt idx="59">
                  <c:v>210.675421</c:v>
                </c:pt>
                <c:pt idx="60">
                  <c:v>212.77954500000001</c:v>
                </c:pt>
                <c:pt idx="61">
                  <c:v>213.20740900000001</c:v>
                </c:pt>
                <c:pt idx="62">
                  <c:v>215.38212299999998</c:v>
                </c:pt>
                <c:pt idx="63">
                  <c:v>213.82126399999999</c:v>
                </c:pt>
                <c:pt idx="64">
                  <c:v>208.846462</c:v>
                </c:pt>
                <c:pt idx="65">
                  <c:v>202.94788699999998</c:v>
                </c:pt>
                <c:pt idx="66">
                  <c:v>208.21385599999999</c:v>
                </c:pt>
                <c:pt idx="67">
                  <c:v>202.65811300000001</c:v>
                </c:pt>
                <c:pt idx="68">
                  <c:v>196.18883</c:v>
                </c:pt>
                <c:pt idx="69">
                  <c:v>196.13469000000001</c:v>
                </c:pt>
                <c:pt idx="70">
                  <c:v>196.40976900000001</c:v>
                </c:pt>
                <c:pt idx="71">
                  <c:v>198.114563</c:v>
                </c:pt>
                <c:pt idx="72">
                  <c:v>190.14734899999999</c:v>
                </c:pt>
                <c:pt idx="73">
                  <c:v>193.73400599999999</c:v>
                </c:pt>
                <c:pt idx="74">
                  <c:v>192.52174499999998</c:v>
                </c:pt>
                <c:pt idx="75">
                  <c:v>187.631801</c:v>
                </c:pt>
                <c:pt idx="76">
                  <c:v>181.27567099999999</c:v>
                </c:pt>
                <c:pt idx="77">
                  <c:v>177.66195499999998</c:v>
                </c:pt>
                <c:pt idx="78">
                  <c:v>168.95489499999999</c:v>
                </c:pt>
                <c:pt idx="79">
                  <c:v>168.726506</c:v>
                </c:pt>
                <c:pt idx="80">
                  <c:v>168.20271100000002</c:v>
                </c:pt>
                <c:pt idx="81">
                  <c:v>159.47625500000001</c:v>
                </c:pt>
                <c:pt idx="82">
                  <c:v>154.828902</c:v>
                </c:pt>
                <c:pt idx="83">
                  <c:v>151.05585300000001</c:v>
                </c:pt>
                <c:pt idx="84">
                  <c:v>148.88190299999999</c:v>
                </c:pt>
                <c:pt idx="85">
                  <c:v>144.839494</c:v>
                </c:pt>
                <c:pt idx="86">
                  <c:v>150.69643900000003</c:v>
                </c:pt>
                <c:pt idx="87">
                  <c:v>139.53800099999998</c:v>
                </c:pt>
                <c:pt idx="88">
                  <c:v>142.521019</c:v>
                </c:pt>
                <c:pt idx="89">
                  <c:v>139.79731899999999</c:v>
                </c:pt>
                <c:pt idx="90">
                  <c:v>142.022423</c:v>
                </c:pt>
                <c:pt idx="91">
                  <c:v>140.07795800000002</c:v>
                </c:pt>
                <c:pt idx="92">
                  <c:v>139.113384</c:v>
                </c:pt>
                <c:pt idx="93">
                  <c:v>139.89703</c:v>
                </c:pt>
                <c:pt idx="94">
                  <c:v>140.94781599999999</c:v>
                </c:pt>
                <c:pt idx="95">
                  <c:v>138.61613500000001</c:v>
                </c:pt>
                <c:pt idx="96">
                  <c:v>149.618302</c:v>
                </c:pt>
                <c:pt idx="97">
                  <c:v>147.13782399999999</c:v>
                </c:pt>
                <c:pt idx="98">
                  <c:v>144.836275</c:v>
                </c:pt>
                <c:pt idx="99">
                  <c:v>143.810396</c:v>
                </c:pt>
                <c:pt idx="100">
                  <c:v>151.60186999999999</c:v>
                </c:pt>
                <c:pt idx="101">
                  <c:v>155.827708</c:v>
                </c:pt>
                <c:pt idx="102">
                  <c:v>151.58272500000001</c:v>
                </c:pt>
                <c:pt idx="103">
                  <c:v>156.66002799999998</c:v>
                </c:pt>
                <c:pt idx="104">
                  <c:v>154.33436399999999</c:v>
                </c:pt>
                <c:pt idx="105">
                  <c:v>157.01238599999999</c:v>
                </c:pt>
                <c:pt idx="106">
                  <c:v>151.75002900000001</c:v>
                </c:pt>
                <c:pt idx="107">
                  <c:v>149.57214400000001</c:v>
                </c:pt>
                <c:pt idx="108">
                  <c:v>156.48740900000001</c:v>
                </c:pt>
                <c:pt idx="109">
                  <c:v>154.50804600000001</c:v>
                </c:pt>
                <c:pt idx="110">
                  <c:v>158.024452</c:v>
                </c:pt>
                <c:pt idx="111">
                  <c:v>158.38062200000002</c:v>
                </c:pt>
                <c:pt idx="112">
                  <c:v>150.96134899999998</c:v>
                </c:pt>
                <c:pt idx="113">
                  <c:v>151.93486999999999</c:v>
                </c:pt>
                <c:pt idx="114">
                  <c:v>157.00478700000002</c:v>
                </c:pt>
                <c:pt idx="115">
                  <c:v>154.492549</c:v>
                </c:pt>
                <c:pt idx="116">
                  <c:v>163.274294</c:v>
                </c:pt>
                <c:pt idx="117">
                  <c:v>159.65883400000001</c:v>
                </c:pt>
                <c:pt idx="118">
                  <c:v>164.97005900000002</c:v>
                </c:pt>
                <c:pt idx="119">
                  <c:v>164.34502600000002</c:v>
                </c:pt>
                <c:pt idx="120">
                  <c:v>162.90074999999999</c:v>
                </c:pt>
                <c:pt idx="121">
                  <c:v>161.352992</c:v>
                </c:pt>
                <c:pt idx="122">
                  <c:v>162.62764300000001</c:v>
                </c:pt>
                <c:pt idx="123">
                  <c:v>165.25605900000002</c:v>
                </c:pt>
                <c:pt idx="124">
                  <c:v>166.082505</c:v>
                </c:pt>
                <c:pt idx="125">
                  <c:v>173.24837500000001</c:v>
                </c:pt>
                <c:pt idx="126">
                  <c:v>164.363641</c:v>
                </c:pt>
                <c:pt idx="127">
                  <c:v>165.66115100000002</c:v>
                </c:pt>
                <c:pt idx="128">
                  <c:v>162.96631500000001</c:v>
                </c:pt>
                <c:pt idx="129">
                  <c:v>163.20352499999998</c:v>
                </c:pt>
                <c:pt idx="130">
                  <c:v>162.07352499999999</c:v>
                </c:pt>
                <c:pt idx="131">
                  <c:v>163.29734299999998</c:v>
                </c:pt>
                <c:pt idx="132">
                  <c:v>162.22664799999998</c:v>
                </c:pt>
                <c:pt idx="133">
                  <c:v>165.79581899999999</c:v>
                </c:pt>
                <c:pt idx="134">
                  <c:v>165.264141</c:v>
                </c:pt>
                <c:pt idx="135">
                  <c:v>170.338686</c:v>
                </c:pt>
                <c:pt idx="136">
                  <c:v>173.67127499999998</c:v>
                </c:pt>
                <c:pt idx="137">
                  <c:v>177.160766</c:v>
                </c:pt>
                <c:pt idx="138">
                  <c:v>176.40478300000001</c:v>
                </c:pt>
                <c:pt idx="139">
                  <c:v>175.525274</c:v>
                </c:pt>
                <c:pt idx="140">
                  <c:v>175.57747000000001</c:v>
                </c:pt>
                <c:pt idx="141">
                  <c:v>177.17043200000001</c:v>
                </c:pt>
                <c:pt idx="142">
                  <c:v>178.25407100000001</c:v>
                </c:pt>
                <c:pt idx="143">
                  <c:v>174.28404</c:v>
                </c:pt>
                <c:pt idx="144">
                  <c:v>178.38956099999999</c:v>
                </c:pt>
                <c:pt idx="145">
                  <c:v>181.22324900000001</c:v>
                </c:pt>
                <c:pt idx="146">
                  <c:v>189.82402400000001</c:v>
                </c:pt>
                <c:pt idx="147">
                  <c:v>186.86736999999999</c:v>
                </c:pt>
                <c:pt idx="148">
                  <c:v>186.97875399999998</c:v>
                </c:pt>
                <c:pt idx="149">
                  <c:v>182.962447</c:v>
                </c:pt>
                <c:pt idx="150">
                  <c:v>184.80524499999999</c:v>
                </c:pt>
                <c:pt idx="151">
                  <c:v>185.342635</c:v>
                </c:pt>
                <c:pt idx="152">
                  <c:v>179.35616200000001</c:v>
                </c:pt>
                <c:pt idx="153">
                  <c:v>177.51178300000001</c:v>
                </c:pt>
                <c:pt idx="154">
                  <c:v>177.290986</c:v>
                </c:pt>
                <c:pt idx="155">
                  <c:v>178.30207099999998</c:v>
                </c:pt>
                <c:pt idx="156">
                  <c:v>185.06117</c:v>
                </c:pt>
                <c:pt idx="157">
                  <c:v>181.667723</c:v>
                </c:pt>
                <c:pt idx="158">
                  <c:v>172.529968</c:v>
                </c:pt>
                <c:pt idx="159">
                  <c:v>175.431557</c:v>
                </c:pt>
                <c:pt idx="160">
                  <c:v>177.60932500000001</c:v>
                </c:pt>
                <c:pt idx="161">
                  <c:v>171.95434899999998</c:v>
                </c:pt>
                <c:pt idx="162">
                  <c:v>174.37554299999999</c:v>
                </c:pt>
                <c:pt idx="163">
                  <c:v>168.726448</c:v>
                </c:pt>
                <c:pt idx="164">
                  <c:v>169.96742499999999</c:v>
                </c:pt>
                <c:pt idx="165">
                  <c:v>162.353655</c:v>
                </c:pt>
                <c:pt idx="166">
                  <c:v>155.674723</c:v>
                </c:pt>
                <c:pt idx="167">
                  <c:v>164.246104</c:v>
                </c:pt>
                <c:pt idx="168">
                  <c:v>167.76747800000001</c:v>
                </c:pt>
                <c:pt idx="169">
                  <c:v>160.130979</c:v>
                </c:pt>
                <c:pt idx="170">
                  <c:v>117.803763</c:v>
                </c:pt>
                <c:pt idx="171">
                  <c:v>67.377886000000004</c:v>
                </c:pt>
                <c:pt idx="172">
                  <c:v>90.19462200000001</c:v>
                </c:pt>
                <c:pt idx="173">
                  <c:v>119.962721</c:v>
                </c:pt>
                <c:pt idx="174">
                  <c:v>134.678391</c:v>
                </c:pt>
                <c:pt idx="175">
                  <c:v>136.14185999999998</c:v>
                </c:pt>
                <c:pt idx="176">
                  <c:v>151.32132300000001</c:v>
                </c:pt>
                <c:pt idx="177">
                  <c:v>160.37270599999999</c:v>
                </c:pt>
                <c:pt idx="178">
                  <c:v>175.96556700000002</c:v>
                </c:pt>
                <c:pt idx="179">
                  <c:v>185.17134300000001</c:v>
                </c:pt>
                <c:pt idx="180">
                  <c:v>189.05706099999998</c:v>
                </c:pt>
                <c:pt idx="181">
                  <c:v>202.61265499999999</c:v>
                </c:pt>
                <c:pt idx="182">
                  <c:v>227.85352799999998</c:v>
                </c:pt>
                <c:pt idx="183">
                  <c:v>230.52687599999999</c:v>
                </c:pt>
                <c:pt idx="184">
                  <c:v>234.856953</c:v>
                </c:pt>
                <c:pt idx="185">
                  <c:v>231.67468</c:v>
                </c:pt>
                <c:pt idx="186">
                  <c:v>230.51041699999999</c:v>
                </c:pt>
                <c:pt idx="187">
                  <c:v>210.93934299999998</c:v>
                </c:pt>
                <c:pt idx="188">
                  <c:v>235.964404</c:v>
                </c:pt>
                <c:pt idx="189">
                  <c:v>255.338607</c:v>
                </c:pt>
                <c:pt idx="190">
                  <c:v>261.66925399999997</c:v>
                </c:pt>
                <c:pt idx="191">
                  <c:v>258.410731</c:v>
                </c:pt>
                <c:pt idx="192">
                  <c:v>268.41465799999997</c:v>
                </c:pt>
                <c:pt idx="193">
                  <c:v>277.157535</c:v>
                </c:pt>
                <c:pt idx="194">
                  <c:v>283.10928999999999</c:v>
                </c:pt>
                <c:pt idx="195">
                  <c:v>288.85372799999999</c:v>
                </c:pt>
                <c:pt idx="196">
                  <c:v>294.51957500000003</c:v>
                </c:pt>
                <c:pt idx="197">
                  <c:v>304.82226700000001</c:v>
                </c:pt>
                <c:pt idx="198">
                  <c:v>295.71065000000004</c:v>
                </c:pt>
                <c:pt idx="199">
                  <c:v>296.33434700000004</c:v>
                </c:pt>
                <c:pt idx="200">
                  <c:v>282.70472699999999</c:v>
                </c:pt>
                <c:pt idx="201">
                  <c:v>286.43095899999997</c:v>
                </c:pt>
                <c:pt idx="202">
                  <c:v>276.83451700000001</c:v>
                </c:pt>
                <c:pt idx="203">
                  <c:v>275.454948</c:v>
                </c:pt>
                <c:pt idx="204">
                  <c:v>280.82710100000003</c:v>
                </c:pt>
                <c:pt idx="205">
                  <c:v>282.68357799999995</c:v>
                </c:pt>
                <c:pt idx="206">
                  <c:v>281.25635499999999</c:v>
                </c:pt>
                <c:pt idx="207">
                  <c:v>290.060407</c:v>
                </c:pt>
                <c:pt idx="208">
                  <c:v>281.41384199999999</c:v>
                </c:pt>
                <c:pt idx="209">
                  <c:v>277.91655699999995</c:v>
                </c:pt>
                <c:pt idx="210">
                  <c:v>285.04794400000003</c:v>
                </c:pt>
                <c:pt idx="211">
                  <c:v>276.72760999999997</c:v>
                </c:pt>
                <c:pt idx="212">
                  <c:v>269.56753700000002</c:v>
                </c:pt>
                <c:pt idx="213">
                  <c:v>259.92117400000001</c:v>
                </c:pt>
                <c:pt idx="214">
                  <c:v>258.21136300000001</c:v>
                </c:pt>
                <c:pt idx="215">
                  <c:v>258.89783299999999</c:v>
                </c:pt>
                <c:pt idx="216">
                  <c:v>253.375597</c:v>
                </c:pt>
                <c:pt idx="217">
                  <c:v>246.189797</c:v>
                </c:pt>
                <c:pt idx="218">
                  <c:v>245.42339199999998</c:v>
                </c:pt>
                <c:pt idx="219">
                  <c:v>237.67174299999999</c:v>
                </c:pt>
                <c:pt idx="220">
                  <c:v>237.64606000000001</c:v>
                </c:pt>
                <c:pt idx="221">
                  <c:v>227.66832500000001</c:v>
                </c:pt>
                <c:pt idx="222">
                  <c:v>219.68650299999999</c:v>
                </c:pt>
                <c:pt idx="223">
                  <c:v>229.606088</c:v>
                </c:pt>
                <c:pt idx="224">
                  <c:v>232.59972399999998</c:v>
                </c:pt>
              </c:numCache>
            </c:numRef>
          </c:val>
          <c:extLst>
            <c:ext xmlns:c16="http://schemas.microsoft.com/office/drawing/2014/chart" uri="{C3380CC4-5D6E-409C-BE32-E72D297353CC}">
              <c16:uniqueId val="{00000000-84DD-4087-9B69-4C0ADB60ACD2}"/>
            </c:ext>
          </c:extLst>
        </c:ser>
        <c:dLbls>
          <c:showLegendKey val="0"/>
          <c:showVal val="0"/>
          <c:showCatName val="0"/>
          <c:showSerName val="0"/>
          <c:showPercent val="0"/>
          <c:showBubbleSize val="0"/>
        </c:dLbls>
        <c:gapWidth val="150"/>
        <c:axId val="1615677536"/>
        <c:axId val="989843920"/>
      </c:barChart>
      <c:lineChart>
        <c:grouping val="standard"/>
        <c:varyColors val="0"/>
        <c:ser>
          <c:idx val="1"/>
          <c:order val="1"/>
          <c:tx>
            <c:strRef>
              <c:f>'NLIV UE timeseries plot (Fig.5)'!$G$1</c:f>
              <c:strCache>
                <c:ptCount val="1"/>
                <c:pt idx="0">
                  <c:v>Seasonally adjusted unemployment rate (RHS)</c:v>
                </c:pt>
              </c:strCache>
            </c:strRef>
          </c:tx>
          <c:spPr>
            <a:ln w="22225" cap="rnd">
              <a:solidFill>
                <a:srgbClr val="009D9A"/>
              </a:solidFill>
              <a:round/>
            </a:ln>
            <a:effectLst/>
          </c:spPr>
          <c:marker>
            <c:symbol val="none"/>
          </c:marker>
          <c:cat>
            <c:numRef>
              <c:f>'NLIV UE timeseries plot (Fig.5)'!$A$2:$A$226</c:f>
              <c:numCache>
                <c:formatCode>mmm\-yy</c:formatCode>
                <c:ptCount val="225"/>
                <c:pt idx="0">
                  <c:v>38718</c:v>
                </c:pt>
                <c:pt idx="1">
                  <c:v>38749</c:v>
                </c:pt>
                <c:pt idx="2">
                  <c:v>38777</c:v>
                </c:pt>
                <c:pt idx="3">
                  <c:v>38808</c:v>
                </c:pt>
                <c:pt idx="4">
                  <c:v>38838</c:v>
                </c:pt>
                <c:pt idx="5">
                  <c:v>38869</c:v>
                </c:pt>
                <c:pt idx="6">
                  <c:v>38899</c:v>
                </c:pt>
                <c:pt idx="7">
                  <c:v>38930</c:v>
                </c:pt>
                <c:pt idx="8">
                  <c:v>38961</c:v>
                </c:pt>
                <c:pt idx="9">
                  <c:v>38991</c:v>
                </c:pt>
                <c:pt idx="10">
                  <c:v>39022</c:v>
                </c:pt>
                <c:pt idx="11">
                  <c:v>39052</c:v>
                </c:pt>
                <c:pt idx="12">
                  <c:v>39083</c:v>
                </c:pt>
                <c:pt idx="13">
                  <c:v>39114</c:v>
                </c:pt>
                <c:pt idx="14">
                  <c:v>39142</c:v>
                </c:pt>
                <c:pt idx="15">
                  <c:v>39173</c:v>
                </c:pt>
                <c:pt idx="16">
                  <c:v>39203</c:v>
                </c:pt>
                <c:pt idx="17">
                  <c:v>39234</c:v>
                </c:pt>
                <c:pt idx="18">
                  <c:v>39264</c:v>
                </c:pt>
                <c:pt idx="19">
                  <c:v>39295</c:v>
                </c:pt>
                <c:pt idx="20">
                  <c:v>39326</c:v>
                </c:pt>
                <c:pt idx="21">
                  <c:v>39356</c:v>
                </c:pt>
                <c:pt idx="22">
                  <c:v>39387</c:v>
                </c:pt>
                <c:pt idx="23">
                  <c:v>39417</c:v>
                </c:pt>
                <c:pt idx="24">
                  <c:v>39448</c:v>
                </c:pt>
                <c:pt idx="25">
                  <c:v>39479</c:v>
                </c:pt>
                <c:pt idx="26">
                  <c:v>39508</c:v>
                </c:pt>
                <c:pt idx="27">
                  <c:v>39539</c:v>
                </c:pt>
                <c:pt idx="28">
                  <c:v>39569</c:v>
                </c:pt>
                <c:pt idx="29">
                  <c:v>39600</c:v>
                </c:pt>
                <c:pt idx="30">
                  <c:v>39630</c:v>
                </c:pt>
                <c:pt idx="31">
                  <c:v>39661</c:v>
                </c:pt>
                <c:pt idx="32">
                  <c:v>39692</c:v>
                </c:pt>
                <c:pt idx="33">
                  <c:v>39722</c:v>
                </c:pt>
                <c:pt idx="34">
                  <c:v>39753</c:v>
                </c:pt>
                <c:pt idx="35">
                  <c:v>39783</c:v>
                </c:pt>
                <c:pt idx="36">
                  <c:v>39814</c:v>
                </c:pt>
                <c:pt idx="37">
                  <c:v>39845</c:v>
                </c:pt>
                <c:pt idx="38">
                  <c:v>39873</c:v>
                </c:pt>
                <c:pt idx="39">
                  <c:v>39904</c:v>
                </c:pt>
                <c:pt idx="40">
                  <c:v>39934</c:v>
                </c:pt>
                <c:pt idx="41">
                  <c:v>39965</c:v>
                </c:pt>
                <c:pt idx="42">
                  <c:v>39995</c:v>
                </c:pt>
                <c:pt idx="43">
                  <c:v>40026</c:v>
                </c:pt>
                <c:pt idx="44">
                  <c:v>40057</c:v>
                </c:pt>
                <c:pt idx="45">
                  <c:v>40087</c:v>
                </c:pt>
                <c:pt idx="46">
                  <c:v>40118</c:v>
                </c:pt>
                <c:pt idx="47">
                  <c:v>40148</c:v>
                </c:pt>
                <c:pt idx="48">
                  <c:v>40179</c:v>
                </c:pt>
                <c:pt idx="49">
                  <c:v>40210</c:v>
                </c:pt>
                <c:pt idx="50">
                  <c:v>40238</c:v>
                </c:pt>
                <c:pt idx="51">
                  <c:v>40269</c:v>
                </c:pt>
                <c:pt idx="52">
                  <c:v>40299</c:v>
                </c:pt>
                <c:pt idx="53">
                  <c:v>40330</c:v>
                </c:pt>
                <c:pt idx="54">
                  <c:v>40360</c:v>
                </c:pt>
                <c:pt idx="55">
                  <c:v>40391</c:v>
                </c:pt>
                <c:pt idx="56">
                  <c:v>40422</c:v>
                </c:pt>
                <c:pt idx="57">
                  <c:v>40452</c:v>
                </c:pt>
                <c:pt idx="58">
                  <c:v>40483</c:v>
                </c:pt>
                <c:pt idx="59">
                  <c:v>40513</c:v>
                </c:pt>
                <c:pt idx="60">
                  <c:v>40544</c:v>
                </c:pt>
                <c:pt idx="61">
                  <c:v>40575</c:v>
                </c:pt>
                <c:pt idx="62">
                  <c:v>40603</c:v>
                </c:pt>
                <c:pt idx="63">
                  <c:v>40634</c:v>
                </c:pt>
                <c:pt idx="64">
                  <c:v>40664</c:v>
                </c:pt>
                <c:pt idx="65">
                  <c:v>40695</c:v>
                </c:pt>
                <c:pt idx="66">
                  <c:v>40725</c:v>
                </c:pt>
                <c:pt idx="67">
                  <c:v>40756</c:v>
                </c:pt>
                <c:pt idx="68">
                  <c:v>40787</c:v>
                </c:pt>
                <c:pt idx="69">
                  <c:v>40817</c:v>
                </c:pt>
                <c:pt idx="70">
                  <c:v>40848</c:v>
                </c:pt>
                <c:pt idx="71">
                  <c:v>40878</c:v>
                </c:pt>
                <c:pt idx="72">
                  <c:v>40909</c:v>
                </c:pt>
                <c:pt idx="73">
                  <c:v>40940</c:v>
                </c:pt>
                <c:pt idx="74">
                  <c:v>40969</c:v>
                </c:pt>
                <c:pt idx="75">
                  <c:v>41000</c:v>
                </c:pt>
                <c:pt idx="76">
                  <c:v>41030</c:v>
                </c:pt>
                <c:pt idx="77">
                  <c:v>41061</c:v>
                </c:pt>
                <c:pt idx="78">
                  <c:v>41091</c:v>
                </c:pt>
                <c:pt idx="79">
                  <c:v>41122</c:v>
                </c:pt>
                <c:pt idx="80">
                  <c:v>41153</c:v>
                </c:pt>
                <c:pt idx="81">
                  <c:v>41183</c:v>
                </c:pt>
                <c:pt idx="82">
                  <c:v>41214</c:v>
                </c:pt>
                <c:pt idx="83">
                  <c:v>41244</c:v>
                </c:pt>
                <c:pt idx="84">
                  <c:v>41275</c:v>
                </c:pt>
                <c:pt idx="85">
                  <c:v>41306</c:v>
                </c:pt>
                <c:pt idx="86">
                  <c:v>41334</c:v>
                </c:pt>
                <c:pt idx="87">
                  <c:v>41365</c:v>
                </c:pt>
                <c:pt idx="88">
                  <c:v>41395</c:v>
                </c:pt>
                <c:pt idx="89">
                  <c:v>41426</c:v>
                </c:pt>
                <c:pt idx="90">
                  <c:v>41456</c:v>
                </c:pt>
                <c:pt idx="91">
                  <c:v>41487</c:v>
                </c:pt>
                <c:pt idx="92">
                  <c:v>41518</c:v>
                </c:pt>
                <c:pt idx="93">
                  <c:v>41548</c:v>
                </c:pt>
                <c:pt idx="94">
                  <c:v>41579</c:v>
                </c:pt>
                <c:pt idx="95">
                  <c:v>41609</c:v>
                </c:pt>
                <c:pt idx="96">
                  <c:v>41640</c:v>
                </c:pt>
                <c:pt idx="97">
                  <c:v>41671</c:v>
                </c:pt>
                <c:pt idx="98">
                  <c:v>41699</c:v>
                </c:pt>
                <c:pt idx="99">
                  <c:v>41730</c:v>
                </c:pt>
                <c:pt idx="100">
                  <c:v>41760</c:v>
                </c:pt>
                <c:pt idx="101">
                  <c:v>41791</c:v>
                </c:pt>
                <c:pt idx="102">
                  <c:v>41821</c:v>
                </c:pt>
                <c:pt idx="103">
                  <c:v>41852</c:v>
                </c:pt>
                <c:pt idx="104">
                  <c:v>41883</c:v>
                </c:pt>
                <c:pt idx="105">
                  <c:v>41913</c:v>
                </c:pt>
                <c:pt idx="106">
                  <c:v>41944</c:v>
                </c:pt>
                <c:pt idx="107">
                  <c:v>41974</c:v>
                </c:pt>
                <c:pt idx="108">
                  <c:v>42005</c:v>
                </c:pt>
                <c:pt idx="109">
                  <c:v>42036</c:v>
                </c:pt>
                <c:pt idx="110">
                  <c:v>42064</c:v>
                </c:pt>
                <c:pt idx="111">
                  <c:v>42095</c:v>
                </c:pt>
                <c:pt idx="112">
                  <c:v>42125</c:v>
                </c:pt>
                <c:pt idx="113">
                  <c:v>42156</c:v>
                </c:pt>
                <c:pt idx="114">
                  <c:v>42186</c:v>
                </c:pt>
                <c:pt idx="115">
                  <c:v>42217</c:v>
                </c:pt>
                <c:pt idx="116">
                  <c:v>42248</c:v>
                </c:pt>
                <c:pt idx="117">
                  <c:v>42278</c:v>
                </c:pt>
                <c:pt idx="118">
                  <c:v>42309</c:v>
                </c:pt>
                <c:pt idx="119">
                  <c:v>42339</c:v>
                </c:pt>
                <c:pt idx="120">
                  <c:v>42370</c:v>
                </c:pt>
                <c:pt idx="121">
                  <c:v>42401</c:v>
                </c:pt>
                <c:pt idx="122">
                  <c:v>42430</c:v>
                </c:pt>
                <c:pt idx="123">
                  <c:v>42461</c:v>
                </c:pt>
                <c:pt idx="124">
                  <c:v>42491</c:v>
                </c:pt>
                <c:pt idx="125">
                  <c:v>42522</c:v>
                </c:pt>
                <c:pt idx="126">
                  <c:v>42552</c:v>
                </c:pt>
                <c:pt idx="127">
                  <c:v>42583</c:v>
                </c:pt>
                <c:pt idx="128">
                  <c:v>42614</c:v>
                </c:pt>
                <c:pt idx="129">
                  <c:v>42644</c:v>
                </c:pt>
                <c:pt idx="130">
                  <c:v>42675</c:v>
                </c:pt>
                <c:pt idx="131">
                  <c:v>42705</c:v>
                </c:pt>
                <c:pt idx="132">
                  <c:v>42736</c:v>
                </c:pt>
                <c:pt idx="133">
                  <c:v>42767</c:v>
                </c:pt>
                <c:pt idx="134">
                  <c:v>42795</c:v>
                </c:pt>
                <c:pt idx="135">
                  <c:v>42826</c:v>
                </c:pt>
                <c:pt idx="136">
                  <c:v>42856</c:v>
                </c:pt>
                <c:pt idx="137">
                  <c:v>42887</c:v>
                </c:pt>
                <c:pt idx="138">
                  <c:v>42917</c:v>
                </c:pt>
                <c:pt idx="139">
                  <c:v>42948</c:v>
                </c:pt>
                <c:pt idx="140">
                  <c:v>42979</c:v>
                </c:pt>
                <c:pt idx="141">
                  <c:v>43009</c:v>
                </c:pt>
                <c:pt idx="142">
                  <c:v>43040</c:v>
                </c:pt>
                <c:pt idx="143">
                  <c:v>43070</c:v>
                </c:pt>
                <c:pt idx="144">
                  <c:v>43101</c:v>
                </c:pt>
                <c:pt idx="145">
                  <c:v>43132</c:v>
                </c:pt>
                <c:pt idx="146">
                  <c:v>43160</c:v>
                </c:pt>
                <c:pt idx="147">
                  <c:v>43191</c:v>
                </c:pt>
                <c:pt idx="148">
                  <c:v>43221</c:v>
                </c:pt>
                <c:pt idx="149">
                  <c:v>43252</c:v>
                </c:pt>
                <c:pt idx="150">
                  <c:v>43282</c:v>
                </c:pt>
                <c:pt idx="151">
                  <c:v>43313</c:v>
                </c:pt>
                <c:pt idx="152">
                  <c:v>43344</c:v>
                </c:pt>
                <c:pt idx="153">
                  <c:v>43374</c:v>
                </c:pt>
                <c:pt idx="154">
                  <c:v>43405</c:v>
                </c:pt>
                <c:pt idx="155">
                  <c:v>43435</c:v>
                </c:pt>
                <c:pt idx="156">
                  <c:v>43466</c:v>
                </c:pt>
                <c:pt idx="157">
                  <c:v>43497</c:v>
                </c:pt>
                <c:pt idx="158">
                  <c:v>43525</c:v>
                </c:pt>
                <c:pt idx="159">
                  <c:v>43556</c:v>
                </c:pt>
                <c:pt idx="160">
                  <c:v>43586</c:v>
                </c:pt>
                <c:pt idx="161">
                  <c:v>43617</c:v>
                </c:pt>
                <c:pt idx="162">
                  <c:v>43647</c:v>
                </c:pt>
                <c:pt idx="163">
                  <c:v>43678</c:v>
                </c:pt>
                <c:pt idx="164">
                  <c:v>43709</c:v>
                </c:pt>
                <c:pt idx="165">
                  <c:v>43739</c:v>
                </c:pt>
                <c:pt idx="166">
                  <c:v>43770</c:v>
                </c:pt>
                <c:pt idx="167">
                  <c:v>43800</c:v>
                </c:pt>
                <c:pt idx="168">
                  <c:v>43831</c:v>
                </c:pt>
                <c:pt idx="169">
                  <c:v>43862</c:v>
                </c:pt>
                <c:pt idx="170">
                  <c:v>43891</c:v>
                </c:pt>
                <c:pt idx="171">
                  <c:v>43922</c:v>
                </c:pt>
                <c:pt idx="172">
                  <c:v>43952</c:v>
                </c:pt>
                <c:pt idx="173">
                  <c:v>43983</c:v>
                </c:pt>
                <c:pt idx="174">
                  <c:v>44013</c:v>
                </c:pt>
                <c:pt idx="175">
                  <c:v>44044</c:v>
                </c:pt>
                <c:pt idx="176">
                  <c:v>44075</c:v>
                </c:pt>
                <c:pt idx="177">
                  <c:v>44105</c:v>
                </c:pt>
                <c:pt idx="178">
                  <c:v>44136</c:v>
                </c:pt>
                <c:pt idx="179">
                  <c:v>44166</c:v>
                </c:pt>
                <c:pt idx="180">
                  <c:v>44197</c:v>
                </c:pt>
                <c:pt idx="181">
                  <c:v>44228</c:v>
                </c:pt>
                <c:pt idx="182">
                  <c:v>44256</c:v>
                </c:pt>
                <c:pt idx="183">
                  <c:v>44287</c:v>
                </c:pt>
                <c:pt idx="184">
                  <c:v>44317</c:v>
                </c:pt>
                <c:pt idx="185">
                  <c:v>44348</c:v>
                </c:pt>
                <c:pt idx="186">
                  <c:v>44378</c:v>
                </c:pt>
                <c:pt idx="187">
                  <c:v>44409</c:v>
                </c:pt>
                <c:pt idx="188">
                  <c:v>44440</c:v>
                </c:pt>
                <c:pt idx="189">
                  <c:v>44470</c:v>
                </c:pt>
                <c:pt idx="190">
                  <c:v>44501</c:v>
                </c:pt>
                <c:pt idx="191">
                  <c:v>44531</c:v>
                </c:pt>
                <c:pt idx="192">
                  <c:v>44562</c:v>
                </c:pt>
                <c:pt idx="193">
                  <c:v>44593</c:v>
                </c:pt>
                <c:pt idx="194">
                  <c:v>44621</c:v>
                </c:pt>
                <c:pt idx="195">
                  <c:v>44652</c:v>
                </c:pt>
                <c:pt idx="196">
                  <c:v>44682</c:v>
                </c:pt>
                <c:pt idx="197">
                  <c:v>44713</c:v>
                </c:pt>
                <c:pt idx="198">
                  <c:v>44743</c:v>
                </c:pt>
                <c:pt idx="199">
                  <c:v>44774</c:v>
                </c:pt>
                <c:pt idx="200">
                  <c:v>44805</c:v>
                </c:pt>
                <c:pt idx="201">
                  <c:v>44835</c:v>
                </c:pt>
                <c:pt idx="202">
                  <c:v>44866</c:v>
                </c:pt>
                <c:pt idx="203">
                  <c:v>44896</c:v>
                </c:pt>
                <c:pt idx="204">
                  <c:v>44927</c:v>
                </c:pt>
                <c:pt idx="205">
                  <c:v>44958</c:v>
                </c:pt>
                <c:pt idx="206">
                  <c:v>44986</c:v>
                </c:pt>
                <c:pt idx="207">
                  <c:v>45017</c:v>
                </c:pt>
                <c:pt idx="208">
                  <c:v>45047</c:v>
                </c:pt>
                <c:pt idx="209">
                  <c:v>45078</c:v>
                </c:pt>
                <c:pt idx="210">
                  <c:v>45108</c:v>
                </c:pt>
                <c:pt idx="211">
                  <c:v>45139</c:v>
                </c:pt>
                <c:pt idx="212">
                  <c:v>45170</c:v>
                </c:pt>
                <c:pt idx="213">
                  <c:v>45200</c:v>
                </c:pt>
                <c:pt idx="214">
                  <c:v>45231</c:v>
                </c:pt>
                <c:pt idx="215">
                  <c:v>45261</c:v>
                </c:pt>
                <c:pt idx="216">
                  <c:v>45292</c:v>
                </c:pt>
                <c:pt idx="217">
                  <c:v>45323</c:v>
                </c:pt>
                <c:pt idx="218">
                  <c:v>45352</c:v>
                </c:pt>
                <c:pt idx="219">
                  <c:v>45383</c:v>
                </c:pt>
                <c:pt idx="220">
                  <c:v>45413</c:v>
                </c:pt>
                <c:pt idx="221">
                  <c:v>45444</c:v>
                </c:pt>
                <c:pt idx="222">
                  <c:v>45474</c:v>
                </c:pt>
                <c:pt idx="223">
                  <c:v>45505</c:v>
                </c:pt>
                <c:pt idx="224">
                  <c:v>45536</c:v>
                </c:pt>
              </c:numCache>
            </c:numRef>
          </c:cat>
          <c:val>
            <c:numRef>
              <c:f>'NLIV UE timeseries plot (Fig.5)'!$G$2:$G$226</c:f>
              <c:numCache>
                <c:formatCode>0.0%</c:formatCode>
                <c:ptCount val="225"/>
                <c:pt idx="0">
                  <c:v>5.1614889000000004E-2</c:v>
                </c:pt>
                <c:pt idx="1">
                  <c:v>5.1027924000000002E-2</c:v>
                </c:pt>
                <c:pt idx="2">
                  <c:v>4.8666100999999996E-2</c:v>
                </c:pt>
                <c:pt idx="3">
                  <c:v>4.9648161000000003E-2</c:v>
                </c:pt>
                <c:pt idx="4">
                  <c:v>4.7977068000000005E-2</c:v>
                </c:pt>
                <c:pt idx="5">
                  <c:v>4.8076677999999998E-2</c:v>
                </c:pt>
                <c:pt idx="6">
                  <c:v>4.6561278000000005E-2</c:v>
                </c:pt>
                <c:pt idx="7">
                  <c:v>4.7119375000000005E-2</c:v>
                </c:pt>
                <c:pt idx="8">
                  <c:v>4.6654730000000005E-2</c:v>
                </c:pt>
                <c:pt idx="9">
                  <c:v>4.4627214000000005E-2</c:v>
                </c:pt>
                <c:pt idx="10">
                  <c:v>4.5145524999999999E-2</c:v>
                </c:pt>
                <c:pt idx="11">
                  <c:v>4.5674885999999998E-2</c:v>
                </c:pt>
                <c:pt idx="12">
                  <c:v>4.5530602000000003E-2</c:v>
                </c:pt>
                <c:pt idx="13">
                  <c:v>4.6338163000000002E-2</c:v>
                </c:pt>
                <c:pt idx="14">
                  <c:v>4.4592260000000002E-2</c:v>
                </c:pt>
                <c:pt idx="15">
                  <c:v>4.3853543999999994E-2</c:v>
                </c:pt>
                <c:pt idx="16">
                  <c:v>4.2640371999999996E-2</c:v>
                </c:pt>
                <c:pt idx="17">
                  <c:v>4.3236898000000003E-2</c:v>
                </c:pt>
                <c:pt idx="18">
                  <c:v>4.2526730999999998E-2</c:v>
                </c:pt>
                <c:pt idx="19">
                  <c:v>4.2988286999999993E-2</c:v>
                </c:pt>
                <c:pt idx="20">
                  <c:v>4.2128350000000002E-2</c:v>
                </c:pt>
                <c:pt idx="21">
                  <c:v>4.3256776999999996E-2</c:v>
                </c:pt>
                <c:pt idx="22">
                  <c:v>4.4263110000000001E-2</c:v>
                </c:pt>
                <c:pt idx="23">
                  <c:v>4.3078387999999995E-2</c:v>
                </c:pt>
                <c:pt idx="24">
                  <c:v>4.2214567000000001E-2</c:v>
                </c:pt>
                <c:pt idx="25">
                  <c:v>3.9783370999999998E-2</c:v>
                </c:pt>
                <c:pt idx="26">
                  <c:v>4.0566935999999998E-2</c:v>
                </c:pt>
                <c:pt idx="27">
                  <c:v>4.2648722E-2</c:v>
                </c:pt>
                <c:pt idx="28">
                  <c:v>4.2660399000000002E-2</c:v>
                </c:pt>
                <c:pt idx="29">
                  <c:v>4.2431476000000003E-2</c:v>
                </c:pt>
                <c:pt idx="30">
                  <c:v>4.2497271999999996E-2</c:v>
                </c:pt>
                <c:pt idx="31">
                  <c:v>4.0152970000000003E-2</c:v>
                </c:pt>
                <c:pt idx="32">
                  <c:v>4.2886785999999996E-2</c:v>
                </c:pt>
                <c:pt idx="33">
                  <c:v>4.2895443000000005E-2</c:v>
                </c:pt>
                <c:pt idx="34">
                  <c:v>4.4624015999999996E-2</c:v>
                </c:pt>
                <c:pt idx="35">
                  <c:v>4.5695212999999998E-2</c:v>
                </c:pt>
                <c:pt idx="36">
                  <c:v>4.9072883999999997E-2</c:v>
                </c:pt>
                <c:pt idx="37">
                  <c:v>5.3013367000000006E-2</c:v>
                </c:pt>
                <c:pt idx="38">
                  <c:v>5.7107856999999998E-2</c:v>
                </c:pt>
                <c:pt idx="39">
                  <c:v>5.512251E-2</c:v>
                </c:pt>
                <c:pt idx="40">
                  <c:v>5.8116944999999996E-2</c:v>
                </c:pt>
                <c:pt idx="41">
                  <c:v>5.8612162000000002E-2</c:v>
                </c:pt>
                <c:pt idx="42">
                  <c:v>5.6718562E-2</c:v>
                </c:pt>
                <c:pt idx="43">
                  <c:v>5.7148953999999995E-2</c:v>
                </c:pt>
                <c:pt idx="44">
                  <c:v>5.6612427999999999E-2</c:v>
                </c:pt>
                <c:pt idx="45">
                  <c:v>5.6229540000000001E-2</c:v>
                </c:pt>
                <c:pt idx="46">
                  <c:v>5.5580866999999999E-2</c:v>
                </c:pt>
                <c:pt idx="47">
                  <c:v>5.4906122999999994E-2</c:v>
                </c:pt>
                <c:pt idx="48">
                  <c:v>5.2653119000000005E-2</c:v>
                </c:pt>
                <c:pt idx="49">
                  <c:v>5.2966433000000007E-2</c:v>
                </c:pt>
                <c:pt idx="50">
                  <c:v>5.4221358999999997E-2</c:v>
                </c:pt>
                <c:pt idx="51">
                  <c:v>5.4978090999999993E-2</c:v>
                </c:pt>
                <c:pt idx="52">
                  <c:v>5.2294764999999993E-2</c:v>
                </c:pt>
                <c:pt idx="53">
                  <c:v>5.1439859999999997E-2</c:v>
                </c:pt>
                <c:pt idx="54">
                  <c:v>5.2870989E-2</c:v>
                </c:pt>
                <c:pt idx="55">
                  <c:v>5.0325388999999998E-2</c:v>
                </c:pt>
                <c:pt idx="56">
                  <c:v>5.0535534E-2</c:v>
                </c:pt>
                <c:pt idx="57">
                  <c:v>5.2840411999999996E-2</c:v>
                </c:pt>
                <c:pt idx="58">
                  <c:v>5.1086467000000003E-2</c:v>
                </c:pt>
                <c:pt idx="59">
                  <c:v>4.8763151999999997E-2</c:v>
                </c:pt>
                <c:pt idx="60">
                  <c:v>5.0025282999999997E-2</c:v>
                </c:pt>
                <c:pt idx="61">
                  <c:v>4.9704145999999998E-2</c:v>
                </c:pt>
                <c:pt idx="62">
                  <c:v>4.9259853999999999E-2</c:v>
                </c:pt>
                <c:pt idx="63">
                  <c:v>4.9584504999999994E-2</c:v>
                </c:pt>
                <c:pt idx="64">
                  <c:v>5.0133463000000003E-2</c:v>
                </c:pt>
                <c:pt idx="65">
                  <c:v>4.9167316999999995E-2</c:v>
                </c:pt>
                <c:pt idx="66">
                  <c:v>5.0917434999999997E-2</c:v>
                </c:pt>
                <c:pt idx="67">
                  <c:v>5.2706887000000001E-2</c:v>
                </c:pt>
                <c:pt idx="68">
                  <c:v>5.2208107999999996E-2</c:v>
                </c:pt>
                <c:pt idx="69">
                  <c:v>5.1870274000000001E-2</c:v>
                </c:pt>
                <c:pt idx="70">
                  <c:v>5.2307057999999997E-2</c:v>
                </c:pt>
                <c:pt idx="71">
                  <c:v>5.1960329E-2</c:v>
                </c:pt>
                <c:pt idx="72">
                  <c:v>5.0469950999999999E-2</c:v>
                </c:pt>
                <c:pt idx="73">
                  <c:v>5.1903687999999996E-2</c:v>
                </c:pt>
                <c:pt idx="74">
                  <c:v>5.1826191000000001E-2</c:v>
                </c:pt>
                <c:pt idx="75">
                  <c:v>4.9934348000000003E-2</c:v>
                </c:pt>
                <c:pt idx="76">
                  <c:v>5.2005963000000002E-2</c:v>
                </c:pt>
                <c:pt idx="77">
                  <c:v>5.1625113E-2</c:v>
                </c:pt>
                <c:pt idx="78">
                  <c:v>5.1814007999999995E-2</c:v>
                </c:pt>
                <c:pt idx="79">
                  <c:v>5.1575319000000001E-2</c:v>
                </c:pt>
                <c:pt idx="80">
                  <c:v>5.4871425000000001E-2</c:v>
                </c:pt>
                <c:pt idx="81">
                  <c:v>5.4098051000000001E-2</c:v>
                </c:pt>
                <c:pt idx="82">
                  <c:v>5.2564495999999995E-2</c:v>
                </c:pt>
                <c:pt idx="83">
                  <c:v>5.4313779999999999E-2</c:v>
                </c:pt>
                <c:pt idx="84">
                  <c:v>5.3887543999999996E-2</c:v>
                </c:pt>
                <c:pt idx="85">
                  <c:v>5.3928993000000001E-2</c:v>
                </c:pt>
                <c:pt idx="86">
                  <c:v>5.6397171000000003E-2</c:v>
                </c:pt>
                <c:pt idx="87">
                  <c:v>5.5872682999999999E-2</c:v>
                </c:pt>
                <c:pt idx="88">
                  <c:v>5.6100767999999995E-2</c:v>
                </c:pt>
                <c:pt idx="89">
                  <c:v>5.6952154000000005E-2</c:v>
                </c:pt>
                <c:pt idx="90">
                  <c:v>5.6352073999999995E-2</c:v>
                </c:pt>
                <c:pt idx="91">
                  <c:v>5.8444044000000001E-2</c:v>
                </c:pt>
                <c:pt idx="92">
                  <c:v>5.7046897000000006E-2</c:v>
                </c:pt>
                <c:pt idx="93">
                  <c:v>5.8230635000000003E-2</c:v>
                </c:pt>
                <c:pt idx="94">
                  <c:v>5.7961707000000001E-2</c:v>
                </c:pt>
                <c:pt idx="95">
                  <c:v>5.8993583000000002E-2</c:v>
                </c:pt>
                <c:pt idx="96">
                  <c:v>5.9449121000000001E-2</c:v>
                </c:pt>
                <c:pt idx="97">
                  <c:v>5.8759293000000004E-2</c:v>
                </c:pt>
                <c:pt idx="98">
                  <c:v>5.8741365999999996E-2</c:v>
                </c:pt>
                <c:pt idx="99">
                  <c:v>5.8025181999999995E-2</c:v>
                </c:pt>
                <c:pt idx="100">
                  <c:v>5.9304126000000006E-2</c:v>
                </c:pt>
                <c:pt idx="101">
                  <c:v>6.0489184000000001E-2</c:v>
                </c:pt>
                <c:pt idx="102">
                  <c:v>6.1782332000000002E-2</c:v>
                </c:pt>
                <c:pt idx="103">
                  <c:v>6.1062966000000003E-2</c:v>
                </c:pt>
                <c:pt idx="104">
                  <c:v>6.2378726999999995E-2</c:v>
                </c:pt>
                <c:pt idx="105">
                  <c:v>6.3581555999999997E-2</c:v>
                </c:pt>
                <c:pt idx="106">
                  <c:v>6.2965300000000002E-2</c:v>
                </c:pt>
                <c:pt idx="107">
                  <c:v>6.1029229000000004E-2</c:v>
                </c:pt>
                <c:pt idx="108">
                  <c:v>6.3491298000000002E-2</c:v>
                </c:pt>
                <c:pt idx="109">
                  <c:v>6.1523522000000004E-2</c:v>
                </c:pt>
                <c:pt idx="110">
                  <c:v>6.1021997000000001E-2</c:v>
                </c:pt>
                <c:pt idx="111">
                  <c:v>6.1102685000000004E-2</c:v>
                </c:pt>
                <c:pt idx="112">
                  <c:v>5.9314954000000003E-2</c:v>
                </c:pt>
                <c:pt idx="113">
                  <c:v>6.0084882000000006E-2</c:v>
                </c:pt>
                <c:pt idx="114">
                  <c:v>6.2819830999999993E-2</c:v>
                </c:pt>
                <c:pt idx="115">
                  <c:v>6.0896790999999999E-2</c:v>
                </c:pt>
                <c:pt idx="116">
                  <c:v>6.1751728000000006E-2</c:v>
                </c:pt>
                <c:pt idx="117">
                  <c:v>5.9143348999999998E-2</c:v>
                </c:pt>
                <c:pt idx="118">
                  <c:v>5.8499385000000001E-2</c:v>
                </c:pt>
                <c:pt idx="119">
                  <c:v>5.7366225E-2</c:v>
                </c:pt>
                <c:pt idx="120">
                  <c:v>6.0379012000000003E-2</c:v>
                </c:pt>
                <c:pt idx="121">
                  <c:v>5.6923844000000001E-2</c:v>
                </c:pt>
                <c:pt idx="122">
                  <c:v>5.6520656000000002E-2</c:v>
                </c:pt>
                <c:pt idx="123">
                  <c:v>5.6432567999999995E-2</c:v>
                </c:pt>
                <c:pt idx="124">
                  <c:v>5.7220067999999999E-2</c:v>
                </c:pt>
                <c:pt idx="125">
                  <c:v>5.6968229000000002E-2</c:v>
                </c:pt>
                <c:pt idx="126">
                  <c:v>5.7023828999999998E-2</c:v>
                </c:pt>
                <c:pt idx="127">
                  <c:v>5.6180239999999999E-2</c:v>
                </c:pt>
                <c:pt idx="128">
                  <c:v>5.6662880999999998E-2</c:v>
                </c:pt>
                <c:pt idx="129">
                  <c:v>5.6006924999999999E-2</c:v>
                </c:pt>
                <c:pt idx="130">
                  <c:v>5.7662928000000002E-2</c:v>
                </c:pt>
                <c:pt idx="131">
                  <c:v>5.8289920000000002E-2</c:v>
                </c:pt>
                <c:pt idx="132">
                  <c:v>5.6793652999999999E-2</c:v>
                </c:pt>
                <c:pt idx="133">
                  <c:v>5.8903448999999997E-2</c:v>
                </c:pt>
                <c:pt idx="134">
                  <c:v>5.8445594999999996E-2</c:v>
                </c:pt>
                <c:pt idx="135">
                  <c:v>5.6055830999999993E-2</c:v>
                </c:pt>
                <c:pt idx="136">
                  <c:v>5.5489157999999997E-2</c:v>
                </c:pt>
                <c:pt idx="137">
                  <c:v>5.6251879000000005E-2</c:v>
                </c:pt>
                <c:pt idx="138">
                  <c:v>5.6160078000000002E-2</c:v>
                </c:pt>
                <c:pt idx="139">
                  <c:v>5.5337645999999997E-2</c:v>
                </c:pt>
                <c:pt idx="140">
                  <c:v>5.4668051999999995E-2</c:v>
                </c:pt>
                <c:pt idx="141">
                  <c:v>5.4099469999999997E-2</c:v>
                </c:pt>
                <c:pt idx="142">
                  <c:v>5.4526910999999997E-2</c:v>
                </c:pt>
                <c:pt idx="143">
                  <c:v>5.6046537E-2</c:v>
                </c:pt>
                <c:pt idx="144">
                  <c:v>5.5179635999999997E-2</c:v>
                </c:pt>
                <c:pt idx="145">
                  <c:v>5.5779648999999994E-2</c:v>
                </c:pt>
                <c:pt idx="146">
                  <c:v>5.5288104999999997E-2</c:v>
                </c:pt>
                <c:pt idx="147">
                  <c:v>5.5386373999999995E-2</c:v>
                </c:pt>
                <c:pt idx="148">
                  <c:v>5.4383755000000006E-2</c:v>
                </c:pt>
                <c:pt idx="149">
                  <c:v>5.3440252000000001E-2</c:v>
                </c:pt>
                <c:pt idx="150">
                  <c:v>5.3084847000000004E-2</c:v>
                </c:pt>
                <c:pt idx="151">
                  <c:v>5.2488371999999998E-2</c:v>
                </c:pt>
                <c:pt idx="152">
                  <c:v>5.0242681999999997E-2</c:v>
                </c:pt>
                <c:pt idx="153">
                  <c:v>5.0109364999999996E-2</c:v>
                </c:pt>
                <c:pt idx="154">
                  <c:v>5.1066304999999999E-2</c:v>
                </c:pt>
                <c:pt idx="155">
                  <c:v>5.0033592000000002E-2</c:v>
                </c:pt>
                <c:pt idx="156">
                  <c:v>5.0403250000000004E-2</c:v>
                </c:pt>
                <c:pt idx="157">
                  <c:v>4.9863026000000005E-2</c:v>
                </c:pt>
                <c:pt idx="158">
                  <c:v>5.0873774999999996E-2</c:v>
                </c:pt>
                <c:pt idx="159">
                  <c:v>5.2122483999999997E-2</c:v>
                </c:pt>
                <c:pt idx="160">
                  <c:v>5.2007798000000001E-2</c:v>
                </c:pt>
                <c:pt idx="161">
                  <c:v>5.2627966999999998E-2</c:v>
                </c:pt>
                <c:pt idx="162">
                  <c:v>5.2944152000000001E-2</c:v>
                </c:pt>
                <c:pt idx="163">
                  <c:v>5.2654249999999993E-2</c:v>
                </c:pt>
                <c:pt idx="164">
                  <c:v>5.2351273999999996E-2</c:v>
                </c:pt>
                <c:pt idx="165">
                  <c:v>5.3174656000000001E-2</c:v>
                </c:pt>
                <c:pt idx="166">
                  <c:v>5.1627086000000003E-2</c:v>
                </c:pt>
                <c:pt idx="167">
                  <c:v>5.0217093999999997E-2</c:v>
                </c:pt>
                <c:pt idx="168">
                  <c:v>5.2374229000000001E-2</c:v>
                </c:pt>
                <c:pt idx="169">
                  <c:v>5.1057294999999996E-2</c:v>
                </c:pt>
                <c:pt idx="170">
                  <c:v>5.1932672999999999E-2</c:v>
                </c:pt>
                <c:pt idx="171">
                  <c:v>6.2927131999999997E-2</c:v>
                </c:pt>
                <c:pt idx="172">
                  <c:v>6.9925789000000002E-2</c:v>
                </c:pt>
                <c:pt idx="173">
                  <c:v>7.4326300999999997E-2</c:v>
                </c:pt>
                <c:pt idx="174">
                  <c:v>7.4711782000000004E-2</c:v>
                </c:pt>
                <c:pt idx="175">
                  <c:v>6.8050337000000002E-2</c:v>
                </c:pt>
                <c:pt idx="176">
                  <c:v>6.9385242999999999E-2</c:v>
                </c:pt>
                <c:pt idx="177">
                  <c:v>6.9783089000000006E-2</c:v>
                </c:pt>
                <c:pt idx="178">
                  <c:v>6.7883221000000007E-2</c:v>
                </c:pt>
                <c:pt idx="179">
                  <c:v>6.5277149999999992E-2</c:v>
                </c:pt>
                <c:pt idx="180">
                  <c:v>6.2652491000000005E-2</c:v>
                </c:pt>
                <c:pt idx="181">
                  <c:v>5.8383909999999997E-2</c:v>
                </c:pt>
                <c:pt idx="182">
                  <c:v>5.6612951999999994E-2</c:v>
                </c:pt>
                <c:pt idx="183">
                  <c:v>5.4592286999999996E-2</c:v>
                </c:pt>
                <c:pt idx="184">
                  <c:v>5.1090188999999994E-2</c:v>
                </c:pt>
                <c:pt idx="185">
                  <c:v>5.0368229E-2</c:v>
                </c:pt>
                <c:pt idx="186">
                  <c:v>4.7501743999999999E-2</c:v>
                </c:pt>
                <c:pt idx="187">
                  <c:v>4.5819872999999997E-2</c:v>
                </c:pt>
                <c:pt idx="188">
                  <c:v>4.7252270000000006E-2</c:v>
                </c:pt>
                <c:pt idx="189">
                  <c:v>5.2688053999999998E-2</c:v>
                </c:pt>
                <c:pt idx="190">
                  <c:v>4.6108789000000004E-2</c:v>
                </c:pt>
                <c:pt idx="191">
                  <c:v>4.1760327000000007E-2</c:v>
                </c:pt>
                <c:pt idx="192">
                  <c:v>4.1583782999999999E-2</c:v>
                </c:pt>
                <c:pt idx="193">
                  <c:v>4.0227674000000005E-2</c:v>
                </c:pt>
                <c:pt idx="194">
                  <c:v>3.9689928999999999E-2</c:v>
                </c:pt>
                <c:pt idx="195">
                  <c:v>3.8493425999999997E-2</c:v>
                </c:pt>
                <c:pt idx="196">
                  <c:v>3.9380719000000002E-2</c:v>
                </c:pt>
                <c:pt idx="197">
                  <c:v>3.6219346999999999E-2</c:v>
                </c:pt>
                <c:pt idx="198">
                  <c:v>3.4680848E-2</c:v>
                </c:pt>
                <c:pt idx="199">
                  <c:v>3.5348839E-2</c:v>
                </c:pt>
                <c:pt idx="200">
                  <c:v>3.6263762999999997E-2</c:v>
                </c:pt>
                <c:pt idx="201">
                  <c:v>3.4589072999999998E-2</c:v>
                </c:pt>
                <c:pt idx="202">
                  <c:v>3.493918E-2</c:v>
                </c:pt>
                <c:pt idx="203">
                  <c:v>3.4906487E-2</c:v>
                </c:pt>
                <c:pt idx="204">
                  <c:v>3.6519534999999999E-2</c:v>
                </c:pt>
                <c:pt idx="205">
                  <c:v>3.5981280999999997E-2</c:v>
                </c:pt>
                <c:pt idx="206">
                  <c:v>3.5749126999999999E-2</c:v>
                </c:pt>
                <c:pt idx="207">
                  <c:v>3.7011460999999996E-2</c:v>
                </c:pt>
                <c:pt idx="208">
                  <c:v>3.5879292E-2</c:v>
                </c:pt>
                <c:pt idx="209">
                  <c:v>3.5412336000000003E-2</c:v>
                </c:pt>
                <c:pt idx="210">
                  <c:v>3.7363423E-2</c:v>
                </c:pt>
                <c:pt idx="211">
                  <c:v>3.6880599999999999E-2</c:v>
                </c:pt>
                <c:pt idx="212">
                  <c:v>3.5965878E-2</c:v>
                </c:pt>
                <c:pt idx="213">
                  <c:v>3.8048933E-2</c:v>
                </c:pt>
                <c:pt idx="214">
                  <c:v>3.9052753000000003E-2</c:v>
                </c:pt>
                <c:pt idx="215">
                  <c:v>3.9466675999999999E-2</c:v>
                </c:pt>
                <c:pt idx="216">
                  <c:v>4.0824223E-2</c:v>
                </c:pt>
                <c:pt idx="217">
                  <c:v>3.7262403999999999E-2</c:v>
                </c:pt>
                <c:pt idx="218">
                  <c:v>3.8744662999999999E-2</c:v>
                </c:pt>
                <c:pt idx="219">
                  <c:v>4.0838472000000001E-2</c:v>
                </c:pt>
                <c:pt idx="220">
                  <c:v>4.0126223000000003E-2</c:v>
                </c:pt>
                <c:pt idx="221">
                  <c:v>4.0712634999999997E-2</c:v>
                </c:pt>
                <c:pt idx="222">
                  <c:v>4.2290893000000003E-2</c:v>
                </c:pt>
                <c:pt idx="223">
                  <c:v>4.1432589999999998E-2</c:v>
                </c:pt>
                <c:pt idx="224">
                  <c:v>4.0673633999999993E-2</c:v>
                </c:pt>
              </c:numCache>
            </c:numRef>
          </c:val>
          <c:smooth val="0"/>
          <c:extLst>
            <c:ext xmlns:c16="http://schemas.microsoft.com/office/drawing/2014/chart" uri="{C3380CC4-5D6E-409C-BE32-E72D297353CC}">
              <c16:uniqueId val="{00000001-84DD-4087-9B69-4C0ADB60ACD2}"/>
            </c:ext>
          </c:extLst>
        </c:ser>
        <c:dLbls>
          <c:showLegendKey val="0"/>
          <c:showVal val="0"/>
          <c:showCatName val="0"/>
          <c:showSerName val="0"/>
          <c:showPercent val="0"/>
          <c:showBubbleSize val="0"/>
        </c:dLbls>
        <c:marker val="1"/>
        <c:smooth val="0"/>
        <c:axId val="1624072144"/>
        <c:axId val="1040526544"/>
      </c:lineChart>
      <c:dateAx>
        <c:axId val="1615677536"/>
        <c:scaling>
          <c:orientation val="minMax"/>
          <c:max val="45536"/>
          <c:min val="39692"/>
        </c:scaling>
        <c:delete val="0"/>
        <c:axPos val="b"/>
        <c:numFmt formatCode="mmm\-yy" sourceLinked="0"/>
        <c:majorTickMark val="out"/>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89843920"/>
        <c:crosses val="autoZero"/>
        <c:auto val="1"/>
        <c:lblOffset val="100"/>
        <c:baseTimeUnit val="months"/>
        <c:majorUnit val="4"/>
        <c:majorTimeUnit val="years"/>
      </c:dateAx>
      <c:valAx>
        <c:axId val="989843920"/>
        <c:scaling>
          <c:orientation val="minMax"/>
          <c:max val="40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AU">
                    <a:solidFill>
                      <a:schemeClr val="tx1"/>
                    </a:solidFill>
                  </a:rPr>
                  <a:t>Job advertisements ('000s)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15677536"/>
        <c:crosses val="autoZero"/>
        <c:crossBetween val="between"/>
        <c:majorUnit val="100"/>
      </c:valAx>
      <c:valAx>
        <c:axId val="1040526544"/>
        <c:scaling>
          <c:orientation val="minMax"/>
          <c:min val="0"/>
        </c:scaling>
        <c:delete val="0"/>
        <c:axPos val="r"/>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AU">
                    <a:solidFill>
                      <a:schemeClr val="tx1"/>
                    </a:solidFill>
                  </a:rPr>
                  <a:t>Unemployment rate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624072144"/>
        <c:crosses val="max"/>
        <c:crossBetween val="between"/>
        <c:majorUnit val="2.0000000000000004E-2"/>
      </c:valAx>
      <c:dateAx>
        <c:axId val="1624072144"/>
        <c:scaling>
          <c:orientation val="minMax"/>
        </c:scaling>
        <c:delete val="1"/>
        <c:axPos val="b"/>
        <c:numFmt formatCode="mmm\-yy" sourceLinked="1"/>
        <c:majorTickMark val="out"/>
        <c:minorTickMark val="none"/>
        <c:tickLblPos val="nextTo"/>
        <c:crossAx val="1040526544"/>
        <c:crosses val="autoZero"/>
        <c:auto val="1"/>
        <c:lblOffset val="100"/>
        <c:baseTimeUnit val="months"/>
      </c:dateAx>
      <c:spPr>
        <a:noFill/>
        <a:ln>
          <a:noFill/>
        </a:ln>
        <a:effectLst/>
      </c:spPr>
    </c:plotArea>
    <c:legend>
      <c:legendPos val="b"/>
      <c:layout>
        <c:manualLayout>
          <c:xMode val="edge"/>
          <c:yMode val="edge"/>
          <c:x val="7.5890563930764932E-2"/>
          <c:y val="0.83714557988645588"/>
          <c:w val="0.85046604550530425"/>
          <c:h val="0.118980940794809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4389192585216E-2"/>
          <c:y val="7.8306173967594289E-2"/>
          <c:w val="0.78653713688069249"/>
          <c:h val="0.73796348101267528"/>
        </c:manualLayout>
      </c:layout>
      <c:lineChart>
        <c:grouping val="standard"/>
        <c:varyColors val="0"/>
        <c:ser>
          <c:idx val="1"/>
          <c:order val="1"/>
          <c:tx>
            <c:strRef>
              <c:f>'F2- SERA, REOS, IVI'!$C$4</c:f>
              <c:strCache>
                <c:ptCount val="1"/>
                <c:pt idx="0">
                  <c:v>Recruitment difficulty</c:v>
                </c:pt>
              </c:strCache>
            </c:strRef>
          </c:tx>
          <c:spPr>
            <a:ln w="22225" cap="rnd">
              <a:solidFill>
                <a:srgbClr val="012749"/>
              </a:solidFill>
              <a:round/>
            </a:ln>
            <a:effectLst/>
          </c:spPr>
          <c:marker>
            <c:symbol val="none"/>
          </c:marker>
          <c:cat>
            <c:numRef>
              <c:f>'F2- SERA, REOS, IVI'!$A$5:$A$29</c:f>
              <c:numCache>
                <c:formatCode>mmm\-yy</c:formatCode>
                <c:ptCount val="25"/>
                <c:pt idx="0">
                  <c:v>44805</c:v>
                </c:pt>
                <c:pt idx="1">
                  <c:v>44835</c:v>
                </c:pt>
                <c:pt idx="2">
                  <c:v>44866</c:v>
                </c:pt>
                <c:pt idx="3">
                  <c:v>44896</c:v>
                </c:pt>
                <c:pt idx="4">
                  <c:v>44927</c:v>
                </c:pt>
                <c:pt idx="5">
                  <c:v>44958</c:v>
                </c:pt>
                <c:pt idx="6">
                  <c:v>44986</c:v>
                </c:pt>
                <c:pt idx="7">
                  <c:v>45017</c:v>
                </c:pt>
                <c:pt idx="8">
                  <c:v>45047</c:v>
                </c:pt>
                <c:pt idx="9">
                  <c:v>45078</c:v>
                </c:pt>
                <c:pt idx="10">
                  <c:v>45108</c:v>
                </c:pt>
                <c:pt idx="11">
                  <c:v>45139</c:v>
                </c:pt>
                <c:pt idx="12">
                  <c:v>45170</c:v>
                </c:pt>
                <c:pt idx="13">
                  <c:v>45200</c:v>
                </c:pt>
                <c:pt idx="14">
                  <c:v>45231</c:v>
                </c:pt>
                <c:pt idx="15">
                  <c:v>45261</c:v>
                </c:pt>
                <c:pt idx="16">
                  <c:v>45292</c:v>
                </c:pt>
                <c:pt idx="17">
                  <c:v>45323</c:v>
                </c:pt>
                <c:pt idx="18">
                  <c:v>45352</c:v>
                </c:pt>
                <c:pt idx="19">
                  <c:v>45383</c:v>
                </c:pt>
                <c:pt idx="20">
                  <c:v>45413</c:v>
                </c:pt>
                <c:pt idx="21">
                  <c:v>45444</c:v>
                </c:pt>
                <c:pt idx="22">
                  <c:v>45474</c:v>
                </c:pt>
                <c:pt idx="23">
                  <c:v>45505</c:v>
                </c:pt>
                <c:pt idx="24">
                  <c:v>45536</c:v>
                </c:pt>
              </c:numCache>
            </c:numRef>
          </c:cat>
          <c:val>
            <c:numRef>
              <c:f>'F2- SERA, REOS, IVI'!$C$5:$C$29</c:f>
              <c:numCache>
                <c:formatCode>0%</c:formatCode>
                <c:ptCount val="25"/>
                <c:pt idx="0">
                  <c:v>0.67</c:v>
                </c:pt>
                <c:pt idx="1">
                  <c:v>0.7</c:v>
                </c:pt>
                <c:pt idx="2">
                  <c:v>0.69</c:v>
                </c:pt>
                <c:pt idx="3">
                  <c:v>0.65</c:v>
                </c:pt>
                <c:pt idx="4">
                  <c:v>0.56000000000000005</c:v>
                </c:pt>
                <c:pt idx="5">
                  <c:v>0.61</c:v>
                </c:pt>
                <c:pt idx="6">
                  <c:v>0.64</c:v>
                </c:pt>
                <c:pt idx="7">
                  <c:v>0.62</c:v>
                </c:pt>
                <c:pt idx="8">
                  <c:v>0.67</c:v>
                </c:pt>
                <c:pt idx="9">
                  <c:v>0.63</c:v>
                </c:pt>
                <c:pt idx="10">
                  <c:v>0.59</c:v>
                </c:pt>
                <c:pt idx="11">
                  <c:v>0.61</c:v>
                </c:pt>
                <c:pt idx="12">
                  <c:v>0.59</c:v>
                </c:pt>
                <c:pt idx="13">
                  <c:v>0.56000000000000005</c:v>
                </c:pt>
                <c:pt idx="14">
                  <c:v>0.56000000000000005</c:v>
                </c:pt>
                <c:pt idx="15">
                  <c:v>0.51</c:v>
                </c:pt>
                <c:pt idx="16">
                  <c:v>0.55000000000000004</c:v>
                </c:pt>
                <c:pt idx="17">
                  <c:v>0.54</c:v>
                </c:pt>
                <c:pt idx="18">
                  <c:v>0.5</c:v>
                </c:pt>
                <c:pt idx="19">
                  <c:v>0.53</c:v>
                </c:pt>
                <c:pt idx="20">
                  <c:v>0.56000000000000005</c:v>
                </c:pt>
                <c:pt idx="21">
                  <c:v>0.55000000000000004</c:v>
                </c:pt>
                <c:pt idx="22">
                  <c:v>0.47</c:v>
                </c:pt>
                <c:pt idx="23">
                  <c:v>0.5</c:v>
                </c:pt>
                <c:pt idx="24">
                  <c:v>0.52</c:v>
                </c:pt>
              </c:numCache>
            </c:numRef>
          </c:val>
          <c:smooth val="0"/>
          <c:extLst>
            <c:ext xmlns:c16="http://schemas.microsoft.com/office/drawing/2014/chart" uri="{C3380CC4-5D6E-409C-BE32-E72D297353CC}">
              <c16:uniqueId val="{00000000-3351-44D9-A63D-7F90EE1F2511}"/>
            </c:ext>
          </c:extLst>
        </c:ser>
        <c:ser>
          <c:idx val="2"/>
          <c:order val="2"/>
          <c:tx>
            <c:strRef>
              <c:f>'F2- SERA, REOS, IVI'!$D$4</c:f>
              <c:strCache>
                <c:ptCount val="1"/>
                <c:pt idx="0">
                  <c:v>Fill rate</c:v>
                </c:pt>
              </c:strCache>
            </c:strRef>
          </c:tx>
          <c:spPr>
            <a:ln w="22225" cap="rnd">
              <a:solidFill>
                <a:srgbClr val="6929C4"/>
              </a:solidFill>
              <a:round/>
            </a:ln>
            <a:effectLst/>
          </c:spPr>
          <c:marker>
            <c:symbol val="none"/>
          </c:marker>
          <c:cat>
            <c:numRef>
              <c:f>'F2- SERA, REOS, IVI'!$A$5:$A$29</c:f>
              <c:numCache>
                <c:formatCode>mmm\-yy</c:formatCode>
                <c:ptCount val="25"/>
                <c:pt idx="0">
                  <c:v>44805</c:v>
                </c:pt>
                <c:pt idx="1">
                  <c:v>44835</c:v>
                </c:pt>
                <c:pt idx="2">
                  <c:v>44866</c:v>
                </c:pt>
                <c:pt idx="3">
                  <c:v>44896</c:v>
                </c:pt>
                <c:pt idx="4">
                  <c:v>44927</c:v>
                </c:pt>
                <c:pt idx="5">
                  <c:v>44958</c:v>
                </c:pt>
                <c:pt idx="6">
                  <c:v>44986</c:v>
                </c:pt>
                <c:pt idx="7">
                  <c:v>45017</c:v>
                </c:pt>
                <c:pt idx="8">
                  <c:v>45047</c:v>
                </c:pt>
                <c:pt idx="9">
                  <c:v>45078</c:v>
                </c:pt>
                <c:pt idx="10">
                  <c:v>45108</c:v>
                </c:pt>
                <c:pt idx="11">
                  <c:v>45139</c:v>
                </c:pt>
                <c:pt idx="12">
                  <c:v>45170</c:v>
                </c:pt>
                <c:pt idx="13">
                  <c:v>45200</c:v>
                </c:pt>
                <c:pt idx="14">
                  <c:v>45231</c:v>
                </c:pt>
                <c:pt idx="15">
                  <c:v>45261</c:v>
                </c:pt>
                <c:pt idx="16">
                  <c:v>45292</c:v>
                </c:pt>
                <c:pt idx="17">
                  <c:v>45323</c:v>
                </c:pt>
                <c:pt idx="18">
                  <c:v>45352</c:v>
                </c:pt>
                <c:pt idx="19">
                  <c:v>45383</c:v>
                </c:pt>
                <c:pt idx="20">
                  <c:v>45413</c:v>
                </c:pt>
                <c:pt idx="21">
                  <c:v>45444</c:v>
                </c:pt>
                <c:pt idx="22">
                  <c:v>45474</c:v>
                </c:pt>
                <c:pt idx="23">
                  <c:v>45505</c:v>
                </c:pt>
                <c:pt idx="24">
                  <c:v>45536</c:v>
                </c:pt>
              </c:numCache>
            </c:numRef>
          </c:cat>
          <c:val>
            <c:numRef>
              <c:f>'F2- SERA, REOS, IVI'!$D$5:$D$29</c:f>
              <c:numCache>
                <c:formatCode>General</c:formatCode>
                <c:ptCount val="25"/>
                <c:pt idx="0" formatCode="0.0%">
                  <c:v>0.58049609242269795</c:v>
                </c:pt>
                <c:pt idx="3" formatCode="0.0%">
                  <c:v>0.58494758036520167</c:v>
                </c:pt>
                <c:pt idx="6" formatCode="0.0%">
                  <c:v>0.60165916760404947</c:v>
                </c:pt>
                <c:pt idx="9" formatCode="0.0%">
                  <c:v>0.61367775005058345</c:v>
                </c:pt>
                <c:pt idx="12" formatCode="0.0%">
                  <c:v>0.62063436737539213</c:v>
                </c:pt>
                <c:pt idx="15" formatCode="0.0%">
                  <c:v>0.63456130483689543</c:v>
                </c:pt>
                <c:pt idx="18" formatCode="0.0%">
                  <c:v>0.6446894365182303</c:v>
                </c:pt>
                <c:pt idx="21" formatCode="0.0%">
                  <c:v>0.6607582863047452</c:v>
                </c:pt>
                <c:pt idx="24" formatCode="0.0%">
                  <c:v>0.68056096610829764</c:v>
                </c:pt>
              </c:numCache>
            </c:numRef>
          </c:val>
          <c:smooth val="0"/>
          <c:extLst>
            <c:ext xmlns:c16="http://schemas.microsoft.com/office/drawing/2014/chart" uri="{C3380CC4-5D6E-409C-BE32-E72D297353CC}">
              <c16:uniqueId val="{00000001-3351-44D9-A63D-7F90EE1F2511}"/>
            </c:ext>
          </c:extLst>
        </c:ser>
        <c:dLbls>
          <c:showLegendKey val="0"/>
          <c:showVal val="0"/>
          <c:showCatName val="0"/>
          <c:showSerName val="0"/>
          <c:showPercent val="0"/>
          <c:showBubbleSize val="0"/>
        </c:dLbls>
        <c:marker val="1"/>
        <c:smooth val="0"/>
        <c:axId val="932218352"/>
        <c:axId val="932219184"/>
      </c:lineChart>
      <c:lineChart>
        <c:grouping val="standard"/>
        <c:varyColors val="0"/>
        <c:ser>
          <c:idx val="0"/>
          <c:order val="0"/>
          <c:tx>
            <c:strRef>
              <c:f>'F2- SERA, REOS, IVI'!$B$4</c:f>
              <c:strCache>
                <c:ptCount val="1"/>
                <c:pt idx="0">
                  <c:v>Internet vacancies</c:v>
                </c:pt>
              </c:strCache>
            </c:strRef>
          </c:tx>
          <c:spPr>
            <a:ln w="22225" cap="rnd">
              <a:solidFill>
                <a:srgbClr val="009D9A"/>
              </a:solidFill>
              <a:round/>
            </a:ln>
            <a:effectLst/>
          </c:spPr>
          <c:marker>
            <c:symbol val="none"/>
          </c:marker>
          <c:cat>
            <c:numRef>
              <c:f>'F2- SERA, REOS, IVI'!$A$5:$A$29</c:f>
              <c:numCache>
                <c:formatCode>mmm\-yy</c:formatCode>
                <c:ptCount val="25"/>
                <c:pt idx="0">
                  <c:v>44805</c:v>
                </c:pt>
                <c:pt idx="1">
                  <c:v>44835</c:v>
                </c:pt>
                <c:pt idx="2">
                  <c:v>44866</c:v>
                </c:pt>
                <c:pt idx="3">
                  <c:v>44896</c:v>
                </c:pt>
                <c:pt idx="4">
                  <c:v>44927</c:v>
                </c:pt>
                <c:pt idx="5">
                  <c:v>44958</c:v>
                </c:pt>
                <c:pt idx="6">
                  <c:v>44986</c:v>
                </c:pt>
                <c:pt idx="7">
                  <c:v>45017</c:v>
                </c:pt>
                <c:pt idx="8">
                  <c:v>45047</c:v>
                </c:pt>
                <c:pt idx="9">
                  <c:v>45078</c:v>
                </c:pt>
                <c:pt idx="10">
                  <c:v>45108</c:v>
                </c:pt>
                <c:pt idx="11">
                  <c:v>45139</c:v>
                </c:pt>
                <c:pt idx="12">
                  <c:v>45170</c:v>
                </c:pt>
                <c:pt idx="13">
                  <c:v>45200</c:v>
                </c:pt>
                <c:pt idx="14">
                  <c:v>45231</c:v>
                </c:pt>
                <c:pt idx="15">
                  <c:v>45261</c:v>
                </c:pt>
                <c:pt idx="16">
                  <c:v>45292</c:v>
                </c:pt>
                <c:pt idx="17">
                  <c:v>45323</c:v>
                </c:pt>
                <c:pt idx="18">
                  <c:v>45352</c:v>
                </c:pt>
                <c:pt idx="19">
                  <c:v>45383</c:v>
                </c:pt>
                <c:pt idx="20">
                  <c:v>45413</c:v>
                </c:pt>
                <c:pt idx="21">
                  <c:v>45444</c:v>
                </c:pt>
                <c:pt idx="22">
                  <c:v>45474</c:v>
                </c:pt>
                <c:pt idx="23">
                  <c:v>45505</c:v>
                </c:pt>
                <c:pt idx="24">
                  <c:v>45536</c:v>
                </c:pt>
              </c:numCache>
            </c:numRef>
          </c:cat>
          <c:val>
            <c:numRef>
              <c:f>'F2- SERA, REOS, IVI'!$B$5:$B$29</c:f>
              <c:numCache>
                <c:formatCode>#,##0</c:formatCode>
                <c:ptCount val="25"/>
                <c:pt idx="0">
                  <c:v>282704.72700000001</c:v>
                </c:pt>
                <c:pt idx="1">
                  <c:v>286430.95899999997</c:v>
                </c:pt>
                <c:pt idx="2">
                  <c:v>276834.51699999999</c:v>
                </c:pt>
                <c:pt idx="3">
                  <c:v>275454.94799999997</c:v>
                </c:pt>
                <c:pt idx="4">
                  <c:v>280827.10100000002</c:v>
                </c:pt>
                <c:pt idx="5">
                  <c:v>282683.57799999998</c:v>
                </c:pt>
                <c:pt idx="6">
                  <c:v>281256.35499999998</c:v>
                </c:pt>
                <c:pt idx="7">
                  <c:v>290060.40700000001</c:v>
                </c:pt>
                <c:pt idx="8">
                  <c:v>281413.842</c:v>
                </c:pt>
                <c:pt idx="9">
                  <c:v>277916.55699999997</c:v>
                </c:pt>
                <c:pt idx="10">
                  <c:v>285047.94400000002</c:v>
                </c:pt>
                <c:pt idx="11">
                  <c:v>276727.61</c:v>
                </c:pt>
                <c:pt idx="12">
                  <c:v>269567.53700000001</c:v>
                </c:pt>
                <c:pt idx="13">
                  <c:v>259921.174</c:v>
                </c:pt>
                <c:pt idx="14">
                  <c:v>258211.36300000001</c:v>
                </c:pt>
                <c:pt idx="15">
                  <c:v>258897.83300000001</c:v>
                </c:pt>
                <c:pt idx="16">
                  <c:v>253375.59700000001</c:v>
                </c:pt>
                <c:pt idx="17">
                  <c:v>246189.79699999999</c:v>
                </c:pt>
                <c:pt idx="18">
                  <c:v>245423.39199999999</c:v>
                </c:pt>
                <c:pt idx="19">
                  <c:v>237671.74299999999</c:v>
                </c:pt>
                <c:pt idx="20">
                  <c:v>237646.06</c:v>
                </c:pt>
                <c:pt idx="21">
                  <c:v>227668.32500000001</c:v>
                </c:pt>
                <c:pt idx="22">
                  <c:v>219686.503</c:v>
                </c:pt>
                <c:pt idx="23">
                  <c:v>229606.08799999999</c:v>
                </c:pt>
                <c:pt idx="24">
                  <c:v>232599.72399999999</c:v>
                </c:pt>
              </c:numCache>
            </c:numRef>
          </c:val>
          <c:smooth val="0"/>
          <c:extLst>
            <c:ext xmlns:c16="http://schemas.microsoft.com/office/drawing/2014/chart" uri="{C3380CC4-5D6E-409C-BE32-E72D297353CC}">
              <c16:uniqueId val="{00000002-3351-44D9-A63D-7F90EE1F2511}"/>
            </c:ext>
          </c:extLst>
        </c:ser>
        <c:dLbls>
          <c:showLegendKey val="0"/>
          <c:showVal val="0"/>
          <c:showCatName val="0"/>
          <c:showSerName val="0"/>
          <c:showPercent val="0"/>
          <c:showBubbleSize val="0"/>
        </c:dLbls>
        <c:marker val="1"/>
        <c:smooth val="0"/>
        <c:axId val="855454288"/>
        <c:axId val="855463856"/>
      </c:lineChart>
      <c:dateAx>
        <c:axId val="932218352"/>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32219184"/>
        <c:crosses val="autoZero"/>
        <c:auto val="1"/>
        <c:lblOffset val="100"/>
        <c:baseTimeUnit val="months"/>
        <c:majorUnit val="3"/>
        <c:majorTimeUnit val="months"/>
      </c:dateAx>
      <c:valAx>
        <c:axId val="932219184"/>
        <c:scaling>
          <c:orientation val="minMax"/>
          <c:max val="0.9"/>
          <c:min val="0.30000000000000004"/>
        </c:scaling>
        <c:delete val="0"/>
        <c:axPos val="l"/>
        <c:majorGridlines>
          <c:spPr>
            <a:ln w="9525" cap="flat" cmpd="sng" algn="ctr">
              <a:noFill/>
              <a:round/>
            </a:ln>
            <a:effectLst/>
          </c:spPr>
        </c:majorGridlines>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932218352"/>
        <c:crosses val="autoZero"/>
        <c:crossBetween val="midCat"/>
      </c:valAx>
      <c:valAx>
        <c:axId val="855463856"/>
        <c:scaling>
          <c:orientation val="minMax"/>
          <c:max val="350000"/>
          <c:min val="200000"/>
        </c:scaling>
        <c:delete val="0"/>
        <c:axPos val="r"/>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AU"/>
                  <a:t>Thousands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55454288"/>
        <c:crosses val="max"/>
        <c:crossBetween val="between"/>
        <c:majorUnit val="25000"/>
        <c:dispUnits>
          <c:builtInUnit val="thousands"/>
        </c:dispUnits>
      </c:valAx>
      <c:dateAx>
        <c:axId val="855454288"/>
        <c:scaling>
          <c:orientation val="minMax"/>
        </c:scaling>
        <c:delete val="1"/>
        <c:axPos val="b"/>
        <c:numFmt formatCode="mmm\-yy" sourceLinked="1"/>
        <c:majorTickMark val="out"/>
        <c:minorTickMark val="none"/>
        <c:tickLblPos val="nextTo"/>
        <c:crossAx val="855463856"/>
        <c:crosses val="autoZero"/>
        <c:auto val="1"/>
        <c:lblOffset val="100"/>
        <c:baseTimeUnit val="months"/>
        <c:majorUnit val="1"/>
        <c:minorUnit val="1"/>
      </c:dateAx>
      <c:spPr>
        <a:noFill/>
        <a:ln>
          <a:noFill/>
        </a:ln>
        <a:effectLst/>
      </c:spPr>
    </c:plotArea>
    <c:legend>
      <c:legendPos val="b"/>
      <c:layout>
        <c:manualLayout>
          <c:xMode val="edge"/>
          <c:yMode val="edge"/>
          <c:x val="3.5709373884524324E-2"/>
          <c:y val="0.87855177364012804"/>
          <c:w val="0.92872235413486626"/>
          <c:h val="0.100942009117654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'WA - Figure 5 (2)'!$A$1</c:f>
              <c:strCache>
                <c:ptCount val="1"/>
                <c:pt idx="0">
                  <c:v>Skill Level 1</c:v>
                </c:pt>
              </c:strCache>
            </c:strRef>
          </c:tx>
          <c:spPr>
            <a:ln w="22225" cap="rnd">
              <a:solidFill>
                <a:schemeClr val="accent1"/>
              </a:solidFill>
              <a:round/>
            </a:ln>
            <a:effectLst/>
          </c:spPr>
          <c:marker>
            <c:symbol val="none"/>
          </c:marker>
          <c:cat>
            <c:numRef>
              <c:f>'WA - Figure 5 (2)'!$A$3:$A$12</c:f>
              <c:numCache>
                <c:formatCode>mmm\-yy</c:formatCode>
                <c:ptCount val="10"/>
                <c:pt idx="1">
                  <c:v>44805</c:v>
                </c:pt>
                <c:pt idx="2">
                  <c:v>44896</c:v>
                </c:pt>
                <c:pt idx="3">
                  <c:v>44986</c:v>
                </c:pt>
                <c:pt idx="4">
                  <c:v>45078</c:v>
                </c:pt>
                <c:pt idx="5">
                  <c:v>45170</c:v>
                </c:pt>
                <c:pt idx="6">
                  <c:v>45261</c:v>
                </c:pt>
                <c:pt idx="7">
                  <c:v>45352</c:v>
                </c:pt>
                <c:pt idx="8">
                  <c:v>45444</c:v>
                </c:pt>
                <c:pt idx="9">
                  <c:v>45536</c:v>
                </c:pt>
              </c:numCache>
            </c:numRef>
          </c:cat>
          <c:val>
            <c:numRef>
              <c:f>'WA - Figure 5 (2)'!$B$3:$B$12</c:f>
              <c:numCache>
                <c:formatCode>0.0%</c:formatCode>
                <c:ptCount val="10"/>
                <c:pt idx="1">
                  <c:v>0.60574268360022088</c:v>
                </c:pt>
                <c:pt idx="2">
                  <c:v>0.60886718016156305</c:v>
                </c:pt>
                <c:pt idx="3">
                  <c:v>0.6280247608328644</c:v>
                </c:pt>
                <c:pt idx="4">
                  <c:v>0.63814396612561752</c:v>
                </c:pt>
                <c:pt idx="5">
                  <c:v>0.64296081277213357</c:v>
                </c:pt>
                <c:pt idx="6">
                  <c:v>0.65063337617036898</c:v>
                </c:pt>
                <c:pt idx="7">
                  <c:v>0.6594594594594595</c:v>
                </c:pt>
                <c:pt idx="8">
                  <c:v>0.67335955288760097</c:v>
                </c:pt>
                <c:pt idx="9">
                  <c:v>0.69700000000000006</c:v>
                </c:pt>
              </c:numCache>
            </c:numRef>
          </c:val>
          <c:smooth val="0"/>
          <c:extLst>
            <c:ext xmlns:c16="http://schemas.microsoft.com/office/drawing/2014/chart" uri="{C3380CC4-5D6E-409C-BE32-E72D297353CC}">
              <c16:uniqueId val="{00000000-899A-46A4-9616-8A78532D5F10}"/>
            </c:ext>
          </c:extLst>
        </c:ser>
        <c:ser>
          <c:idx val="1"/>
          <c:order val="1"/>
          <c:tx>
            <c:strRef>
              <c:f>'WA - Figure 5 (2)'!$A$15</c:f>
              <c:strCache>
                <c:ptCount val="1"/>
                <c:pt idx="0">
                  <c:v>Skill Level 2</c:v>
                </c:pt>
              </c:strCache>
            </c:strRef>
          </c:tx>
          <c:spPr>
            <a:ln w="22225" cap="rnd">
              <a:solidFill>
                <a:schemeClr val="accent2"/>
              </a:solidFill>
              <a:round/>
            </a:ln>
            <a:effectLst/>
          </c:spPr>
          <c:marker>
            <c:symbol val="none"/>
          </c:marker>
          <c:cat>
            <c:numRef>
              <c:f>'WA - Figure 5 (2)'!$A$3:$A$12</c:f>
              <c:numCache>
                <c:formatCode>mmm\-yy</c:formatCode>
                <c:ptCount val="10"/>
                <c:pt idx="1">
                  <c:v>44805</c:v>
                </c:pt>
                <c:pt idx="2">
                  <c:v>44896</c:v>
                </c:pt>
                <c:pt idx="3">
                  <c:v>44986</c:v>
                </c:pt>
                <c:pt idx="4">
                  <c:v>45078</c:v>
                </c:pt>
                <c:pt idx="5">
                  <c:v>45170</c:v>
                </c:pt>
                <c:pt idx="6">
                  <c:v>45261</c:v>
                </c:pt>
                <c:pt idx="7">
                  <c:v>45352</c:v>
                </c:pt>
                <c:pt idx="8">
                  <c:v>45444</c:v>
                </c:pt>
                <c:pt idx="9">
                  <c:v>45536</c:v>
                </c:pt>
              </c:numCache>
            </c:numRef>
          </c:cat>
          <c:val>
            <c:numRef>
              <c:f>'WA - Figure 5 (2)'!$B$17:$B$26</c:f>
              <c:numCache>
                <c:formatCode>0.0%</c:formatCode>
                <c:ptCount val="10"/>
                <c:pt idx="1">
                  <c:v>0.65966046887631369</c:v>
                </c:pt>
                <c:pt idx="2">
                  <c:v>0.67072675598863174</c:v>
                </c:pt>
                <c:pt idx="3">
                  <c:v>0.67700875099443114</c:v>
                </c:pt>
                <c:pt idx="4">
                  <c:v>0.69829297340214369</c:v>
                </c:pt>
                <c:pt idx="5">
                  <c:v>0.70899470899470896</c:v>
                </c:pt>
                <c:pt idx="6">
                  <c:v>0.72460776218001655</c:v>
                </c:pt>
                <c:pt idx="7">
                  <c:v>0.73347547974413652</c:v>
                </c:pt>
                <c:pt idx="8">
                  <c:v>0.73549000951474786</c:v>
                </c:pt>
                <c:pt idx="9">
                  <c:v>0.75</c:v>
                </c:pt>
              </c:numCache>
            </c:numRef>
          </c:val>
          <c:smooth val="0"/>
          <c:extLst>
            <c:ext xmlns:c16="http://schemas.microsoft.com/office/drawing/2014/chart" uri="{C3380CC4-5D6E-409C-BE32-E72D297353CC}">
              <c16:uniqueId val="{00000001-899A-46A4-9616-8A78532D5F10}"/>
            </c:ext>
          </c:extLst>
        </c:ser>
        <c:ser>
          <c:idx val="2"/>
          <c:order val="2"/>
          <c:tx>
            <c:strRef>
              <c:f>'WA - Figure 5 (2)'!$A$28</c:f>
              <c:strCache>
                <c:ptCount val="1"/>
                <c:pt idx="0">
                  <c:v>Skill Level 3</c:v>
                </c:pt>
              </c:strCache>
            </c:strRef>
          </c:tx>
          <c:spPr>
            <a:ln w="22225" cap="rnd">
              <a:solidFill>
                <a:schemeClr val="accent3"/>
              </a:solidFill>
              <a:round/>
            </a:ln>
            <a:effectLst/>
          </c:spPr>
          <c:marker>
            <c:symbol val="none"/>
          </c:marker>
          <c:cat>
            <c:numRef>
              <c:f>'WA - Figure 5 (2)'!$A$3:$A$12</c:f>
              <c:numCache>
                <c:formatCode>mmm\-yy</c:formatCode>
                <c:ptCount val="10"/>
                <c:pt idx="1">
                  <c:v>44805</c:v>
                </c:pt>
                <c:pt idx="2">
                  <c:v>44896</c:v>
                </c:pt>
                <c:pt idx="3">
                  <c:v>44986</c:v>
                </c:pt>
                <c:pt idx="4">
                  <c:v>45078</c:v>
                </c:pt>
                <c:pt idx="5">
                  <c:v>45170</c:v>
                </c:pt>
                <c:pt idx="6">
                  <c:v>45261</c:v>
                </c:pt>
                <c:pt idx="7">
                  <c:v>45352</c:v>
                </c:pt>
                <c:pt idx="8">
                  <c:v>45444</c:v>
                </c:pt>
                <c:pt idx="9">
                  <c:v>45536</c:v>
                </c:pt>
              </c:numCache>
            </c:numRef>
          </c:cat>
          <c:val>
            <c:numRef>
              <c:f>'WA - Figure 5 (2)'!$B$30:$B$39</c:f>
              <c:numCache>
                <c:formatCode>0.0%</c:formatCode>
                <c:ptCount val="10"/>
                <c:pt idx="1">
                  <c:v>0.42907898332877836</c:v>
                </c:pt>
                <c:pt idx="2">
                  <c:v>0.43612460703058015</c:v>
                </c:pt>
                <c:pt idx="3">
                  <c:v>0.44864189822041833</c:v>
                </c:pt>
                <c:pt idx="4">
                  <c:v>0.46098056280823907</c:v>
                </c:pt>
                <c:pt idx="5">
                  <c:v>0.47144592952612396</c:v>
                </c:pt>
                <c:pt idx="6">
                  <c:v>0.4828215262997872</c:v>
                </c:pt>
                <c:pt idx="7">
                  <c:v>0.49753542821934688</c:v>
                </c:pt>
                <c:pt idx="8">
                  <c:v>0.51907847372210225</c:v>
                </c:pt>
                <c:pt idx="9">
                  <c:v>0.53900000000000003</c:v>
                </c:pt>
              </c:numCache>
            </c:numRef>
          </c:val>
          <c:smooth val="0"/>
          <c:extLst>
            <c:ext xmlns:c16="http://schemas.microsoft.com/office/drawing/2014/chart" uri="{C3380CC4-5D6E-409C-BE32-E72D297353CC}">
              <c16:uniqueId val="{00000002-899A-46A4-9616-8A78532D5F10}"/>
            </c:ext>
          </c:extLst>
        </c:ser>
        <c:ser>
          <c:idx val="3"/>
          <c:order val="3"/>
          <c:tx>
            <c:strRef>
              <c:f>'WA - Figure 5 (2)'!$A$41</c:f>
              <c:strCache>
                <c:ptCount val="1"/>
                <c:pt idx="0">
                  <c:v>Skill Level 4</c:v>
                </c:pt>
              </c:strCache>
            </c:strRef>
          </c:tx>
          <c:spPr>
            <a:ln w="22225" cap="rnd">
              <a:solidFill>
                <a:schemeClr val="accent4"/>
              </a:solidFill>
              <a:round/>
            </a:ln>
            <a:effectLst/>
          </c:spPr>
          <c:marker>
            <c:symbol val="none"/>
          </c:marker>
          <c:cat>
            <c:numRef>
              <c:f>'WA - Figure 5 (2)'!$A$3:$A$12</c:f>
              <c:numCache>
                <c:formatCode>mmm\-yy</c:formatCode>
                <c:ptCount val="10"/>
                <c:pt idx="1">
                  <c:v>44805</c:v>
                </c:pt>
                <c:pt idx="2">
                  <c:v>44896</c:v>
                </c:pt>
                <c:pt idx="3">
                  <c:v>44986</c:v>
                </c:pt>
                <c:pt idx="4">
                  <c:v>45078</c:v>
                </c:pt>
                <c:pt idx="5">
                  <c:v>45170</c:v>
                </c:pt>
                <c:pt idx="6">
                  <c:v>45261</c:v>
                </c:pt>
                <c:pt idx="7">
                  <c:v>45352</c:v>
                </c:pt>
                <c:pt idx="8">
                  <c:v>45444</c:v>
                </c:pt>
                <c:pt idx="9">
                  <c:v>45536</c:v>
                </c:pt>
              </c:numCache>
            </c:numRef>
          </c:cat>
          <c:val>
            <c:numRef>
              <c:f>'WA - Figure 5 (2)'!$B$43:$B$52</c:f>
              <c:numCache>
                <c:formatCode>0.0%</c:formatCode>
                <c:ptCount val="10"/>
                <c:pt idx="1">
                  <c:v>0.65068275643061291</c:v>
                </c:pt>
                <c:pt idx="2">
                  <c:v>0.64336112892880049</c:v>
                </c:pt>
                <c:pt idx="3">
                  <c:v>0.6520780856423174</c:v>
                </c:pt>
                <c:pt idx="4">
                  <c:v>0.66833698715941126</c:v>
                </c:pt>
                <c:pt idx="5">
                  <c:v>0.66958495460440981</c:v>
                </c:pt>
                <c:pt idx="6">
                  <c:v>0.69765166340508811</c:v>
                </c:pt>
                <c:pt idx="7">
                  <c:v>0.70978781656399725</c:v>
                </c:pt>
                <c:pt idx="8">
                  <c:v>0.73</c:v>
                </c:pt>
                <c:pt idx="9">
                  <c:v>0.747</c:v>
                </c:pt>
              </c:numCache>
            </c:numRef>
          </c:val>
          <c:smooth val="0"/>
          <c:extLst>
            <c:ext xmlns:c16="http://schemas.microsoft.com/office/drawing/2014/chart" uri="{C3380CC4-5D6E-409C-BE32-E72D297353CC}">
              <c16:uniqueId val="{00000003-899A-46A4-9616-8A78532D5F10}"/>
            </c:ext>
          </c:extLst>
        </c:ser>
        <c:dLbls>
          <c:showLegendKey val="0"/>
          <c:showVal val="0"/>
          <c:showCatName val="0"/>
          <c:showSerName val="0"/>
          <c:showPercent val="0"/>
          <c:showBubbleSize val="0"/>
        </c:dLbls>
        <c:smooth val="0"/>
        <c:axId val="357192384"/>
        <c:axId val="649238064"/>
      </c:lineChart>
      <c:dateAx>
        <c:axId val="357192384"/>
        <c:scaling>
          <c:orientation val="minMax"/>
        </c:scaling>
        <c:delete val="0"/>
        <c:axPos val="b"/>
        <c:numFmt formatCode="mmm\-yy" sourceLinked="1"/>
        <c:majorTickMark val="out"/>
        <c:minorTickMark val="none"/>
        <c:tickLblPos val="nextTo"/>
        <c:spPr>
          <a:noFill/>
          <a:ln w="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49238064"/>
        <c:crosses val="autoZero"/>
        <c:auto val="1"/>
        <c:lblOffset val="100"/>
        <c:baseTimeUnit val="months"/>
        <c:majorUnit val="3"/>
        <c:majorTimeUnit val="months"/>
      </c:dateAx>
      <c:valAx>
        <c:axId val="649238064"/>
        <c:scaling>
          <c:orientation val="minMax"/>
          <c:max val="0.9"/>
        </c:scaling>
        <c:delete val="0"/>
        <c:axPos val="l"/>
        <c:majorGridlines>
          <c:spPr>
            <a:ln w="9525" cap="flat" cmpd="sng" algn="ctr">
              <a:noFill/>
              <a:round/>
            </a:ln>
            <a:effectLst/>
          </c:spPr>
        </c:majorGridlines>
        <c:numFmt formatCode="0.0%" sourceLinked="1"/>
        <c:majorTickMark val="out"/>
        <c:minorTickMark val="none"/>
        <c:tickLblPos val="nextTo"/>
        <c:spPr>
          <a:noFill/>
          <a:ln w="0">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5719238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'1.2 Recruitment Rate (Q)'!$E$42</c:f>
              <c:strCache>
                <c:ptCount val="1"/>
                <c:pt idx="0">
                  <c:v>Sept Qtr 2023</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Recruitment Rate (Q)'!$F$41:$K$41</c:f>
              <c:strCache>
                <c:ptCount val="6"/>
                <c:pt idx="0">
                  <c:v>New South Wales</c:v>
                </c:pt>
                <c:pt idx="1">
                  <c:v>Victoria</c:v>
                </c:pt>
                <c:pt idx="2">
                  <c:v>Queensland</c:v>
                </c:pt>
                <c:pt idx="3">
                  <c:v>South Australia</c:v>
                </c:pt>
                <c:pt idx="4">
                  <c:v>Western Australia</c:v>
                </c:pt>
                <c:pt idx="5">
                  <c:v>Tasmania</c:v>
                </c:pt>
              </c:strCache>
            </c:strRef>
          </c:cat>
          <c:val>
            <c:numRef>
              <c:f>'1.2 Recruitment Rate (Q)'!$F$42:$K$42</c:f>
              <c:numCache>
                <c:formatCode>0%</c:formatCode>
                <c:ptCount val="6"/>
                <c:pt idx="0">
                  <c:v>0.48</c:v>
                </c:pt>
                <c:pt idx="1">
                  <c:v>0.43</c:v>
                </c:pt>
                <c:pt idx="2">
                  <c:v>0.54</c:v>
                </c:pt>
                <c:pt idx="3">
                  <c:v>0.47</c:v>
                </c:pt>
                <c:pt idx="4">
                  <c:v>0.55000000000000004</c:v>
                </c:pt>
                <c:pt idx="5">
                  <c:v>0.44</c:v>
                </c:pt>
              </c:numCache>
            </c:numRef>
          </c:val>
          <c:extLst>
            <c:ext xmlns:c16="http://schemas.microsoft.com/office/drawing/2014/chart" uri="{C3380CC4-5D6E-409C-BE32-E72D297353CC}">
              <c16:uniqueId val="{00000000-46D5-4A0E-93D9-D2FFF7AC0EC0}"/>
            </c:ext>
          </c:extLst>
        </c:ser>
        <c:ser>
          <c:idx val="1"/>
          <c:order val="1"/>
          <c:tx>
            <c:strRef>
              <c:f>'1.2 Recruitment Rate (Q)'!$E$43</c:f>
              <c:strCache>
                <c:ptCount val="1"/>
                <c:pt idx="0">
                  <c:v>Dec Qtr 2023</c:v>
                </c:pt>
              </c:strCache>
            </c:strRef>
          </c:tx>
          <c:spPr>
            <a:solidFill>
              <a:schemeClr val="accent2"/>
            </a:solidFill>
            <a:ln>
              <a:noFill/>
            </a:ln>
            <a:effectLst/>
          </c:spPr>
          <c:invertIfNegative val="0"/>
          <c:cat>
            <c:strRef>
              <c:f>'1.2 Recruitment Rate (Q)'!$F$41:$K$41</c:f>
              <c:strCache>
                <c:ptCount val="6"/>
                <c:pt idx="0">
                  <c:v>New South Wales</c:v>
                </c:pt>
                <c:pt idx="1">
                  <c:v>Victoria</c:v>
                </c:pt>
                <c:pt idx="2">
                  <c:v>Queensland</c:v>
                </c:pt>
                <c:pt idx="3">
                  <c:v>South Australia</c:v>
                </c:pt>
                <c:pt idx="4">
                  <c:v>Western Australia</c:v>
                </c:pt>
                <c:pt idx="5">
                  <c:v>Tasmania</c:v>
                </c:pt>
              </c:strCache>
            </c:strRef>
          </c:cat>
          <c:val>
            <c:numRef>
              <c:f>'1.2 Recruitment Rate (Q)'!$F$43:$K$43</c:f>
              <c:numCache>
                <c:formatCode>0%</c:formatCode>
                <c:ptCount val="6"/>
                <c:pt idx="0">
                  <c:v>0.49</c:v>
                </c:pt>
                <c:pt idx="1">
                  <c:v>0.47</c:v>
                </c:pt>
                <c:pt idx="2">
                  <c:v>0.55000000000000004</c:v>
                </c:pt>
                <c:pt idx="3">
                  <c:v>0.46</c:v>
                </c:pt>
                <c:pt idx="4">
                  <c:v>0.49</c:v>
                </c:pt>
                <c:pt idx="5">
                  <c:v>0.49</c:v>
                </c:pt>
              </c:numCache>
            </c:numRef>
          </c:val>
          <c:extLst>
            <c:ext xmlns:c16="http://schemas.microsoft.com/office/drawing/2014/chart" uri="{C3380CC4-5D6E-409C-BE32-E72D297353CC}">
              <c16:uniqueId val="{00000001-46D5-4A0E-93D9-D2FFF7AC0EC0}"/>
            </c:ext>
          </c:extLst>
        </c:ser>
        <c:ser>
          <c:idx val="2"/>
          <c:order val="2"/>
          <c:tx>
            <c:strRef>
              <c:f>'1.2 Recruitment Rate (Q)'!$E$44</c:f>
              <c:strCache>
                <c:ptCount val="1"/>
                <c:pt idx="0">
                  <c:v>Mar Qtr 2024</c:v>
                </c:pt>
              </c:strCache>
            </c:strRef>
          </c:tx>
          <c:spPr>
            <a:solidFill>
              <a:schemeClr val="accent3"/>
            </a:solidFill>
            <a:ln>
              <a:noFill/>
            </a:ln>
            <a:effectLst/>
          </c:spPr>
          <c:invertIfNegative val="0"/>
          <c:cat>
            <c:strRef>
              <c:f>'1.2 Recruitment Rate (Q)'!$F$41:$K$41</c:f>
              <c:strCache>
                <c:ptCount val="6"/>
                <c:pt idx="0">
                  <c:v>New South Wales</c:v>
                </c:pt>
                <c:pt idx="1">
                  <c:v>Victoria</c:v>
                </c:pt>
                <c:pt idx="2">
                  <c:v>Queensland</c:v>
                </c:pt>
                <c:pt idx="3">
                  <c:v>South Australia</c:v>
                </c:pt>
                <c:pt idx="4">
                  <c:v>Western Australia</c:v>
                </c:pt>
                <c:pt idx="5">
                  <c:v>Tasmania</c:v>
                </c:pt>
              </c:strCache>
            </c:strRef>
          </c:cat>
          <c:val>
            <c:numRef>
              <c:f>'1.2 Recruitment Rate (Q)'!$F$44:$K$44</c:f>
              <c:numCache>
                <c:formatCode>0%</c:formatCode>
                <c:ptCount val="6"/>
                <c:pt idx="0">
                  <c:v>0.45</c:v>
                </c:pt>
                <c:pt idx="1">
                  <c:v>0.46</c:v>
                </c:pt>
                <c:pt idx="2">
                  <c:v>0.56000000000000005</c:v>
                </c:pt>
                <c:pt idx="3">
                  <c:v>0.45</c:v>
                </c:pt>
                <c:pt idx="4">
                  <c:v>0.52</c:v>
                </c:pt>
                <c:pt idx="5">
                  <c:v>0.5</c:v>
                </c:pt>
              </c:numCache>
            </c:numRef>
          </c:val>
          <c:extLst>
            <c:ext xmlns:c16="http://schemas.microsoft.com/office/drawing/2014/chart" uri="{C3380CC4-5D6E-409C-BE32-E72D297353CC}">
              <c16:uniqueId val="{00000002-46D5-4A0E-93D9-D2FFF7AC0EC0}"/>
            </c:ext>
          </c:extLst>
        </c:ser>
        <c:ser>
          <c:idx val="3"/>
          <c:order val="3"/>
          <c:tx>
            <c:strRef>
              <c:f>'1.2 Recruitment Rate (Q)'!$E$45</c:f>
              <c:strCache>
                <c:ptCount val="1"/>
                <c:pt idx="0">
                  <c:v>Jun Qtr 2024</c:v>
                </c:pt>
              </c:strCache>
            </c:strRef>
          </c:tx>
          <c:spPr>
            <a:solidFill>
              <a:schemeClr val="accent4"/>
            </a:solidFill>
            <a:ln>
              <a:noFill/>
            </a:ln>
            <a:effectLst/>
          </c:spPr>
          <c:invertIfNegative val="0"/>
          <c:cat>
            <c:strRef>
              <c:f>'1.2 Recruitment Rate (Q)'!$F$41:$K$41</c:f>
              <c:strCache>
                <c:ptCount val="6"/>
                <c:pt idx="0">
                  <c:v>New South Wales</c:v>
                </c:pt>
                <c:pt idx="1">
                  <c:v>Victoria</c:v>
                </c:pt>
                <c:pt idx="2">
                  <c:v>Queensland</c:v>
                </c:pt>
                <c:pt idx="3">
                  <c:v>South Australia</c:v>
                </c:pt>
                <c:pt idx="4">
                  <c:v>Western Australia</c:v>
                </c:pt>
                <c:pt idx="5">
                  <c:v>Tasmania</c:v>
                </c:pt>
              </c:strCache>
            </c:strRef>
          </c:cat>
          <c:val>
            <c:numRef>
              <c:f>'1.2 Recruitment Rate (Q)'!$F$45:$K$45</c:f>
              <c:numCache>
                <c:formatCode>0%</c:formatCode>
                <c:ptCount val="6"/>
                <c:pt idx="0">
                  <c:v>0.44</c:v>
                </c:pt>
                <c:pt idx="1">
                  <c:v>0.42</c:v>
                </c:pt>
                <c:pt idx="2">
                  <c:v>0.48</c:v>
                </c:pt>
                <c:pt idx="3">
                  <c:v>0.46</c:v>
                </c:pt>
                <c:pt idx="4">
                  <c:v>0.48</c:v>
                </c:pt>
                <c:pt idx="5">
                  <c:v>0.44</c:v>
                </c:pt>
              </c:numCache>
            </c:numRef>
          </c:val>
          <c:extLst>
            <c:ext xmlns:c16="http://schemas.microsoft.com/office/drawing/2014/chart" uri="{C3380CC4-5D6E-409C-BE32-E72D297353CC}">
              <c16:uniqueId val="{00000003-46D5-4A0E-93D9-D2FFF7AC0EC0}"/>
            </c:ext>
          </c:extLst>
        </c:ser>
        <c:ser>
          <c:idx val="4"/>
          <c:order val="4"/>
          <c:tx>
            <c:strRef>
              <c:f>'1.2 Recruitment Rate (Q)'!$E$46</c:f>
              <c:strCache>
                <c:ptCount val="1"/>
                <c:pt idx="0">
                  <c:v>Sept Qtr 2024</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'1.2 Recruitment Rate (Q)'!$F$41:$K$41</c:f>
              <c:strCache>
                <c:ptCount val="6"/>
                <c:pt idx="0">
                  <c:v>New South Wales</c:v>
                </c:pt>
                <c:pt idx="1">
                  <c:v>Victoria</c:v>
                </c:pt>
                <c:pt idx="2">
                  <c:v>Queensland</c:v>
                </c:pt>
                <c:pt idx="3">
                  <c:v>South Australia</c:v>
                </c:pt>
                <c:pt idx="4">
                  <c:v>Western Australia</c:v>
                </c:pt>
                <c:pt idx="5">
                  <c:v>Tasmania</c:v>
                </c:pt>
              </c:strCache>
            </c:strRef>
          </c:cat>
          <c:val>
            <c:numRef>
              <c:f>'1.2 Recruitment Rate (Q)'!$F$46:$K$46</c:f>
              <c:numCache>
                <c:formatCode>0%</c:formatCode>
                <c:ptCount val="6"/>
                <c:pt idx="0">
                  <c:v>0.44</c:v>
                </c:pt>
                <c:pt idx="1">
                  <c:v>0.37</c:v>
                </c:pt>
                <c:pt idx="2">
                  <c:v>0.52</c:v>
                </c:pt>
                <c:pt idx="3">
                  <c:v>0.36</c:v>
                </c:pt>
                <c:pt idx="4">
                  <c:v>0.51</c:v>
                </c:pt>
                <c:pt idx="5">
                  <c:v>0.43</c:v>
                </c:pt>
              </c:numCache>
            </c:numRef>
          </c:val>
          <c:extLst>
            <c:ext xmlns:c16="http://schemas.microsoft.com/office/drawing/2014/chart" uri="{C3380CC4-5D6E-409C-BE32-E72D297353CC}">
              <c16:uniqueId val="{00000004-46D5-4A0E-93D9-D2FFF7AC0EC0}"/>
            </c:ext>
          </c:extLst>
        </c:ser>
        <c:dLbls>
          <c:showLegendKey val="0"/>
          <c:showVal val="0"/>
          <c:showCatName val="0"/>
          <c:showSerName val="0"/>
          <c:showPercent val="0"/>
          <c:showBubbleSize val="0"/>
        </c:dLbls>
        <c:gapWidth val="219"/>
        <c:overlap val="-27"/>
        <c:axId val="86327263"/>
        <c:axId val="86323903"/>
      </c:barChart>
      <c:catAx>
        <c:axId val="86327263"/>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6323903"/>
        <c:crosses val="autoZero"/>
        <c:auto val="1"/>
        <c:lblAlgn val="ctr"/>
        <c:lblOffset val="100"/>
        <c:noMultiLvlLbl val="0"/>
      </c:catAx>
      <c:valAx>
        <c:axId val="86323903"/>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Proportion of all employers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6327263"/>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'3.2 Recruitment Difficulty (Q)'!$F$32</c:f>
              <c:strCache>
                <c:ptCount val="1"/>
                <c:pt idx="0">
                  <c:v>Sept Qtr 2023</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 Recruitment Difficulty (Q)'!$G$31:$L$31</c:f>
              <c:strCache>
                <c:ptCount val="6"/>
                <c:pt idx="0">
                  <c:v>New South Wales</c:v>
                </c:pt>
                <c:pt idx="1">
                  <c:v>Victoria</c:v>
                </c:pt>
                <c:pt idx="2">
                  <c:v>Queensland</c:v>
                </c:pt>
                <c:pt idx="3">
                  <c:v>South Australia*</c:v>
                </c:pt>
                <c:pt idx="4">
                  <c:v>Western Australia</c:v>
                </c:pt>
                <c:pt idx="5">
                  <c:v>Tasmania*</c:v>
                </c:pt>
              </c:strCache>
            </c:strRef>
          </c:cat>
          <c:val>
            <c:numRef>
              <c:f>'3.2 Recruitment Difficulty (Q)'!$G$32:$L$32</c:f>
              <c:numCache>
                <c:formatCode>0%</c:formatCode>
                <c:ptCount val="6"/>
                <c:pt idx="0">
                  <c:v>0.6</c:v>
                </c:pt>
                <c:pt idx="1">
                  <c:v>0.62</c:v>
                </c:pt>
                <c:pt idx="2">
                  <c:v>0.62</c:v>
                </c:pt>
                <c:pt idx="3">
                  <c:v>0.6</c:v>
                </c:pt>
                <c:pt idx="4">
                  <c:v>0.51</c:v>
                </c:pt>
                <c:pt idx="5">
                  <c:v>0.46</c:v>
                </c:pt>
              </c:numCache>
            </c:numRef>
          </c:val>
          <c:extLst>
            <c:ext xmlns:c16="http://schemas.microsoft.com/office/drawing/2014/chart" uri="{C3380CC4-5D6E-409C-BE32-E72D297353CC}">
              <c16:uniqueId val="{00000000-1000-458A-BA52-DFF530111175}"/>
            </c:ext>
          </c:extLst>
        </c:ser>
        <c:ser>
          <c:idx val="1"/>
          <c:order val="1"/>
          <c:tx>
            <c:strRef>
              <c:f>'3.2 Recruitment Difficulty (Q)'!$F$33</c:f>
              <c:strCache>
                <c:ptCount val="1"/>
                <c:pt idx="0">
                  <c:v>Dec Qtr 2023</c:v>
                </c:pt>
              </c:strCache>
            </c:strRef>
          </c:tx>
          <c:spPr>
            <a:solidFill>
              <a:schemeClr val="accent2"/>
            </a:solidFill>
            <a:ln>
              <a:noFill/>
            </a:ln>
            <a:effectLst/>
          </c:spPr>
          <c:invertIfNegative val="0"/>
          <c:cat>
            <c:strRef>
              <c:f>'3.2 Recruitment Difficulty (Q)'!$G$31:$L$31</c:f>
              <c:strCache>
                <c:ptCount val="6"/>
                <c:pt idx="0">
                  <c:v>New South Wales</c:v>
                </c:pt>
                <c:pt idx="1">
                  <c:v>Victoria</c:v>
                </c:pt>
                <c:pt idx="2">
                  <c:v>Queensland</c:v>
                </c:pt>
                <c:pt idx="3">
                  <c:v>South Australia*</c:v>
                </c:pt>
                <c:pt idx="4">
                  <c:v>Western Australia</c:v>
                </c:pt>
                <c:pt idx="5">
                  <c:v>Tasmania*</c:v>
                </c:pt>
              </c:strCache>
            </c:strRef>
          </c:cat>
          <c:val>
            <c:numRef>
              <c:f>'3.2 Recruitment Difficulty (Q)'!$G$33:$L$33</c:f>
              <c:numCache>
                <c:formatCode>0%</c:formatCode>
                <c:ptCount val="6"/>
                <c:pt idx="0">
                  <c:v>0.6</c:v>
                </c:pt>
                <c:pt idx="1">
                  <c:v>0.52</c:v>
                </c:pt>
                <c:pt idx="2">
                  <c:v>0.52</c:v>
                </c:pt>
                <c:pt idx="3">
                  <c:v>0.6</c:v>
                </c:pt>
                <c:pt idx="4">
                  <c:v>0.56999999999999995</c:v>
                </c:pt>
                <c:pt idx="5">
                  <c:v>0.43</c:v>
                </c:pt>
              </c:numCache>
            </c:numRef>
          </c:val>
          <c:extLst>
            <c:ext xmlns:c16="http://schemas.microsoft.com/office/drawing/2014/chart" uri="{C3380CC4-5D6E-409C-BE32-E72D297353CC}">
              <c16:uniqueId val="{00000001-1000-458A-BA52-DFF530111175}"/>
            </c:ext>
          </c:extLst>
        </c:ser>
        <c:ser>
          <c:idx val="2"/>
          <c:order val="2"/>
          <c:tx>
            <c:strRef>
              <c:f>'3.2 Recruitment Difficulty (Q)'!$F$34</c:f>
              <c:strCache>
                <c:ptCount val="1"/>
                <c:pt idx="0">
                  <c:v>Mar Qtr 2024</c:v>
                </c:pt>
              </c:strCache>
            </c:strRef>
          </c:tx>
          <c:spPr>
            <a:solidFill>
              <a:schemeClr val="accent3"/>
            </a:solidFill>
            <a:ln>
              <a:noFill/>
            </a:ln>
            <a:effectLst/>
          </c:spPr>
          <c:invertIfNegative val="0"/>
          <c:cat>
            <c:strRef>
              <c:f>'3.2 Recruitment Difficulty (Q)'!$G$31:$L$31</c:f>
              <c:strCache>
                <c:ptCount val="6"/>
                <c:pt idx="0">
                  <c:v>New South Wales</c:v>
                </c:pt>
                <c:pt idx="1">
                  <c:v>Victoria</c:v>
                </c:pt>
                <c:pt idx="2">
                  <c:v>Queensland</c:v>
                </c:pt>
                <c:pt idx="3">
                  <c:v>South Australia*</c:v>
                </c:pt>
                <c:pt idx="4">
                  <c:v>Western Australia</c:v>
                </c:pt>
                <c:pt idx="5">
                  <c:v>Tasmania*</c:v>
                </c:pt>
              </c:strCache>
            </c:strRef>
          </c:cat>
          <c:val>
            <c:numRef>
              <c:f>'3.2 Recruitment Difficulty (Q)'!$G$34:$L$34</c:f>
              <c:numCache>
                <c:formatCode>0%</c:formatCode>
                <c:ptCount val="6"/>
                <c:pt idx="0">
                  <c:v>0.52</c:v>
                </c:pt>
                <c:pt idx="1">
                  <c:v>0.52</c:v>
                </c:pt>
                <c:pt idx="2">
                  <c:v>0.56000000000000005</c:v>
                </c:pt>
                <c:pt idx="3">
                  <c:v>0.51</c:v>
                </c:pt>
                <c:pt idx="4">
                  <c:v>0.54</c:v>
                </c:pt>
                <c:pt idx="5">
                  <c:v>0.51</c:v>
                </c:pt>
              </c:numCache>
            </c:numRef>
          </c:val>
          <c:extLst>
            <c:ext xmlns:c16="http://schemas.microsoft.com/office/drawing/2014/chart" uri="{C3380CC4-5D6E-409C-BE32-E72D297353CC}">
              <c16:uniqueId val="{00000002-1000-458A-BA52-DFF530111175}"/>
            </c:ext>
          </c:extLst>
        </c:ser>
        <c:ser>
          <c:idx val="3"/>
          <c:order val="3"/>
          <c:tx>
            <c:strRef>
              <c:f>'3.2 Recruitment Difficulty (Q)'!$F$35</c:f>
              <c:strCache>
                <c:ptCount val="1"/>
                <c:pt idx="0">
                  <c:v>Jun Qtr 2024</c:v>
                </c:pt>
              </c:strCache>
            </c:strRef>
          </c:tx>
          <c:spPr>
            <a:solidFill>
              <a:schemeClr val="accent4"/>
            </a:solidFill>
            <a:ln>
              <a:noFill/>
            </a:ln>
            <a:effectLst/>
          </c:spPr>
          <c:invertIfNegative val="0"/>
          <c:cat>
            <c:strRef>
              <c:f>'3.2 Recruitment Difficulty (Q)'!$G$31:$L$31</c:f>
              <c:strCache>
                <c:ptCount val="6"/>
                <c:pt idx="0">
                  <c:v>New South Wales</c:v>
                </c:pt>
                <c:pt idx="1">
                  <c:v>Victoria</c:v>
                </c:pt>
                <c:pt idx="2">
                  <c:v>Queensland</c:v>
                </c:pt>
                <c:pt idx="3">
                  <c:v>South Australia*</c:v>
                </c:pt>
                <c:pt idx="4">
                  <c:v>Western Australia</c:v>
                </c:pt>
                <c:pt idx="5">
                  <c:v>Tasmania*</c:v>
                </c:pt>
              </c:strCache>
            </c:strRef>
          </c:cat>
          <c:val>
            <c:numRef>
              <c:f>'3.2 Recruitment Difficulty (Q)'!$G$35:$L$35</c:f>
              <c:numCache>
                <c:formatCode>0%</c:formatCode>
                <c:ptCount val="6"/>
                <c:pt idx="0">
                  <c:v>0.57999999999999996</c:v>
                </c:pt>
                <c:pt idx="1">
                  <c:v>0.57999999999999996</c:v>
                </c:pt>
                <c:pt idx="2">
                  <c:v>0.48</c:v>
                </c:pt>
                <c:pt idx="3">
                  <c:v>0.55000000000000004</c:v>
                </c:pt>
                <c:pt idx="4">
                  <c:v>0.51</c:v>
                </c:pt>
                <c:pt idx="5">
                  <c:v>0.61</c:v>
                </c:pt>
              </c:numCache>
            </c:numRef>
          </c:val>
          <c:extLst>
            <c:ext xmlns:c16="http://schemas.microsoft.com/office/drawing/2014/chart" uri="{C3380CC4-5D6E-409C-BE32-E72D297353CC}">
              <c16:uniqueId val="{00000003-1000-458A-BA52-DFF530111175}"/>
            </c:ext>
          </c:extLst>
        </c:ser>
        <c:ser>
          <c:idx val="4"/>
          <c:order val="4"/>
          <c:tx>
            <c:strRef>
              <c:f>'3.2 Recruitment Difficulty (Q)'!$F$36</c:f>
              <c:strCache>
                <c:ptCount val="1"/>
                <c:pt idx="0">
                  <c:v>Sept Qtr 2024</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 Recruitment Difficulty (Q)'!$G$31:$L$31</c:f>
              <c:strCache>
                <c:ptCount val="6"/>
                <c:pt idx="0">
                  <c:v>New South Wales</c:v>
                </c:pt>
                <c:pt idx="1">
                  <c:v>Victoria</c:v>
                </c:pt>
                <c:pt idx="2">
                  <c:v>Queensland</c:v>
                </c:pt>
                <c:pt idx="3">
                  <c:v>South Australia*</c:v>
                </c:pt>
                <c:pt idx="4">
                  <c:v>Western Australia</c:v>
                </c:pt>
                <c:pt idx="5">
                  <c:v>Tasmania*</c:v>
                </c:pt>
              </c:strCache>
            </c:strRef>
          </c:cat>
          <c:val>
            <c:numRef>
              <c:f>'3.2 Recruitment Difficulty (Q)'!$G$36:$L$36</c:f>
              <c:numCache>
                <c:formatCode>0%</c:formatCode>
                <c:ptCount val="6"/>
                <c:pt idx="0">
                  <c:v>0.48</c:v>
                </c:pt>
                <c:pt idx="1">
                  <c:v>0.48</c:v>
                </c:pt>
                <c:pt idx="2">
                  <c:v>0.54</c:v>
                </c:pt>
                <c:pt idx="3">
                  <c:v>0.51</c:v>
                </c:pt>
                <c:pt idx="4">
                  <c:v>0.49</c:v>
                </c:pt>
                <c:pt idx="5">
                  <c:v>0.49</c:v>
                </c:pt>
              </c:numCache>
            </c:numRef>
          </c:val>
          <c:extLst>
            <c:ext xmlns:c16="http://schemas.microsoft.com/office/drawing/2014/chart" uri="{C3380CC4-5D6E-409C-BE32-E72D297353CC}">
              <c16:uniqueId val="{00000004-1000-458A-BA52-DFF530111175}"/>
            </c:ext>
          </c:extLst>
        </c:ser>
        <c:dLbls>
          <c:showLegendKey val="0"/>
          <c:showVal val="0"/>
          <c:showCatName val="0"/>
          <c:showSerName val="0"/>
          <c:showPercent val="0"/>
          <c:showBubbleSize val="0"/>
        </c:dLbls>
        <c:gapWidth val="219"/>
        <c:overlap val="-27"/>
        <c:axId val="86327263"/>
        <c:axId val="86323903"/>
      </c:barChart>
      <c:catAx>
        <c:axId val="86327263"/>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6323903"/>
        <c:crosses val="autoZero"/>
        <c:auto val="1"/>
        <c:lblAlgn val="ctr"/>
        <c:lblOffset val="100"/>
        <c:noMultiLvlLbl val="0"/>
      </c:catAx>
      <c:valAx>
        <c:axId val="86323903"/>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t>Proportion of all employers</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6327263"/>
        <c:crosses val="autoZero"/>
        <c:crossBetween val="between"/>
        <c:majorUnit val="0.2"/>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A3DBA928-58D1-4870-A7CC-565650C9962B}">
    <t:Anchor>
      <t:Comment id="400116399"/>
    </t:Anchor>
    <t:History>
      <t:Event id="{A9CF2BDE-1A83-46E2-BE7D-286902A38B9B}" time="2024-02-02T01:21:57.641Z">
        <t:Attribution userId="S::Marjorie.Rego@jobsandskills.gov.au::e6769e50-e291-4b7a-a6f8-5b392519ad55" userProvider="AD" userName="REGO,Marjorie"/>
        <t:Anchor>
          <t:Comment id="400116399"/>
        </t:Anchor>
        <t:Create/>
      </t:Event>
      <t:Event id="{3272A713-C015-454F-B643-F544C22EC9A3}" time="2024-02-02T01:21:57.641Z">
        <t:Attribution userId="S::Marjorie.Rego@jobsandskills.gov.au::e6769e50-e291-4b7a-a6f8-5b392519ad55" userProvider="AD" userName="REGO,Marjorie"/>
        <t:Anchor>
          <t:Comment id="400116399"/>
        </t:Anchor>
        <t:Assign userId="S::Vivienne.CHENG@jobsandskills.gov.au::3b7b7fcd-bce3-46c2-88ab-6792f1310e5e" userProvider="AD" userName="CHENG,Vivienne"/>
      </t:Event>
      <t:Event id="{2A180B78-8B47-48BD-9AAB-1BA14B568A72}" time="2024-02-02T01:21:57.641Z">
        <t:Attribution userId="S::Marjorie.Rego@jobsandskills.gov.au::e6769e50-e291-4b7a-a6f8-5b392519ad55" userProvider="AD" userName="REGO,Marjorie"/>
        <t:Anchor>
          <t:Comment id="400116399"/>
        </t:Anchor>
        <t:SetTitle title="@CHENG,Vivienne should the axis be 1DP because of the data points?"/>
      </t:Event>
      <t:Event id="{F985F5FF-633E-424A-A550-166930CC09B1}" time="2024-02-02T07:30:49.643Z">
        <t:Attribution userId="S::Marjorie.Rego@jobsandskills.gov.au::e6769e50-e291-4b7a-a6f8-5b392519ad55" userProvider="AD" userName="REGO,Marjorie"/>
        <t:Anchor>
          <t:Comment id="1594039020"/>
        </t:Anchor>
        <t:UnassignAll/>
      </t:Event>
      <t:Event id="{30045961-BC7F-4D83-9D65-56ADF5A98509}" time="2024-02-02T07:30:49.643Z">
        <t:Attribution userId="S::Marjorie.Rego@jobsandskills.gov.au::e6769e50-e291-4b7a-a6f8-5b392519ad55" userProvider="AD" userName="REGO,Marjorie"/>
        <t:Anchor>
          <t:Comment id="1594039020"/>
        </t:Anchor>
        <t:Assign userId="S::Alexander.Vilagosh@jobsandskills.gov.au::3ec888d7-3b3b-4aea-ac1a-b220fb0a5659" userProvider="AD" userName="VILAGOSH,Alexander"/>
      </t:Event>
    </t:History>
  </t:Task>
</t:Task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9156b7-e154-4504-96ef-5b0195e873a0" xsi:nil="true"/>
    <lcf76f155ced4ddcb4097134ff3c332f xmlns="1f6a489c-5e20-41d8-abe5-d6fc991e4b5e">
      <Terms xmlns="http://schemas.microsoft.com/office/infopath/2007/PartnerControls"/>
    </lcf76f155ced4ddcb4097134ff3c332f>
    <SharedWithUsers xmlns="e59156b7-e154-4504-96ef-5b0195e873a0">
      <UserInfo>
        <DisplayName>SIROTICH,Christina</DisplayName>
        <AccountId>64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F34836EA3F784AB5A1E15E26B43A6C" ma:contentTypeVersion="15" ma:contentTypeDescription="Create a new document." ma:contentTypeScope="" ma:versionID="0ff038528137ef8039f73f00cf91bb95">
  <xsd:schema xmlns:xsd="http://www.w3.org/2001/XMLSchema" xmlns:xs="http://www.w3.org/2001/XMLSchema" xmlns:p="http://schemas.microsoft.com/office/2006/metadata/properties" xmlns:ns2="1f6a489c-5e20-41d8-abe5-d6fc991e4b5e" xmlns:ns3="e59156b7-e154-4504-96ef-5b0195e873a0" targetNamespace="http://schemas.microsoft.com/office/2006/metadata/properties" ma:root="true" ma:fieldsID="32ef458850b2a4e43189bba976471275" ns2:_="" ns3:_="">
    <xsd:import namespace="1f6a489c-5e20-41d8-abe5-d6fc991e4b5e"/>
    <xsd:import namespace="e59156b7-e154-4504-96ef-5b0195e873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a489c-5e20-41d8-abe5-d6fc991e4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156b7-e154-4504-96ef-5b0195e873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1eab69-db08-4a22-95f2-7833c778c5ab}" ma:internalName="TaxCatchAll" ma:showField="CatchAllData" ma:web="e59156b7-e154-4504-96ef-5b0195e873a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13C45-35B6-4328-902D-9D971E6BC7F7}">
  <ds:schemaRefs>
    <ds:schemaRef ds:uri="http://schemas.microsoft.com/office/2006/metadata/properties"/>
    <ds:schemaRef ds:uri="http://schemas.microsoft.com/office/infopath/2007/PartnerControls"/>
    <ds:schemaRef ds:uri="e59156b7-e154-4504-96ef-5b0195e873a0"/>
    <ds:schemaRef ds:uri="1f6a489c-5e20-41d8-abe5-d6fc991e4b5e"/>
  </ds:schemaRefs>
</ds:datastoreItem>
</file>

<file path=customXml/itemProps2.xml><?xml version="1.0" encoding="utf-8"?>
<ds:datastoreItem xmlns:ds="http://schemas.openxmlformats.org/officeDocument/2006/customXml" ds:itemID="{DE80F125-B3F2-4B72-A774-0E1782E5E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a489c-5e20-41d8-abe5-d6fc991e4b5e"/>
    <ds:schemaRef ds:uri="e59156b7-e154-4504-96ef-5b0195e87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CE4EB-35B3-48ED-B42F-23E6A5FD733F}">
  <ds:schemaRefs>
    <ds:schemaRef ds:uri="http://schemas.openxmlformats.org/officeDocument/2006/bibliography"/>
  </ds:schemaRefs>
</ds:datastoreItem>
</file>

<file path=customXml/itemProps4.xml><?xml version="1.0" encoding="utf-8"?>
<ds:datastoreItem xmlns:ds="http://schemas.openxmlformats.org/officeDocument/2006/customXml" ds:itemID="{EE501082-E5B3-49A0-AFD7-A3513B487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4309</Words>
  <Characters>24567</Characters>
  <Application>Microsoft Office Word</Application>
  <DocSecurity>0</DocSecurity>
  <Lines>204</Lines>
  <Paragraphs>57</Paragraphs>
  <ScaleCrop>false</ScaleCrop>
  <Company/>
  <LinksUpToDate>false</LinksUpToDate>
  <CharactersWithSpaces>28819</CharactersWithSpaces>
  <SharedDoc>false</SharedDoc>
  <HLinks>
    <vt:vector size="132" baseType="variant">
      <vt:variant>
        <vt:i4>5570565</vt:i4>
      </vt:variant>
      <vt:variant>
        <vt:i4>75</vt:i4>
      </vt:variant>
      <vt:variant>
        <vt:i4>0</vt:i4>
      </vt:variant>
      <vt:variant>
        <vt:i4>5</vt:i4>
      </vt:variant>
      <vt:variant>
        <vt:lpwstr>https://www.jobsandskills.gov.au/publications/international-labour-market-update-august-2024</vt:lpwstr>
      </vt:variant>
      <vt:variant>
        <vt:lpwstr/>
      </vt:variant>
      <vt:variant>
        <vt:i4>6488186</vt:i4>
      </vt:variant>
      <vt:variant>
        <vt:i4>72</vt:i4>
      </vt:variant>
      <vt:variant>
        <vt:i4>0</vt:i4>
      </vt:variant>
      <vt:variant>
        <vt:i4>5</vt:i4>
      </vt:variant>
      <vt:variant>
        <vt:lpwstr>https://www.jobsandskills.gov.au/data/nero</vt:lpwstr>
      </vt:variant>
      <vt:variant>
        <vt:lpwstr/>
      </vt:variant>
      <vt:variant>
        <vt:i4>2490422</vt:i4>
      </vt:variant>
      <vt:variant>
        <vt:i4>69</vt:i4>
      </vt:variant>
      <vt:variant>
        <vt:i4>0</vt:i4>
      </vt:variant>
      <vt:variant>
        <vt:i4>5</vt:i4>
      </vt:variant>
      <vt:variant>
        <vt:lpwstr>https://www.jobsandskills.gov.au/data/employment-region-dashboards-and-profiles</vt:lpwstr>
      </vt:variant>
      <vt:variant>
        <vt:lpwstr/>
      </vt:variant>
      <vt:variant>
        <vt:i4>4063353</vt:i4>
      </vt:variant>
      <vt:variant>
        <vt:i4>66</vt:i4>
      </vt:variant>
      <vt:variant>
        <vt:i4>0</vt:i4>
      </vt:variant>
      <vt:variant>
        <vt:i4>5</vt:i4>
      </vt:variant>
      <vt:variant>
        <vt:lpwstr>https://www.jobsandskills.gov.au/data/jobs-and-skills-atlas</vt:lpwstr>
      </vt:variant>
      <vt:variant>
        <vt:lpwstr/>
      </vt:variant>
      <vt:variant>
        <vt:i4>8257591</vt:i4>
      </vt:variant>
      <vt:variant>
        <vt:i4>63</vt:i4>
      </vt:variant>
      <vt:variant>
        <vt:i4>0</vt:i4>
      </vt:variant>
      <vt:variant>
        <vt:i4>5</vt:i4>
      </vt:variant>
      <vt:variant>
        <vt:lpwstr>https://www.jobsandskills.gov.au/data/small-area-labour-markets</vt:lpwstr>
      </vt:variant>
      <vt:variant>
        <vt:lpwstr/>
      </vt:variant>
      <vt:variant>
        <vt:i4>7405695</vt:i4>
      </vt:variant>
      <vt:variant>
        <vt:i4>60</vt:i4>
      </vt:variant>
      <vt:variant>
        <vt:i4>0</vt:i4>
      </vt:variant>
      <vt:variant>
        <vt:i4>5</vt:i4>
      </vt:variant>
      <vt:variant>
        <vt:lpwstr>https://www.jobsandskills.gov.au/data/skills-shortages-analysis</vt:lpwstr>
      </vt:variant>
      <vt:variant>
        <vt:lpwstr/>
      </vt:variant>
      <vt:variant>
        <vt:i4>589835</vt:i4>
      </vt:variant>
      <vt:variant>
        <vt:i4>57</vt:i4>
      </vt:variant>
      <vt:variant>
        <vt:i4>0</vt:i4>
      </vt:variant>
      <vt:variant>
        <vt:i4>5</vt:i4>
      </vt:variant>
      <vt:variant>
        <vt:lpwstr>https://www.jobsandskills.gov.au/data/recruitment-experiences-and-outlook-survey</vt:lpwstr>
      </vt:variant>
      <vt:variant>
        <vt:lpwstr/>
      </vt:variant>
      <vt:variant>
        <vt:i4>983044</vt:i4>
      </vt:variant>
      <vt:variant>
        <vt:i4>54</vt:i4>
      </vt:variant>
      <vt:variant>
        <vt:i4>0</vt:i4>
      </vt:variant>
      <vt:variant>
        <vt:i4>5</vt:i4>
      </vt:variant>
      <vt:variant>
        <vt:lpwstr>https://www.jobsandskills.gov.au/data/internet-vacancy-index</vt:lpwstr>
      </vt:variant>
      <vt:variant>
        <vt:lpwstr/>
      </vt:variant>
      <vt:variant>
        <vt:i4>5636169</vt:i4>
      </vt:variant>
      <vt:variant>
        <vt:i4>51</vt:i4>
      </vt:variant>
      <vt:variant>
        <vt:i4>0</vt:i4>
      </vt:variant>
      <vt:variant>
        <vt:i4>5</vt:i4>
      </vt:variant>
      <vt:variant>
        <vt:lpwstr>https://www.jobsandskills.gov.au/</vt:lpwstr>
      </vt:variant>
      <vt:variant>
        <vt:lpwstr/>
      </vt:variant>
      <vt:variant>
        <vt:i4>1703997</vt:i4>
      </vt:variant>
      <vt:variant>
        <vt:i4>44</vt:i4>
      </vt:variant>
      <vt:variant>
        <vt:i4>0</vt:i4>
      </vt:variant>
      <vt:variant>
        <vt:i4>5</vt:i4>
      </vt:variant>
      <vt:variant>
        <vt:lpwstr/>
      </vt:variant>
      <vt:variant>
        <vt:lpwstr>_Toc182561814</vt:lpwstr>
      </vt:variant>
      <vt:variant>
        <vt:i4>1703997</vt:i4>
      </vt:variant>
      <vt:variant>
        <vt:i4>38</vt:i4>
      </vt:variant>
      <vt:variant>
        <vt:i4>0</vt:i4>
      </vt:variant>
      <vt:variant>
        <vt:i4>5</vt:i4>
      </vt:variant>
      <vt:variant>
        <vt:lpwstr/>
      </vt:variant>
      <vt:variant>
        <vt:lpwstr>_Toc182561813</vt:lpwstr>
      </vt:variant>
      <vt:variant>
        <vt:i4>1703997</vt:i4>
      </vt:variant>
      <vt:variant>
        <vt:i4>32</vt:i4>
      </vt:variant>
      <vt:variant>
        <vt:i4>0</vt:i4>
      </vt:variant>
      <vt:variant>
        <vt:i4>5</vt:i4>
      </vt:variant>
      <vt:variant>
        <vt:lpwstr/>
      </vt:variant>
      <vt:variant>
        <vt:lpwstr>_Toc182561812</vt:lpwstr>
      </vt:variant>
      <vt:variant>
        <vt:i4>1703997</vt:i4>
      </vt:variant>
      <vt:variant>
        <vt:i4>26</vt:i4>
      </vt:variant>
      <vt:variant>
        <vt:i4>0</vt:i4>
      </vt:variant>
      <vt:variant>
        <vt:i4>5</vt:i4>
      </vt:variant>
      <vt:variant>
        <vt:lpwstr/>
      </vt:variant>
      <vt:variant>
        <vt:lpwstr>_Toc182561811</vt:lpwstr>
      </vt:variant>
      <vt:variant>
        <vt:i4>1703997</vt:i4>
      </vt:variant>
      <vt:variant>
        <vt:i4>20</vt:i4>
      </vt:variant>
      <vt:variant>
        <vt:i4>0</vt:i4>
      </vt:variant>
      <vt:variant>
        <vt:i4>5</vt:i4>
      </vt:variant>
      <vt:variant>
        <vt:lpwstr/>
      </vt:variant>
      <vt:variant>
        <vt:lpwstr>_Toc182561810</vt:lpwstr>
      </vt:variant>
      <vt:variant>
        <vt:i4>1769533</vt:i4>
      </vt:variant>
      <vt:variant>
        <vt:i4>14</vt:i4>
      </vt:variant>
      <vt:variant>
        <vt:i4>0</vt:i4>
      </vt:variant>
      <vt:variant>
        <vt:i4>5</vt:i4>
      </vt:variant>
      <vt:variant>
        <vt:lpwstr/>
      </vt:variant>
      <vt:variant>
        <vt:lpwstr>_Toc182561809</vt:lpwstr>
      </vt:variant>
      <vt:variant>
        <vt:i4>1769533</vt:i4>
      </vt:variant>
      <vt:variant>
        <vt:i4>8</vt:i4>
      </vt:variant>
      <vt:variant>
        <vt:i4>0</vt:i4>
      </vt:variant>
      <vt:variant>
        <vt:i4>5</vt:i4>
      </vt:variant>
      <vt:variant>
        <vt:lpwstr/>
      </vt:variant>
      <vt:variant>
        <vt:lpwstr>_Toc182561808</vt:lpwstr>
      </vt:variant>
      <vt:variant>
        <vt:i4>1769533</vt:i4>
      </vt:variant>
      <vt:variant>
        <vt:i4>2</vt:i4>
      </vt:variant>
      <vt:variant>
        <vt:i4>0</vt:i4>
      </vt:variant>
      <vt:variant>
        <vt:i4>5</vt:i4>
      </vt:variant>
      <vt:variant>
        <vt:lpwstr/>
      </vt:variant>
      <vt:variant>
        <vt:lpwstr>_Toc182561807</vt:lpwstr>
      </vt:variant>
      <vt:variant>
        <vt:i4>8323172</vt:i4>
      </vt:variant>
      <vt:variant>
        <vt:i4>12</vt:i4>
      </vt:variant>
      <vt:variant>
        <vt:i4>0</vt:i4>
      </vt:variant>
      <vt:variant>
        <vt:i4>5</vt:i4>
      </vt:variant>
      <vt:variant>
        <vt:lpwstr>https://www.jobsandskills.gov.au/data/labour-force-trending</vt:lpwstr>
      </vt:variant>
      <vt:variant>
        <vt:lpwstr/>
      </vt:variant>
      <vt:variant>
        <vt:i4>3801131</vt:i4>
      </vt:variant>
      <vt:variant>
        <vt:i4>9</vt:i4>
      </vt:variant>
      <vt:variant>
        <vt:i4>0</vt:i4>
      </vt:variant>
      <vt:variant>
        <vt:i4>5</vt:i4>
      </vt:variant>
      <vt:variant>
        <vt:lpwstr>https://data.gov.au/data/dataset/visa-temporary-work-skilled/resource/13e0c12d-f17a-40f6-ba9f-fedcdfaf5b8c</vt:lpwstr>
      </vt:variant>
      <vt:variant>
        <vt:lpwstr/>
      </vt:variant>
      <vt:variant>
        <vt:i4>327749</vt:i4>
      </vt:variant>
      <vt:variant>
        <vt:i4>6</vt:i4>
      </vt:variant>
      <vt:variant>
        <vt:i4>0</vt:i4>
      </vt:variant>
      <vt:variant>
        <vt:i4>5</vt:i4>
      </vt:variant>
      <vt:variant>
        <vt:lpwstr>https://www.jobsandskills.gov.au/data/skills-shortages-analysis/skills-priority-list</vt:lpwstr>
      </vt:variant>
      <vt:variant>
        <vt:lpwstr/>
      </vt:variant>
      <vt:variant>
        <vt:i4>3276841</vt:i4>
      </vt:variant>
      <vt:variant>
        <vt:i4>3</vt:i4>
      </vt:variant>
      <vt:variant>
        <vt:i4>0</vt:i4>
      </vt:variant>
      <vt:variant>
        <vt:i4>5</vt:i4>
      </vt:variant>
      <vt:variant>
        <vt:lpwstr>https://www.vetsuppliersdirectory.com.au/blog-kookaburra-veterinary-employment/page/13/</vt:lpwstr>
      </vt:variant>
      <vt:variant>
        <vt:lpwstr/>
      </vt:variant>
      <vt:variant>
        <vt:i4>4325462</vt:i4>
      </vt:variant>
      <vt:variant>
        <vt:i4>0</vt:i4>
      </vt:variant>
      <vt:variant>
        <vt:i4>0</vt:i4>
      </vt:variant>
      <vt:variant>
        <vt:i4>5</vt:i4>
      </vt:variant>
      <vt:variant>
        <vt:lpwstr>https://www.kookaburravets.com/Australia/IndexOz.htm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CHENG,Vivienne</dc:creator>
  <cp:keywords/>
  <dc:description/>
  <cp:lastModifiedBy>VENTURA,Linda</cp:lastModifiedBy>
  <cp:revision>3</cp:revision>
  <cp:lastPrinted>2024-12-01T23:55:00Z</cp:lastPrinted>
  <dcterms:created xsi:type="dcterms:W3CDTF">2024-11-21T05:30:00Z</dcterms:created>
  <dcterms:modified xsi:type="dcterms:W3CDTF">2024-12-01T23:55:00Z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2023-12-01T00:59:34Z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457eacff-c036-4f58-b25f-90a99bd92b87</vt:lpwstr>
  </property>
  <property fmtid="{D5CDD505-2E9C-101B-9397-08002B2CF9AE}" pid="8" name="MSIP_Label_79d889eb-932f-4752-8739-64d25806ef64_ContentBits">
    <vt:lpwstr>0</vt:lpwstr>
  </property>
  <property fmtid="{D5CDD505-2E9C-101B-9397-08002B2CF9AE}" pid="9" name="ContentTypeId">
    <vt:lpwstr>0x010100E3F34836EA3F784AB5A1E15E26B43A6C</vt:lpwstr>
  </property>
  <property fmtid="{D5CDD505-2E9C-101B-9397-08002B2CF9AE}" pid="10" name="MediaServiceImageTags">
    <vt:lpwstr/>
  </property>
</Properties>
</file>