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4.xml" ContentType="application/vnd.openxmlformats-officedocument.wordprocessingml.header+xml"/>
  <Override PartName="/word/footer1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B39E03" w14:textId="57BFD4B2" w:rsidR="00B81FFB" w:rsidRDefault="00B81FFB">
      <w:pPr>
        <w:spacing w:after="160" w:line="259" w:lineRule="auto"/>
        <w:rPr>
          <w:rFonts w:cs="Arial"/>
        </w:rPr>
      </w:pPr>
      <w:bookmarkStart w:id="0" w:name="_Toc118443202"/>
      <w:bookmarkStart w:id="1" w:name="_Toc119418020"/>
      <w:r>
        <w:rPr>
          <w:rFonts w:cs="Arial"/>
          <w:noProof/>
        </w:rPr>
        <w:drawing>
          <wp:anchor distT="0" distB="0" distL="114300" distR="114300" simplePos="0" relativeHeight="251664386" behindDoc="1" locked="0" layoutInCell="1" allowOverlap="1" wp14:anchorId="754F9CEF" wp14:editId="0196E835">
            <wp:simplePos x="0" y="0"/>
            <wp:positionH relativeFrom="page">
              <wp:align>left</wp:align>
            </wp:positionH>
            <wp:positionV relativeFrom="page">
              <wp:align>top</wp:align>
            </wp:positionV>
            <wp:extent cx="7560000" cy="10692000"/>
            <wp:effectExtent l="0" t="0" r="3175" b="0"/>
            <wp:wrapNone/>
            <wp:docPr id="20302935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29355"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Pr>
          <w:rFonts w:cs="Arial"/>
        </w:rPr>
        <w:br w:type="page"/>
      </w:r>
    </w:p>
    <w:p w14:paraId="7DE7A8F2" w14:textId="77777777" w:rsidR="00B81FFB" w:rsidRDefault="00B81FFB" w:rsidP="00B11937">
      <w:pPr>
        <w:rPr>
          <w:rFonts w:cs="Arial"/>
        </w:rPr>
        <w:sectPr w:rsidR="00B81FFB" w:rsidSect="00934658">
          <w:footerReference w:type="even" r:id="rId9"/>
          <w:footerReference w:type="default" r:id="rId10"/>
          <w:footerReference w:type="first" r:id="rId11"/>
          <w:pgSz w:w="11906" w:h="16838" w:code="9"/>
          <w:pgMar w:top="1276" w:right="1440" w:bottom="1134" w:left="1440" w:header="709" w:footer="709" w:gutter="0"/>
          <w:pgNumType w:fmt="lowerRoman"/>
          <w:cols w:space="708"/>
          <w:docGrid w:linePitch="360"/>
        </w:sectPr>
      </w:pPr>
    </w:p>
    <w:p w14:paraId="4BCC52F1" w14:textId="1033BBAD" w:rsidR="003E0B70" w:rsidRPr="00AC0957" w:rsidRDefault="00B32201" w:rsidP="00B11937">
      <w:pPr>
        <w:rPr>
          <w:rFonts w:cs="Arial"/>
        </w:rPr>
      </w:pPr>
      <w:r w:rsidRPr="00AC0957">
        <w:rPr>
          <w:rFonts w:cs="Arial"/>
          <w:noProof/>
        </w:rPr>
        <w:lastRenderedPageBreak/>
        <w:drawing>
          <wp:anchor distT="0" distB="0" distL="114300" distR="114300" simplePos="0" relativeHeight="251658240" behindDoc="1" locked="0" layoutInCell="1" allowOverlap="1" wp14:anchorId="41B9CE17" wp14:editId="23F71545">
            <wp:simplePos x="0" y="0"/>
            <wp:positionH relativeFrom="page">
              <wp:align>center</wp:align>
            </wp:positionH>
            <wp:positionV relativeFrom="page">
              <wp:align>top</wp:align>
            </wp:positionV>
            <wp:extent cx="7560000" cy="10693742"/>
            <wp:effectExtent l="0" t="0" r="3175" b="0"/>
            <wp:wrapNone/>
            <wp:docPr id="911560792" name="Picture 9115607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560792" name="Picture 91156079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693742"/>
                    </a:xfrm>
                    <a:prstGeom prst="rect">
                      <a:avLst/>
                    </a:prstGeom>
                  </pic:spPr>
                </pic:pic>
              </a:graphicData>
            </a:graphic>
            <wp14:sizeRelH relativeFrom="margin">
              <wp14:pctWidth>0</wp14:pctWidth>
            </wp14:sizeRelH>
            <wp14:sizeRelV relativeFrom="margin">
              <wp14:pctHeight>0</wp14:pctHeight>
            </wp14:sizeRelV>
          </wp:anchor>
        </w:drawing>
      </w:r>
    </w:p>
    <w:p w14:paraId="65CE7F50" w14:textId="345A5903" w:rsidR="004F2369" w:rsidRPr="00AC0957" w:rsidRDefault="00F5282C" w:rsidP="00DA0CB6">
      <w:pPr>
        <w:pStyle w:val="Title"/>
        <w:ind w:left="1134"/>
        <w:rPr>
          <w:rFonts w:ascii="Arial" w:hAnsi="Arial" w:cs="Arial"/>
        </w:rPr>
      </w:pPr>
      <w:r>
        <w:rPr>
          <w:rFonts w:ascii="Arial" w:hAnsi="Arial" w:cs="Arial"/>
        </w:rPr>
        <w:t xml:space="preserve">Better </w:t>
      </w:r>
      <w:r w:rsidR="002B44A0">
        <w:rPr>
          <w:rFonts w:ascii="Arial" w:hAnsi="Arial" w:cs="Arial"/>
        </w:rPr>
        <w:t>T</w:t>
      </w:r>
      <w:r>
        <w:rPr>
          <w:rFonts w:ascii="Arial" w:hAnsi="Arial" w:cs="Arial"/>
        </w:rPr>
        <w:t>ogether</w:t>
      </w:r>
    </w:p>
    <w:p w14:paraId="3DF70E82" w14:textId="36B4C9F3" w:rsidR="004F2369" w:rsidRPr="00AC0957" w:rsidRDefault="00533B7B" w:rsidP="00DA0CB6">
      <w:pPr>
        <w:pStyle w:val="Subtitle"/>
        <w:ind w:left="1134"/>
        <w:rPr>
          <w:rFonts w:ascii="Arial" w:hAnsi="Arial" w:cs="Arial"/>
        </w:rPr>
      </w:pPr>
      <w:r>
        <w:rPr>
          <w:rFonts w:ascii="Arial" w:hAnsi="Arial" w:cs="Arial"/>
        </w:rPr>
        <w:t>The Jobs and Skills Report 2024</w:t>
      </w:r>
    </w:p>
    <w:p w14:paraId="49F46106" w14:textId="711BC795" w:rsidR="00CB060C" w:rsidRDefault="004E29E8" w:rsidP="00DA0CB6">
      <w:pPr>
        <w:spacing w:after="160" w:line="259" w:lineRule="auto"/>
        <w:ind w:left="1134"/>
        <w:rPr>
          <w:rFonts w:cs="Arial"/>
        </w:rPr>
      </w:pPr>
      <w:r w:rsidRPr="00DA0CB6">
        <w:rPr>
          <w:rFonts w:cs="Arial"/>
          <w:b/>
          <w:bCs/>
          <w:color w:val="4B0885" w:themeColor="text2"/>
          <w:spacing w:val="-10"/>
          <w:sz w:val="28"/>
          <w:szCs w:val="28"/>
        </w:rPr>
        <w:t>November</w:t>
      </w:r>
      <w:r w:rsidR="004F2369" w:rsidRPr="00DA0CB6">
        <w:rPr>
          <w:rFonts w:cs="Arial"/>
          <w:b/>
          <w:bCs/>
          <w:color w:val="4B0885" w:themeColor="text2"/>
          <w:spacing w:val="-10"/>
          <w:sz w:val="28"/>
          <w:szCs w:val="28"/>
        </w:rPr>
        <w:t xml:space="preserve"> 202</w:t>
      </w:r>
      <w:r w:rsidR="00475029" w:rsidRPr="00DA0CB6">
        <w:rPr>
          <w:rFonts w:cs="Arial"/>
          <w:b/>
          <w:bCs/>
          <w:color w:val="4B0885" w:themeColor="text2"/>
          <w:spacing w:val="-10"/>
          <w:sz w:val="28"/>
          <w:szCs w:val="28"/>
        </w:rPr>
        <w:t>4</w:t>
      </w:r>
      <w:r w:rsidR="004F2369" w:rsidRPr="00AC0957">
        <w:rPr>
          <w:rFonts w:cs="Arial"/>
        </w:rPr>
        <w:br w:type="page"/>
      </w:r>
    </w:p>
    <w:p w14:paraId="30393C77" w14:textId="45275F8D" w:rsidR="001848CB" w:rsidRDefault="001848CB" w:rsidP="001848CB">
      <w:r>
        <w:rPr>
          <w:noProof/>
        </w:rPr>
        <w:lastRenderedPageBreak/>
        <w:drawing>
          <wp:inline distT="0" distB="0" distL="0" distR="0" wp14:anchorId="69746064" wp14:editId="53EB9B06">
            <wp:extent cx="1225550" cy="426720"/>
            <wp:effectExtent l="0" t="0" r="0" b="0"/>
            <wp:docPr id="157481062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810624" name="Picture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5550" cy="426720"/>
                    </a:xfrm>
                    <a:prstGeom prst="rect">
                      <a:avLst/>
                    </a:prstGeom>
                    <a:noFill/>
                  </pic:spPr>
                </pic:pic>
              </a:graphicData>
            </a:graphic>
          </wp:inline>
        </w:drawing>
      </w:r>
    </w:p>
    <w:p w14:paraId="14610216" w14:textId="05DDFCD5" w:rsidR="001848CB" w:rsidRDefault="001848CB" w:rsidP="001848CB">
      <w:r>
        <w:t>All content is provided under a Creative Commons Attribution 4.0 International Licence with the exception of:</w:t>
      </w:r>
    </w:p>
    <w:p w14:paraId="6899D4F7" w14:textId="561D395F" w:rsidR="001848CB" w:rsidRDefault="001848CB" w:rsidP="001848CB">
      <w:pPr>
        <w:pStyle w:val="ListBullet"/>
      </w:pPr>
      <w:r>
        <w:t>content supplied by third parties</w:t>
      </w:r>
    </w:p>
    <w:p w14:paraId="708BF2CD" w14:textId="35727DDF" w:rsidR="001848CB" w:rsidRDefault="001848CB" w:rsidP="001848CB">
      <w:pPr>
        <w:pStyle w:val="ListBullet"/>
      </w:pPr>
      <w:r>
        <w:t>the Commonwealth Coat of Arms</w:t>
      </w:r>
    </w:p>
    <w:p w14:paraId="43EE91F7" w14:textId="2824735A" w:rsidR="001848CB" w:rsidRDefault="001848CB" w:rsidP="001848CB">
      <w:pPr>
        <w:pStyle w:val="ListBullet"/>
      </w:pPr>
      <w:r>
        <w:t>material protected by a trade mark</w:t>
      </w:r>
    </w:p>
    <w:p w14:paraId="3262955C" w14:textId="37AA39F0" w:rsidR="001848CB" w:rsidRPr="001848CB" w:rsidRDefault="001848CB" w:rsidP="001848CB">
      <w:pPr>
        <w:pStyle w:val="ListBullet"/>
      </w:pPr>
      <w:r w:rsidRPr="001848CB">
        <w:t>any images and/or photographs.</w:t>
      </w:r>
    </w:p>
    <w:p w14:paraId="0B08C217" w14:textId="4E7B65BA" w:rsidR="001848CB" w:rsidRPr="001848CB" w:rsidRDefault="001848CB" w:rsidP="001848CB">
      <w:r w:rsidRPr="001848CB">
        <w:t xml:space="preserve">Details of the Creative Commons BY 4.0 licence are available on the </w:t>
      </w:r>
      <w:hyperlink r:id="rId14" w:history="1">
        <w:r w:rsidRPr="00041A5F">
          <w:rPr>
            <w:rStyle w:val="Hyperlink"/>
          </w:rPr>
          <w:t>Creative Commons website</w:t>
        </w:r>
      </w:hyperlink>
      <w:r w:rsidRPr="001848CB">
        <w:t>.</w:t>
      </w:r>
    </w:p>
    <w:p w14:paraId="6A0AB3C3" w14:textId="77777777" w:rsidR="001848CB" w:rsidRPr="001848CB" w:rsidRDefault="001848CB" w:rsidP="001848CB">
      <w:r w:rsidRPr="001848CB">
        <w:t>Use of all or part of any material on this website must include the following attribution:</w:t>
      </w:r>
    </w:p>
    <w:p w14:paraId="379F1DA7" w14:textId="77777777" w:rsidR="001848CB" w:rsidRPr="001848CB" w:rsidRDefault="001848CB" w:rsidP="001848CB">
      <w:r w:rsidRPr="001848CB">
        <w:t>© Commonwealth of Australia</w:t>
      </w:r>
    </w:p>
    <w:p w14:paraId="6E415307" w14:textId="57838213" w:rsidR="001848CB" w:rsidRPr="001848CB" w:rsidRDefault="001848CB" w:rsidP="001848CB">
      <w:r w:rsidRPr="001848CB">
        <w:t xml:space="preserve">Terms under which the Commonwealth Coat of Arms can be used are set out on the </w:t>
      </w:r>
      <w:hyperlink r:id="rId15" w:history="1">
        <w:r w:rsidRPr="00041A5F">
          <w:rPr>
            <w:rStyle w:val="Hyperlink"/>
          </w:rPr>
          <w:t>Department of the Prime Minister and Cabinet website</w:t>
        </w:r>
      </w:hyperlink>
      <w:r w:rsidRPr="001848CB">
        <w:t>.</w:t>
      </w:r>
    </w:p>
    <w:p w14:paraId="5B1B18B2" w14:textId="77777777" w:rsidR="001848CB" w:rsidRPr="001848CB" w:rsidRDefault="001848CB" w:rsidP="001848CB">
      <w:pPr>
        <w:rPr>
          <w:rStyle w:val="Strong"/>
        </w:rPr>
      </w:pPr>
      <w:r w:rsidRPr="001848CB">
        <w:rPr>
          <w:rStyle w:val="Strong"/>
        </w:rPr>
        <w:t>Attribution</w:t>
      </w:r>
    </w:p>
    <w:p w14:paraId="398F46E5" w14:textId="77777777" w:rsidR="001848CB" w:rsidRPr="001848CB" w:rsidRDefault="001848CB" w:rsidP="001848CB">
      <w:r w:rsidRPr="001848CB">
        <w:t>You may link to this website at your full expense and responsibility. In doing so you must not alter any of the website's contents, frame or reformat the files, pages, images, information and materials from this website on any other website. We reserve the right to prevent linking.</w:t>
      </w:r>
    </w:p>
    <w:p w14:paraId="489F9E0D" w14:textId="77777777" w:rsidR="001848CB" w:rsidRPr="001848CB" w:rsidRDefault="001848CB" w:rsidP="001848CB">
      <w:pPr>
        <w:rPr>
          <w:rStyle w:val="Strong"/>
        </w:rPr>
      </w:pPr>
      <w:r w:rsidRPr="001848CB">
        <w:rPr>
          <w:rStyle w:val="Strong"/>
        </w:rPr>
        <w:t>Other use</w:t>
      </w:r>
    </w:p>
    <w:p w14:paraId="2E7F30EA" w14:textId="77777777" w:rsidR="001848CB" w:rsidRPr="001848CB" w:rsidRDefault="001848CB" w:rsidP="001848CB">
      <w:r w:rsidRPr="001848CB">
        <w:t>If you want to use material on this website in a way that is beyond the scope of the terms of use that apply to it, ask us for authorisation. You could infringe our copyright if you use anything on this website in a way that is not permitted or otherwise allowed under the Copyright Act 1968 (Cth).</w:t>
      </w:r>
    </w:p>
    <w:p w14:paraId="608452D4" w14:textId="7798189E" w:rsidR="001848CB" w:rsidRDefault="001848CB" w:rsidP="001848CB">
      <w:r w:rsidRPr="001848CB">
        <w:t xml:space="preserve">Please email </w:t>
      </w:r>
      <w:hyperlink r:id="rId16" w:history="1">
        <w:r w:rsidRPr="00041A5F">
          <w:rPr>
            <w:rStyle w:val="Hyperlink"/>
          </w:rPr>
          <w:t>copyright@dewr.gov.au</w:t>
        </w:r>
      </w:hyperlink>
      <w:r w:rsidRPr="001848CB">
        <w:t xml:space="preserve"> or address </w:t>
      </w:r>
      <w:r>
        <w:t>requests and enquiries to:</w:t>
      </w:r>
    </w:p>
    <w:p w14:paraId="5C1B8750" w14:textId="7AFCF540" w:rsidR="004F2369" w:rsidRPr="001848CB" w:rsidRDefault="001848CB" w:rsidP="001848CB">
      <w:r>
        <w:t>The Copyright Officer</w:t>
      </w:r>
      <w:r>
        <w:br/>
        <w:t>Department of Employment and Workplace Relations</w:t>
      </w:r>
      <w:r>
        <w:br/>
        <w:t>GPO Box 9828 Canberra ACT 2601.</w:t>
      </w:r>
    </w:p>
    <w:p w14:paraId="400735AF" w14:textId="77777777" w:rsidR="001848CB" w:rsidRPr="001848CB" w:rsidRDefault="001848CB" w:rsidP="001848CB"/>
    <w:p w14:paraId="1FED0563" w14:textId="0CD1BE22" w:rsidR="001848CB" w:rsidRDefault="001848CB">
      <w:pPr>
        <w:spacing w:after="160" w:line="259" w:lineRule="auto"/>
      </w:pPr>
      <w:r w:rsidRPr="001848CB">
        <w:br w:type="page"/>
      </w:r>
      <w:r>
        <w:rPr>
          <w:noProof/>
        </w:rPr>
        <w:lastRenderedPageBreak/>
        <mc:AlternateContent>
          <mc:Choice Requires="wps">
            <w:drawing>
              <wp:anchor distT="45720" distB="45720" distL="114300" distR="114300" simplePos="0" relativeHeight="251663362" behindDoc="0" locked="0" layoutInCell="1" allowOverlap="1" wp14:anchorId="19789ABB" wp14:editId="74A2E00C">
                <wp:simplePos x="0" y="0"/>
                <wp:positionH relativeFrom="page">
                  <wp:align>left</wp:align>
                </wp:positionH>
                <wp:positionV relativeFrom="page">
                  <wp:posOffset>7110730</wp:posOffset>
                </wp:positionV>
                <wp:extent cx="5439600" cy="2278800"/>
                <wp:effectExtent l="0" t="0" r="27940" b="26670"/>
                <wp:wrapSquare wrapText="bothSides"/>
                <wp:docPr id="8992132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9600" cy="2278800"/>
                        </a:xfrm>
                        <a:prstGeom prst="rect">
                          <a:avLst/>
                        </a:prstGeom>
                        <a:solidFill>
                          <a:srgbClr val="FFFFFF"/>
                        </a:solidFill>
                        <a:ln w="9525">
                          <a:solidFill>
                            <a:schemeClr val="bg1"/>
                          </a:solidFill>
                          <a:miter lim="800000"/>
                          <a:headEnd/>
                          <a:tailEnd/>
                        </a:ln>
                      </wps:spPr>
                      <wps:txbx>
                        <w:txbxContent>
                          <w:p w14:paraId="5CCB01E5" w14:textId="77777777" w:rsidR="001848CB" w:rsidRPr="003F2AFB" w:rsidRDefault="001848CB" w:rsidP="001848CB">
                            <w:pPr>
                              <w:spacing w:before="360" w:after="240"/>
                              <w:ind w:left="1440"/>
                              <w:rPr>
                                <w:b/>
                                <w:bCs/>
                                <w:sz w:val="32"/>
                                <w:szCs w:val="32"/>
                              </w:rPr>
                            </w:pPr>
                            <w:r w:rsidRPr="003F2AFB">
                              <w:rPr>
                                <w:b/>
                                <w:bCs/>
                                <w:sz w:val="32"/>
                                <w:szCs w:val="32"/>
                              </w:rPr>
                              <w:t>Acknowledgement of Country</w:t>
                            </w:r>
                          </w:p>
                          <w:p w14:paraId="73149C42" w14:textId="77777777" w:rsidR="001848CB" w:rsidRDefault="001848CB" w:rsidP="001848CB">
                            <w:pPr>
                              <w:ind w:left="1440" w:right="567"/>
                            </w:pPr>
                            <w:r>
                              <w:t>Jobs and Skills Australia acknowledges the Traditional Owners of Country throughout Australia and recognises the continuing connection to lands, waters and communities. We pay our respects to Aboriginal and Torres Strait Islander cultures, and to Elders past and present.</w:t>
                            </w:r>
                          </w:p>
                          <w:p w14:paraId="78BB89A8" w14:textId="77777777" w:rsidR="001848CB" w:rsidRDefault="001848CB" w:rsidP="001848CB">
                            <w:pPr>
                              <w:ind w:left="1440" w:right="567"/>
                            </w:pPr>
                            <w:r>
                              <w:t>The background image is an aerial view of the country of the Nhanda people, showing Pink Lake at Port Gregory.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789ABB" id="_x0000_t202" coordsize="21600,21600" o:spt="202" path="m,l,21600r21600,l21600,xe">
                <v:stroke joinstyle="miter"/>
                <v:path gradientshapeok="t" o:connecttype="rect"/>
              </v:shapetype>
              <v:shape id="Text Box 2" o:spid="_x0000_s1026" type="#_x0000_t202" alt="&quot;&quot;" style="position:absolute;margin-left:0;margin-top:559.9pt;width:428.3pt;height:179.45pt;z-index:251663362;visibility:visible;mso-wrap-style:square;mso-width-percent:0;mso-height-percent:0;mso-wrap-distance-left:9pt;mso-wrap-distance-top:3.6pt;mso-wrap-distance-right:9pt;mso-wrap-distance-bottom:3.6pt;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" strokecolor="white [3212]">
                <v:textbox>
                  <w:txbxContent>
                    <w:p w14:paraId="5CCB01E5" w14:textId="77777777" w:rsidR="001848CB" w:rsidRPr="003F2AFB" w:rsidRDefault="001848CB" w:rsidP="001848CB">
                      <w:pPr>
                        <w:spacing w:before="360" w:after="240"/>
                        <w:ind w:left="1440"/>
                        <w:rPr>
                          <w:b/>
                          <w:bCs/>
                          <w:sz w:val="32"/>
                          <w:szCs w:val="32"/>
                        </w:rPr>
                      </w:pPr>
                      <w:r w:rsidRPr="003F2AFB">
                        <w:rPr>
                          <w:b/>
                          <w:bCs/>
                          <w:sz w:val="32"/>
                          <w:szCs w:val="32"/>
                        </w:rPr>
                        <w:t>Acknowledgement of Country</w:t>
                      </w:r>
                    </w:p>
                    <w:p w14:paraId="73149C42" w14:textId="77777777" w:rsidR="001848CB" w:rsidRDefault="001848CB" w:rsidP="001848CB">
                      <w:pPr>
                        <w:ind w:left="1440" w:right="567"/>
                      </w:pPr>
                      <w:r>
                        <w:t>Jobs and Skills Australia acknowledges the Traditional Owners of Country throughout Australia and recognises the continuing connection to lands, waters and communities. We pay our respects to Aboriginal and Torres Strait Islander cultures, and to Elders past and present.</w:t>
                      </w:r>
                    </w:p>
                    <w:p w14:paraId="78BB89A8" w14:textId="77777777" w:rsidR="001848CB" w:rsidRDefault="001848CB" w:rsidP="001848CB">
                      <w:pPr>
                        <w:ind w:left="1440" w:right="567"/>
                      </w:pPr>
                      <w:r>
                        <w:t>The background image is an aerial view of the country of the Nhanda people, showing Pink Lake at Port Gregory.</w:t>
                      </w:r>
                    </w:p>
                  </w:txbxContent>
                </v:textbox>
                <w10:wrap type="square" anchorx="page" anchory="page"/>
              </v:shape>
            </w:pict>
          </mc:Fallback>
        </mc:AlternateContent>
      </w:r>
      <w:r>
        <w:rPr>
          <w:noProof/>
        </w:rPr>
        <w:drawing>
          <wp:anchor distT="0" distB="0" distL="114300" distR="114300" simplePos="0" relativeHeight="251661314" behindDoc="1" locked="0" layoutInCell="1" allowOverlap="1" wp14:anchorId="0CF4FD1A" wp14:editId="440B7F06">
            <wp:simplePos x="0" y="0"/>
            <wp:positionH relativeFrom="page">
              <wp:align>left</wp:align>
            </wp:positionH>
            <wp:positionV relativeFrom="page">
              <wp:align>top</wp:align>
            </wp:positionV>
            <wp:extent cx="10692000" cy="8020800"/>
            <wp:effectExtent l="1905" t="0" r="0" b="0"/>
            <wp:wrapNone/>
            <wp:docPr id="1629650229"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808871" name="Picture 21">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10692000" cy="802080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06281290" w14:textId="77777777" w:rsidR="00DA0CB6" w:rsidRDefault="00DA0CB6" w:rsidP="00E47E48">
      <w:pPr>
        <w:pStyle w:val="TOCHeading"/>
        <w:rPr>
          <w:rFonts w:cs="Arial"/>
        </w:rPr>
        <w:sectPr w:rsidR="00DA0CB6" w:rsidSect="00B81FFB">
          <w:pgSz w:w="11906" w:h="16838" w:code="9"/>
          <w:pgMar w:top="1276" w:right="1440" w:bottom="1134" w:left="1440" w:header="709" w:footer="709" w:gutter="0"/>
          <w:pgNumType w:fmt="lowerRoman" w:start="1"/>
          <w:cols w:space="708"/>
          <w:docGrid w:linePitch="360"/>
        </w:sectPr>
      </w:pPr>
    </w:p>
    <w:p w14:paraId="2C9651D4" w14:textId="77777777" w:rsidR="00B11937" w:rsidRPr="00AC0957" w:rsidRDefault="00B11937" w:rsidP="00E47E48">
      <w:pPr>
        <w:pStyle w:val="TOCHeading"/>
        <w:rPr>
          <w:rFonts w:cs="Arial"/>
        </w:rPr>
      </w:pPr>
      <w:r w:rsidRPr="00AC0957">
        <w:rPr>
          <w:rFonts w:cs="Arial"/>
        </w:rPr>
        <w:lastRenderedPageBreak/>
        <w:t>Contents</w:t>
      </w:r>
    </w:p>
    <w:p w14:paraId="5D3618D5" w14:textId="752C73DD" w:rsidR="00CB35AC" w:rsidRDefault="00B11937">
      <w:pPr>
        <w:pStyle w:val="TOC1"/>
        <w:tabs>
          <w:tab w:val="right" w:leader="dot" w:pos="9016"/>
        </w:tabs>
        <w:rPr>
          <w:rFonts w:asciiTheme="minorHAnsi" w:eastAsiaTheme="minorEastAsia" w:hAnsiTheme="minorHAnsi"/>
          <w:b w:val="0"/>
          <w:noProof/>
          <w:color w:val="auto"/>
          <w:kern w:val="2"/>
          <w:sz w:val="24"/>
          <w:szCs w:val="24"/>
          <w:lang w:eastAsia="en-AU"/>
          <w14:ligatures w14:val="standardContextual"/>
        </w:rPr>
      </w:pPr>
      <w:r w:rsidRPr="00AC0957">
        <w:rPr>
          <w:rFonts w:cs="Arial"/>
        </w:rPr>
        <w:fldChar w:fldCharType="begin"/>
      </w:r>
      <w:r w:rsidRPr="00AC0957">
        <w:rPr>
          <w:rFonts w:cs="Arial"/>
        </w:rPr>
        <w:instrText xml:space="preserve"> TOC \o "1-3" \h \z \u </w:instrText>
      </w:r>
      <w:r w:rsidRPr="00AC0957">
        <w:rPr>
          <w:rFonts w:cs="Arial"/>
        </w:rPr>
        <w:fldChar w:fldCharType="separate"/>
      </w:r>
      <w:hyperlink w:anchor="_Toc181371537" w:history="1">
        <w:r w:rsidR="00CB35AC" w:rsidRPr="00E9356D">
          <w:rPr>
            <w:rStyle w:val="Hyperlink"/>
            <w:rFonts w:cs="Arial"/>
            <w:noProof/>
          </w:rPr>
          <w:t>Commissioner’s Foreword</w:t>
        </w:r>
        <w:r w:rsidR="00CB35AC">
          <w:rPr>
            <w:noProof/>
            <w:webHidden/>
          </w:rPr>
          <w:tab/>
        </w:r>
        <w:r w:rsidR="00CB35AC">
          <w:rPr>
            <w:noProof/>
            <w:webHidden/>
          </w:rPr>
          <w:fldChar w:fldCharType="begin"/>
        </w:r>
        <w:r w:rsidR="00CB35AC">
          <w:rPr>
            <w:noProof/>
            <w:webHidden/>
          </w:rPr>
          <w:instrText xml:space="preserve"> PAGEREF _Toc181371537 \h </w:instrText>
        </w:r>
        <w:r w:rsidR="00CB35AC">
          <w:rPr>
            <w:noProof/>
            <w:webHidden/>
          </w:rPr>
        </w:r>
        <w:r w:rsidR="00CB35AC">
          <w:rPr>
            <w:noProof/>
            <w:webHidden/>
          </w:rPr>
          <w:fldChar w:fldCharType="separate"/>
        </w:r>
        <w:r w:rsidR="00C47A81">
          <w:rPr>
            <w:noProof/>
            <w:webHidden/>
          </w:rPr>
          <w:t>1</w:t>
        </w:r>
        <w:r w:rsidR="00CB35AC">
          <w:rPr>
            <w:noProof/>
            <w:webHidden/>
          </w:rPr>
          <w:fldChar w:fldCharType="end"/>
        </w:r>
      </w:hyperlink>
    </w:p>
    <w:p w14:paraId="7F639438" w14:textId="1398E6FC" w:rsidR="00CB35AC" w:rsidRDefault="00834566">
      <w:pPr>
        <w:pStyle w:val="TOC1"/>
        <w:tabs>
          <w:tab w:val="right" w:leader="dot" w:pos="9016"/>
        </w:tabs>
        <w:rPr>
          <w:rFonts w:asciiTheme="minorHAnsi" w:eastAsiaTheme="minorEastAsia" w:hAnsiTheme="minorHAnsi"/>
          <w:b w:val="0"/>
          <w:noProof/>
          <w:color w:val="auto"/>
          <w:kern w:val="2"/>
          <w:sz w:val="24"/>
          <w:szCs w:val="24"/>
          <w:lang w:eastAsia="en-AU"/>
          <w14:ligatures w14:val="standardContextual"/>
        </w:rPr>
      </w:pPr>
      <w:hyperlink w:anchor="_Toc181371538" w:history="1">
        <w:r w:rsidR="00CB35AC" w:rsidRPr="00E9356D">
          <w:rPr>
            <w:rStyle w:val="Hyperlink"/>
            <w:rFonts w:cs="Arial"/>
            <w:noProof/>
            <w:lang w:eastAsia="en-AU"/>
          </w:rPr>
          <w:t>Executive Summary</w:t>
        </w:r>
        <w:r w:rsidR="00CB35AC">
          <w:rPr>
            <w:noProof/>
            <w:webHidden/>
          </w:rPr>
          <w:tab/>
        </w:r>
        <w:r w:rsidR="00CB35AC">
          <w:rPr>
            <w:noProof/>
            <w:webHidden/>
          </w:rPr>
          <w:fldChar w:fldCharType="begin"/>
        </w:r>
        <w:r w:rsidR="00CB35AC">
          <w:rPr>
            <w:noProof/>
            <w:webHidden/>
          </w:rPr>
          <w:instrText xml:space="preserve"> PAGEREF _Toc181371538 \h </w:instrText>
        </w:r>
        <w:r w:rsidR="00CB35AC">
          <w:rPr>
            <w:noProof/>
            <w:webHidden/>
          </w:rPr>
        </w:r>
        <w:r w:rsidR="00CB35AC">
          <w:rPr>
            <w:noProof/>
            <w:webHidden/>
          </w:rPr>
          <w:fldChar w:fldCharType="separate"/>
        </w:r>
        <w:r w:rsidR="00C47A81">
          <w:rPr>
            <w:noProof/>
            <w:webHidden/>
          </w:rPr>
          <w:t>3</w:t>
        </w:r>
        <w:r w:rsidR="00CB35AC">
          <w:rPr>
            <w:noProof/>
            <w:webHidden/>
          </w:rPr>
          <w:fldChar w:fldCharType="end"/>
        </w:r>
      </w:hyperlink>
    </w:p>
    <w:p w14:paraId="2A3A1750" w14:textId="5B09B047" w:rsidR="00CB35AC" w:rsidRDefault="00834566">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371539" w:history="1">
        <w:r w:rsidR="00CB35AC" w:rsidRPr="00E9356D">
          <w:rPr>
            <w:rStyle w:val="Hyperlink"/>
            <w:noProof/>
            <w:lang w:eastAsia="en-AU"/>
          </w:rPr>
          <w:t>1. Fostering inclusive participation</w:t>
        </w:r>
        <w:r w:rsidR="00CB35AC">
          <w:rPr>
            <w:noProof/>
            <w:webHidden/>
          </w:rPr>
          <w:tab/>
        </w:r>
        <w:r w:rsidR="00CB35AC">
          <w:rPr>
            <w:noProof/>
            <w:webHidden/>
          </w:rPr>
          <w:fldChar w:fldCharType="begin"/>
        </w:r>
        <w:r w:rsidR="00CB35AC">
          <w:rPr>
            <w:noProof/>
            <w:webHidden/>
          </w:rPr>
          <w:instrText xml:space="preserve"> PAGEREF _Toc181371539 \h </w:instrText>
        </w:r>
        <w:r w:rsidR="00CB35AC">
          <w:rPr>
            <w:noProof/>
            <w:webHidden/>
          </w:rPr>
        </w:r>
        <w:r w:rsidR="00CB35AC">
          <w:rPr>
            <w:noProof/>
            <w:webHidden/>
          </w:rPr>
          <w:fldChar w:fldCharType="separate"/>
        </w:r>
        <w:r w:rsidR="00C47A81">
          <w:rPr>
            <w:noProof/>
            <w:webHidden/>
          </w:rPr>
          <w:t>3</w:t>
        </w:r>
        <w:r w:rsidR="00CB35AC">
          <w:rPr>
            <w:noProof/>
            <w:webHidden/>
          </w:rPr>
          <w:fldChar w:fldCharType="end"/>
        </w:r>
      </w:hyperlink>
    </w:p>
    <w:p w14:paraId="119D325B" w14:textId="64198B3E"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40" w:history="1">
        <w:r w:rsidR="00CB35AC" w:rsidRPr="00E9356D">
          <w:rPr>
            <w:rStyle w:val="Hyperlink"/>
            <w:noProof/>
            <w:lang w:eastAsia="en-AU"/>
          </w:rPr>
          <w:t>Achieving full employment</w:t>
        </w:r>
        <w:r w:rsidR="00CB35AC">
          <w:rPr>
            <w:noProof/>
            <w:webHidden/>
          </w:rPr>
          <w:tab/>
        </w:r>
        <w:r w:rsidR="00CB35AC">
          <w:rPr>
            <w:noProof/>
            <w:webHidden/>
          </w:rPr>
          <w:fldChar w:fldCharType="begin"/>
        </w:r>
        <w:r w:rsidR="00CB35AC">
          <w:rPr>
            <w:noProof/>
            <w:webHidden/>
          </w:rPr>
          <w:instrText xml:space="preserve"> PAGEREF _Toc181371540 \h </w:instrText>
        </w:r>
        <w:r w:rsidR="00CB35AC">
          <w:rPr>
            <w:noProof/>
            <w:webHidden/>
          </w:rPr>
        </w:r>
        <w:r w:rsidR="00CB35AC">
          <w:rPr>
            <w:noProof/>
            <w:webHidden/>
          </w:rPr>
          <w:fldChar w:fldCharType="separate"/>
        </w:r>
        <w:r w:rsidR="00C47A81">
          <w:rPr>
            <w:noProof/>
            <w:webHidden/>
          </w:rPr>
          <w:t>4</w:t>
        </w:r>
        <w:r w:rsidR="00CB35AC">
          <w:rPr>
            <w:noProof/>
            <w:webHidden/>
          </w:rPr>
          <w:fldChar w:fldCharType="end"/>
        </w:r>
      </w:hyperlink>
    </w:p>
    <w:p w14:paraId="56A17BD0" w14:textId="6544ABC8"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41" w:history="1">
        <w:r w:rsidR="00CB35AC" w:rsidRPr="00E9356D">
          <w:rPr>
            <w:rStyle w:val="Hyperlink"/>
            <w:noProof/>
            <w:lang w:eastAsia="en-AU"/>
          </w:rPr>
          <w:t>Addressing barriers to inclusion</w:t>
        </w:r>
        <w:r w:rsidR="00CB35AC">
          <w:rPr>
            <w:noProof/>
            <w:webHidden/>
          </w:rPr>
          <w:tab/>
        </w:r>
        <w:r w:rsidR="00CB35AC">
          <w:rPr>
            <w:noProof/>
            <w:webHidden/>
          </w:rPr>
          <w:fldChar w:fldCharType="begin"/>
        </w:r>
        <w:r w:rsidR="00CB35AC">
          <w:rPr>
            <w:noProof/>
            <w:webHidden/>
          </w:rPr>
          <w:instrText xml:space="preserve"> PAGEREF _Toc181371541 \h </w:instrText>
        </w:r>
        <w:r w:rsidR="00CB35AC">
          <w:rPr>
            <w:noProof/>
            <w:webHidden/>
          </w:rPr>
        </w:r>
        <w:r w:rsidR="00CB35AC">
          <w:rPr>
            <w:noProof/>
            <w:webHidden/>
          </w:rPr>
          <w:fldChar w:fldCharType="separate"/>
        </w:r>
        <w:r w:rsidR="00C47A81">
          <w:rPr>
            <w:noProof/>
            <w:webHidden/>
          </w:rPr>
          <w:t>4</w:t>
        </w:r>
        <w:r w:rsidR="00CB35AC">
          <w:rPr>
            <w:noProof/>
            <w:webHidden/>
          </w:rPr>
          <w:fldChar w:fldCharType="end"/>
        </w:r>
      </w:hyperlink>
    </w:p>
    <w:p w14:paraId="0C17C198" w14:textId="21A9C84A"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42" w:history="1">
        <w:r w:rsidR="00CB35AC" w:rsidRPr="00E9356D">
          <w:rPr>
            <w:rStyle w:val="Hyperlink"/>
            <w:noProof/>
            <w:lang w:val="en-US" w:eastAsia="en-AU"/>
          </w:rPr>
          <w:t>The role of education and training</w:t>
        </w:r>
        <w:r w:rsidR="00CB35AC">
          <w:rPr>
            <w:noProof/>
            <w:webHidden/>
          </w:rPr>
          <w:tab/>
        </w:r>
        <w:r w:rsidR="00CB35AC">
          <w:rPr>
            <w:noProof/>
            <w:webHidden/>
          </w:rPr>
          <w:fldChar w:fldCharType="begin"/>
        </w:r>
        <w:r w:rsidR="00CB35AC">
          <w:rPr>
            <w:noProof/>
            <w:webHidden/>
          </w:rPr>
          <w:instrText xml:space="preserve"> PAGEREF _Toc181371542 \h </w:instrText>
        </w:r>
        <w:r w:rsidR="00CB35AC">
          <w:rPr>
            <w:noProof/>
            <w:webHidden/>
          </w:rPr>
        </w:r>
        <w:r w:rsidR="00CB35AC">
          <w:rPr>
            <w:noProof/>
            <w:webHidden/>
          </w:rPr>
          <w:fldChar w:fldCharType="separate"/>
        </w:r>
        <w:r w:rsidR="00C47A81">
          <w:rPr>
            <w:noProof/>
            <w:webHidden/>
          </w:rPr>
          <w:t>6</w:t>
        </w:r>
        <w:r w:rsidR="00CB35AC">
          <w:rPr>
            <w:noProof/>
            <w:webHidden/>
          </w:rPr>
          <w:fldChar w:fldCharType="end"/>
        </w:r>
      </w:hyperlink>
    </w:p>
    <w:p w14:paraId="066A8E55" w14:textId="7D5A1AEE" w:rsidR="00CB35AC" w:rsidRDefault="00834566">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371543" w:history="1">
        <w:r w:rsidR="00CB35AC" w:rsidRPr="00E9356D">
          <w:rPr>
            <w:rStyle w:val="Hyperlink"/>
            <w:noProof/>
            <w:lang w:eastAsia="en-AU"/>
          </w:rPr>
          <w:t>2. Understanding today’s workforce</w:t>
        </w:r>
        <w:r w:rsidR="00CB35AC">
          <w:rPr>
            <w:noProof/>
            <w:webHidden/>
          </w:rPr>
          <w:tab/>
        </w:r>
        <w:r w:rsidR="00CB35AC">
          <w:rPr>
            <w:noProof/>
            <w:webHidden/>
          </w:rPr>
          <w:fldChar w:fldCharType="begin"/>
        </w:r>
        <w:r w:rsidR="00CB35AC">
          <w:rPr>
            <w:noProof/>
            <w:webHidden/>
          </w:rPr>
          <w:instrText xml:space="preserve"> PAGEREF _Toc181371543 \h </w:instrText>
        </w:r>
        <w:r w:rsidR="00CB35AC">
          <w:rPr>
            <w:noProof/>
            <w:webHidden/>
          </w:rPr>
        </w:r>
        <w:r w:rsidR="00CB35AC">
          <w:rPr>
            <w:noProof/>
            <w:webHidden/>
          </w:rPr>
          <w:fldChar w:fldCharType="separate"/>
        </w:r>
        <w:r w:rsidR="00C47A81">
          <w:rPr>
            <w:noProof/>
            <w:webHidden/>
          </w:rPr>
          <w:t>6</w:t>
        </w:r>
        <w:r w:rsidR="00CB35AC">
          <w:rPr>
            <w:noProof/>
            <w:webHidden/>
          </w:rPr>
          <w:fldChar w:fldCharType="end"/>
        </w:r>
      </w:hyperlink>
    </w:p>
    <w:p w14:paraId="40E30980" w14:textId="0BD27994"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44" w:history="1">
        <w:r w:rsidR="00CB35AC" w:rsidRPr="00E9356D">
          <w:rPr>
            <w:rStyle w:val="Hyperlink"/>
            <w:noProof/>
            <w:lang w:eastAsia="en-AU"/>
          </w:rPr>
          <w:t>The big picture – Australia’s labour market today</w:t>
        </w:r>
        <w:r w:rsidR="00CB35AC">
          <w:rPr>
            <w:noProof/>
            <w:webHidden/>
          </w:rPr>
          <w:tab/>
        </w:r>
        <w:r w:rsidR="00CB35AC">
          <w:rPr>
            <w:noProof/>
            <w:webHidden/>
          </w:rPr>
          <w:fldChar w:fldCharType="begin"/>
        </w:r>
        <w:r w:rsidR="00CB35AC">
          <w:rPr>
            <w:noProof/>
            <w:webHidden/>
          </w:rPr>
          <w:instrText xml:space="preserve"> PAGEREF _Toc181371544 \h </w:instrText>
        </w:r>
        <w:r w:rsidR="00CB35AC">
          <w:rPr>
            <w:noProof/>
            <w:webHidden/>
          </w:rPr>
        </w:r>
        <w:r w:rsidR="00CB35AC">
          <w:rPr>
            <w:noProof/>
            <w:webHidden/>
          </w:rPr>
          <w:fldChar w:fldCharType="separate"/>
        </w:r>
        <w:r w:rsidR="00C47A81">
          <w:rPr>
            <w:noProof/>
            <w:webHidden/>
          </w:rPr>
          <w:t>6</w:t>
        </w:r>
        <w:r w:rsidR="00CB35AC">
          <w:rPr>
            <w:noProof/>
            <w:webHidden/>
          </w:rPr>
          <w:fldChar w:fldCharType="end"/>
        </w:r>
      </w:hyperlink>
    </w:p>
    <w:p w14:paraId="60F05D4C" w14:textId="161A0192"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45" w:history="1">
        <w:r w:rsidR="00CB35AC" w:rsidRPr="00E9356D">
          <w:rPr>
            <w:rStyle w:val="Hyperlink"/>
            <w:noProof/>
            <w:lang w:eastAsia="en-AU"/>
          </w:rPr>
          <w:t>Understanding labour market shortages</w:t>
        </w:r>
        <w:r w:rsidR="00CB35AC">
          <w:rPr>
            <w:noProof/>
            <w:webHidden/>
          </w:rPr>
          <w:tab/>
        </w:r>
        <w:r w:rsidR="00CB35AC">
          <w:rPr>
            <w:noProof/>
            <w:webHidden/>
          </w:rPr>
          <w:fldChar w:fldCharType="begin"/>
        </w:r>
        <w:r w:rsidR="00CB35AC">
          <w:rPr>
            <w:noProof/>
            <w:webHidden/>
          </w:rPr>
          <w:instrText xml:space="preserve"> PAGEREF _Toc181371545 \h </w:instrText>
        </w:r>
        <w:r w:rsidR="00CB35AC">
          <w:rPr>
            <w:noProof/>
            <w:webHidden/>
          </w:rPr>
        </w:r>
        <w:r w:rsidR="00CB35AC">
          <w:rPr>
            <w:noProof/>
            <w:webHidden/>
          </w:rPr>
          <w:fldChar w:fldCharType="separate"/>
        </w:r>
        <w:r w:rsidR="00C47A81">
          <w:rPr>
            <w:noProof/>
            <w:webHidden/>
          </w:rPr>
          <w:t>7</w:t>
        </w:r>
        <w:r w:rsidR="00CB35AC">
          <w:rPr>
            <w:noProof/>
            <w:webHidden/>
          </w:rPr>
          <w:fldChar w:fldCharType="end"/>
        </w:r>
      </w:hyperlink>
    </w:p>
    <w:p w14:paraId="003818BC" w14:textId="6573FF40"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46" w:history="1">
        <w:r w:rsidR="00CB35AC" w:rsidRPr="00E9356D">
          <w:rPr>
            <w:rStyle w:val="Hyperlink"/>
            <w:noProof/>
            <w:lang w:eastAsia="en-AU"/>
          </w:rPr>
          <w:t>Investing in our regions</w:t>
        </w:r>
        <w:r w:rsidR="00CB35AC">
          <w:rPr>
            <w:noProof/>
            <w:webHidden/>
          </w:rPr>
          <w:tab/>
        </w:r>
        <w:r w:rsidR="00CB35AC">
          <w:rPr>
            <w:noProof/>
            <w:webHidden/>
          </w:rPr>
          <w:fldChar w:fldCharType="begin"/>
        </w:r>
        <w:r w:rsidR="00CB35AC">
          <w:rPr>
            <w:noProof/>
            <w:webHidden/>
          </w:rPr>
          <w:instrText xml:space="preserve"> PAGEREF _Toc181371546 \h </w:instrText>
        </w:r>
        <w:r w:rsidR="00CB35AC">
          <w:rPr>
            <w:noProof/>
            <w:webHidden/>
          </w:rPr>
        </w:r>
        <w:r w:rsidR="00CB35AC">
          <w:rPr>
            <w:noProof/>
            <w:webHidden/>
          </w:rPr>
          <w:fldChar w:fldCharType="separate"/>
        </w:r>
        <w:r w:rsidR="00C47A81">
          <w:rPr>
            <w:noProof/>
            <w:webHidden/>
          </w:rPr>
          <w:t>8</w:t>
        </w:r>
        <w:r w:rsidR="00CB35AC">
          <w:rPr>
            <w:noProof/>
            <w:webHidden/>
          </w:rPr>
          <w:fldChar w:fldCharType="end"/>
        </w:r>
      </w:hyperlink>
    </w:p>
    <w:p w14:paraId="03199BE6" w14:textId="584FCE9B" w:rsidR="00CB35AC" w:rsidRDefault="00834566">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371547" w:history="1">
        <w:r w:rsidR="00CB35AC" w:rsidRPr="00E9356D">
          <w:rPr>
            <w:rStyle w:val="Hyperlink"/>
            <w:noProof/>
            <w:lang w:eastAsia="en-AU"/>
          </w:rPr>
          <w:t>3. Shaping Australia’s future workforce</w:t>
        </w:r>
        <w:r w:rsidR="00CB35AC">
          <w:rPr>
            <w:noProof/>
            <w:webHidden/>
          </w:rPr>
          <w:tab/>
        </w:r>
        <w:r w:rsidR="00CB35AC">
          <w:rPr>
            <w:noProof/>
            <w:webHidden/>
          </w:rPr>
          <w:fldChar w:fldCharType="begin"/>
        </w:r>
        <w:r w:rsidR="00CB35AC">
          <w:rPr>
            <w:noProof/>
            <w:webHidden/>
          </w:rPr>
          <w:instrText xml:space="preserve"> PAGEREF _Toc181371547 \h </w:instrText>
        </w:r>
        <w:r w:rsidR="00CB35AC">
          <w:rPr>
            <w:noProof/>
            <w:webHidden/>
          </w:rPr>
        </w:r>
        <w:r w:rsidR="00CB35AC">
          <w:rPr>
            <w:noProof/>
            <w:webHidden/>
          </w:rPr>
          <w:fldChar w:fldCharType="separate"/>
        </w:r>
        <w:r w:rsidR="00C47A81">
          <w:rPr>
            <w:noProof/>
            <w:webHidden/>
          </w:rPr>
          <w:t>8</w:t>
        </w:r>
        <w:r w:rsidR="00CB35AC">
          <w:rPr>
            <w:noProof/>
            <w:webHidden/>
          </w:rPr>
          <w:fldChar w:fldCharType="end"/>
        </w:r>
      </w:hyperlink>
    </w:p>
    <w:p w14:paraId="087E717E" w14:textId="4793B214"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48" w:history="1">
        <w:r w:rsidR="00CB35AC" w:rsidRPr="00E9356D">
          <w:rPr>
            <w:rStyle w:val="Hyperlink"/>
            <w:noProof/>
            <w:lang w:eastAsia="en-AU"/>
          </w:rPr>
          <w:t>2024 Employment projections</w:t>
        </w:r>
        <w:r w:rsidR="00CB35AC">
          <w:rPr>
            <w:noProof/>
            <w:webHidden/>
          </w:rPr>
          <w:tab/>
        </w:r>
        <w:r w:rsidR="00CB35AC">
          <w:rPr>
            <w:noProof/>
            <w:webHidden/>
          </w:rPr>
          <w:fldChar w:fldCharType="begin"/>
        </w:r>
        <w:r w:rsidR="00CB35AC">
          <w:rPr>
            <w:noProof/>
            <w:webHidden/>
          </w:rPr>
          <w:instrText xml:space="preserve"> PAGEREF _Toc181371548 \h </w:instrText>
        </w:r>
        <w:r w:rsidR="00CB35AC">
          <w:rPr>
            <w:noProof/>
            <w:webHidden/>
          </w:rPr>
        </w:r>
        <w:r w:rsidR="00CB35AC">
          <w:rPr>
            <w:noProof/>
            <w:webHidden/>
          </w:rPr>
          <w:fldChar w:fldCharType="separate"/>
        </w:r>
        <w:r w:rsidR="00C47A81">
          <w:rPr>
            <w:noProof/>
            <w:webHidden/>
          </w:rPr>
          <w:t>8</w:t>
        </w:r>
        <w:r w:rsidR="00CB35AC">
          <w:rPr>
            <w:noProof/>
            <w:webHidden/>
          </w:rPr>
          <w:fldChar w:fldCharType="end"/>
        </w:r>
      </w:hyperlink>
    </w:p>
    <w:p w14:paraId="75D4B3B1" w14:textId="54B17CC2"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49" w:history="1">
        <w:r w:rsidR="00CB35AC" w:rsidRPr="00E9356D">
          <w:rPr>
            <w:rStyle w:val="Hyperlink"/>
            <w:noProof/>
            <w:lang w:eastAsia="en-AU"/>
          </w:rPr>
          <w:t>Emerging roles in the Australian labour market</w:t>
        </w:r>
        <w:r w:rsidR="00CB35AC">
          <w:rPr>
            <w:noProof/>
            <w:webHidden/>
          </w:rPr>
          <w:tab/>
        </w:r>
        <w:r w:rsidR="00CB35AC">
          <w:rPr>
            <w:noProof/>
            <w:webHidden/>
          </w:rPr>
          <w:fldChar w:fldCharType="begin"/>
        </w:r>
        <w:r w:rsidR="00CB35AC">
          <w:rPr>
            <w:noProof/>
            <w:webHidden/>
          </w:rPr>
          <w:instrText xml:space="preserve"> PAGEREF _Toc181371549 \h </w:instrText>
        </w:r>
        <w:r w:rsidR="00CB35AC">
          <w:rPr>
            <w:noProof/>
            <w:webHidden/>
          </w:rPr>
        </w:r>
        <w:r w:rsidR="00CB35AC">
          <w:rPr>
            <w:noProof/>
            <w:webHidden/>
          </w:rPr>
          <w:fldChar w:fldCharType="separate"/>
        </w:r>
        <w:r w:rsidR="00C47A81">
          <w:rPr>
            <w:noProof/>
            <w:webHidden/>
          </w:rPr>
          <w:t>9</w:t>
        </w:r>
        <w:r w:rsidR="00CB35AC">
          <w:rPr>
            <w:noProof/>
            <w:webHidden/>
          </w:rPr>
          <w:fldChar w:fldCharType="end"/>
        </w:r>
      </w:hyperlink>
    </w:p>
    <w:p w14:paraId="7BFE91CF" w14:textId="3D78D627"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50" w:history="1">
        <w:r w:rsidR="00CB35AC" w:rsidRPr="00E9356D">
          <w:rPr>
            <w:rStyle w:val="Hyperlink"/>
            <w:noProof/>
            <w:lang w:eastAsia="en-AU"/>
          </w:rPr>
          <w:t>Capacity studies – understanding the forces of change</w:t>
        </w:r>
        <w:r w:rsidR="00CB35AC">
          <w:rPr>
            <w:noProof/>
            <w:webHidden/>
          </w:rPr>
          <w:tab/>
        </w:r>
        <w:r w:rsidR="00CB35AC">
          <w:rPr>
            <w:noProof/>
            <w:webHidden/>
          </w:rPr>
          <w:fldChar w:fldCharType="begin"/>
        </w:r>
        <w:r w:rsidR="00CB35AC">
          <w:rPr>
            <w:noProof/>
            <w:webHidden/>
          </w:rPr>
          <w:instrText xml:space="preserve"> PAGEREF _Toc181371550 \h </w:instrText>
        </w:r>
        <w:r w:rsidR="00CB35AC">
          <w:rPr>
            <w:noProof/>
            <w:webHidden/>
          </w:rPr>
        </w:r>
        <w:r w:rsidR="00CB35AC">
          <w:rPr>
            <w:noProof/>
            <w:webHidden/>
          </w:rPr>
          <w:fldChar w:fldCharType="separate"/>
        </w:r>
        <w:r w:rsidR="00C47A81">
          <w:rPr>
            <w:noProof/>
            <w:webHidden/>
          </w:rPr>
          <w:t>9</w:t>
        </w:r>
        <w:r w:rsidR="00CB35AC">
          <w:rPr>
            <w:noProof/>
            <w:webHidden/>
          </w:rPr>
          <w:fldChar w:fldCharType="end"/>
        </w:r>
      </w:hyperlink>
    </w:p>
    <w:p w14:paraId="702CA835" w14:textId="584D6EFD" w:rsidR="00CB35AC" w:rsidRDefault="00834566">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371551" w:history="1">
        <w:r w:rsidR="00CB35AC" w:rsidRPr="00E9356D">
          <w:rPr>
            <w:rStyle w:val="Hyperlink"/>
            <w:noProof/>
            <w:lang w:eastAsia="en-AU"/>
          </w:rPr>
          <w:t>4. Optimising pathways and system architecture</w:t>
        </w:r>
        <w:r w:rsidR="00CB35AC">
          <w:rPr>
            <w:noProof/>
            <w:webHidden/>
          </w:rPr>
          <w:tab/>
        </w:r>
        <w:r w:rsidR="00CB35AC">
          <w:rPr>
            <w:noProof/>
            <w:webHidden/>
          </w:rPr>
          <w:fldChar w:fldCharType="begin"/>
        </w:r>
        <w:r w:rsidR="00CB35AC">
          <w:rPr>
            <w:noProof/>
            <w:webHidden/>
          </w:rPr>
          <w:instrText xml:space="preserve"> PAGEREF _Toc181371551 \h </w:instrText>
        </w:r>
        <w:r w:rsidR="00CB35AC">
          <w:rPr>
            <w:noProof/>
            <w:webHidden/>
          </w:rPr>
        </w:r>
        <w:r w:rsidR="00CB35AC">
          <w:rPr>
            <w:noProof/>
            <w:webHidden/>
          </w:rPr>
          <w:fldChar w:fldCharType="separate"/>
        </w:r>
        <w:r w:rsidR="00C47A81">
          <w:rPr>
            <w:noProof/>
            <w:webHidden/>
          </w:rPr>
          <w:t>10</w:t>
        </w:r>
        <w:r w:rsidR="00CB35AC">
          <w:rPr>
            <w:noProof/>
            <w:webHidden/>
          </w:rPr>
          <w:fldChar w:fldCharType="end"/>
        </w:r>
      </w:hyperlink>
    </w:p>
    <w:p w14:paraId="7C3DFCC0" w14:textId="16E4088B"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52" w:history="1">
        <w:r w:rsidR="00CB35AC" w:rsidRPr="00E9356D">
          <w:rPr>
            <w:rStyle w:val="Hyperlink"/>
            <w:noProof/>
            <w:lang w:val="en-US" w:eastAsia="en-AU"/>
          </w:rPr>
          <w:t>The case for a more harmonised tertiary education system</w:t>
        </w:r>
        <w:r w:rsidR="00CB35AC">
          <w:rPr>
            <w:noProof/>
            <w:webHidden/>
          </w:rPr>
          <w:tab/>
        </w:r>
        <w:r w:rsidR="00CB35AC">
          <w:rPr>
            <w:noProof/>
            <w:webHidden/>
          </w:rPr>
          <w:fldChar w:fldCharType="begin"/>
        </w:r>
        <w:r w:rsidR="00CB35AC">
          <w:rPr>
            <w:noProof/>
            <w:webHidden/>
          </w:rPr>
          <w:instrText xml:space="preserve"> PAGEREF _Toc181371552 \h </w:instrText>
        </w:r>
        <w:r w:rsidR="00CB35AC">
          <w:rPr>
            <w:noProof/>
            <w:webHidden/>
          </w:rPr>
        </w:r>
        <w:r w:rsidR="00CB35AC">
          <w:rPr>
            <w:noProof/>
            <w:webHidden/>
          </w:rPr>
          <w:fldChar w:fldCharType="separate"/>
        </w:r>
        <w:r w:rsidR="00C47A81">
          <w:rPr>
            <w:noProof/>
            <w:webHidden/>
          </w:rPr>
          <w:t>10</w:t>
        </w:r>
        <w:r w:rsidR="00CB35AC">
          <w:rPr>
            <w:noProof/>
            <w:webHidden/>
          </w:rPr>
          <w:fldChar w:fldCharType="end"/>
        </w:r>
      </w:hyperlink>
    </w:p>
    <w:p w14:paraId="7116498F" w14:textId="3FC3426F"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53" w:history="1">
        <w:r w:rsidR="00CB35AC" w:rsidRPr="00E9356D">
          <w:rPr>
            <w:rStyle w:val="Hyperlink"/>
            <w:noProof/>
            <w:lang w:eastAsia="en-AU"/>
          </w:rPr>
          <w:t>The role for a National Skills Taxonomy</w:t>
        </w:r>
        <w:r w:rsidR="00CB35AC">
          <w:rPr>
            <w:noProof/>
            <w:webHidden/>
          </w:rPr>
          <w:tab/>
        </w:r>
        <w:r w:rsidR="00CB35AC">
          <w:rPr>
            <w:noProof/>
            <w:webHidden/>
          </w:rPr>
          <w:fldChar w:fldCharType="begin"/>
        </w:r>
        <w:r w:rsidR="00CB35AC">
          <w:rPr>
            <w:noProof/>
            <w:webHidden/>
          </w:rPr>
          <w:instrText xml:space="preserve"> PAGEREF _Toc181371553 \h </w:instrText>
        </w:r>
        <w:r w:rsidR="00CB35AC">
          <w:rPr>
            <w:noProof/>
            <w:webHidden/>
          </w:rPr>
        </w:r>
        <w:r w:rsidR="00CB35AC">
          <w:rPr>
            <w:noProof/>
            <w:webHidden/>
          </w:rPr>
          <w:fldChar w:fldCharType="separate"/>
        </w:r>
        <w:r w:rsidR="00C47A81">
          <w:rPr>
            <w:noProof/>
            <w:webHidden/>
          </w:rPr>
          <w:t>11</w:t>
        </w:r>
        <w:r w:rsidR="00CB35AC">
          <w:rPr>
            <w:noProof/>
            <w:webHidden/>
          </w:rPr>
          <w:fldChar w:fldCharType="end"/>
        </w:r>
      </w:hyperlink>
    </w:p>
    <w:p w14:paraId="7F10DDDE" w14:textId="4A87C2F3"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54" w:history="1">
        <w:r w:rsidR="00CB35AC" w:rsidRPr="00E9356D">
          <w:rPr>
            <w:rStyle w:val="Hyperlink"/>
            <w:noProof/>
            <w:lang w:eastAsia="en-AU"/>
          </w:rPr>
          <w:t>Combining work and study</w:t>
        </w:r>
        <w:r w:rsidR="00CB35AC">
          <w:rPr>
            <w:noProof/>
            <w:webHidden/>
          </w:rPr>
          <w:tab/>
        </w:r>
        <w:r w:rsidR="00CB35AC">
          <w:rPr>
            <w:noProof/>
            <w:webHidden/>
          </w:rPr>
          <w:fldChar w:fldCharType="begin"/>
        </w:r>
        <w:r w:rsidR="00CB35AC">
          <w:rPr>
            <w:noProof/>
            <w:webHidden/>
          </w:rPr>
          <w:instrText xml:space="preserve"> PAGEREF _Toc181371554 \h </w:instrText>
        </w:r>
        <w:r w:rsidR="00CB35AC">
          <w:rPr>
            <w:noProof/>
            <w:webHidden/>
          </w:rPr>
        </w:r>
        <w:r w:rsidR="00CB35AC">
          <w:rPr>
            <w:noProof/>
            <w:webHidden/>
          </w:rPr>
          <w:fldChar w:fldCharType="separate"/>
        </w:r>
        <w:r w:rsidR="00C47A81">
          <w:rPr>
            <w:noProof/>
            <w:webHidden/>
          </w:rPr>
          <w:t>11</w:t>
        </w:r>
        <w:r w:rsidR="00CB35AC">
          <w:rPr>
            <w:noProof/>
            <w:webHidden/>
          </w:rPr>
          <w:fldChar w:fldCharType="end"/>
        </w:r>
      </w:hyperlink>
    </w:p>
    <w:p w14:paraId="451C95A5" w14:textId="46DAEDD9"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55" w:history="1">
        <w:r w:rsidR="00CB35AC" w:rsidRPr="00E9356D">
          <w:rPr>
            <w:rStyle w:val="Hyperlink"/>
            <w:noProof/>
            <w:lang w:eastAsia="en-AU"/>
          </w:rPr>
          <w:t>VET workforce development</w:t>
        </w:r>
        <w:r w:rsidR="00CB35AC">
          <w:rPr>
            <w:noProof/>
            <w:webHidden/>
          </w:rPr>
          <w:tab/>
        </w:r>
        <w:r w:rsidR="00CB35AC">
          <w:rPr>
            <w:noProof/>
            <w:webHidden/>
          </w:rPr>
          <w:fldChar w:fldCharType="begin"/>
        </w:r>
        <w:r w:rsidR="00CB35AC">
          <w:rPr>
            <w:noProof/>
            <w:webHidden/>
          </w:rPr>
          <w:instrText xml:space="preserve"> PAGEREF _Toc181371555 \h </w:instrText>
        </w:r>
        <w:r w:rsidR="00CB35AC">
          <w:rPr>
            <w:noProof/>
            <w:webHidden/>
          </w:rPr>
        </w:r>
        <w:r w:rsidR="00CB35AC">
          <w:rPr>
            <w:noProof/>
            <w:webHidden/>
          </w:rPr>
          <w:fldChar w:fldCharType="separate"/>
        </w:r>
        <w:r w:rsidR="00C47A81">
          <w:rPr>
            <w:noProof/>
            <w:webHidden/>
          </w:rPr>
          <w:t>11</w:t>
        </w:r>
        <w:r w:rsidR="00CB35AC">
          <w:rPr>
            <w:noProof/>
            <w:webHidden/>
          </w:rPr>
          <w:fldChar w:fldCharType="end"/>
        </w:r>
      </w:hyperlink>
    </w:p>
    <w:p w14:paraId="74A5A87D" w14:textId="4E4FFDB0"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56" w:history="1">
        <w:r w:rsidR="00CB35AC" w:rsidRPr="00E9356D">
          <w:rPr>
            <w:rStyle w:val="Hyperlink"/>
            <w:noProof/>
            <w:lang w:eastAsia="en-AU"/>
          </w:rPr>
          <w:t>Skilled migration</w:t>
        </w:r>
        <w:r w:rsidR="00CB35AC">
          <w:rPr>
            <w:noProof/>
            <w:webHidden/>
          </w:rPr>
          <w:tab/>
        </w:r>
        <w:r w:rsidR="00CB35AC">
          <w:rPr>
            <w:noProof/>
            <w:webHidden/>
          </w:rPr>
          <w:fldChar w:fldCharType="begin"/>
        </w:r>
        <w:r w:rsidR="00CB35AC">
          <w:rPr>
            <w:noProof/>
            <w:webHidden/>
          </w:rPr>
          <w:instrText xml:space="preserve"> PAGEREF _Toc181371556 \h </w:instrText>
        </w:r>
        <w:r w:rsidR="00CB35AC">
          <w:rPr>
            <w:noProof/>
            <w:webHidden/>
          </w:rPr>
        </w:r>
        <w:r w:rsidR="00CB35AC">
          <w:rPr>
            <w:noProof/>
            <w:webHidden/>
          </w:rPr>
          <w:fldChar w:fldCharType="separate"/>
        </w:r>
        <w:r w:rsidR="00C47A81">
          <w:rPr>
            <w:noProof/>
            <w:webHidden/>
          </w:rPr>
          <w:t>12</w:t>
        </w:r>
        <w:r w:rsidR="00CB35AC">
          <w:rPr>
            <w:noProof/>
            <w:webHidden/>
          </w:rPr>
          <w:fldChar w:fldCharType="end"/>
        </w:r>
      </w:hyperlink>
    </w:p>
    <w:p w14:paraId="123DC38A" w14:textId="195CF39F" w:rsidR="00CB35AC" w:rsidRDefault="00834566">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371557" w:history="1">
        <w:r w:rsidR="00CB35AC" w:rsidRPr="00E9356D">
          <w:rPr>
            <w:rStyle w:val="Hyperlink"/>
            <w:noProof/>
            <w:lang w:eastAsia="en-AU"/>
          </w:rPr>
          <w:t>5. Activating an informed dialogue</w:t>
        </w:r>
        <w:r w:rsidR="00CB35AC">
          <w:rPr>
            <w:noProof/>
            <w:webHidden/>
          </w:rPr>
          <w:tab/>
        </w:r>
        <w:r w:rsidR="00CB35AC">
          <w:rPr>
            <w:noProof/>
            <w:webHidden/>
          </w:rPr>
          <w:fldChar w:fldCharType="begin"/>
        </w:r>
        <w:r w:rsidR="00CB35AC">
          <w:rPr>
            <w:noProof/>
            <w:webHidden/>
          </w:rPr>
          <w:instrText xml:space="preserve"> PAGEREF _Toc181371557 \h </w:instrText>
        </w:r>
        <w:r w:rsidR="00CB35AC">
          <w:rPr>
            <w:noProof/>
            <w:webHidden/>
          </w:rPr>
        </w:r>
        <w:r w:rsidR="00CB35AC">
          <w:rPr>
            <w:noProof/>
            <w:webHidden/>
          </w:rPr>
          <w:fldChar w:fldCharType="separate"/>
        </w:r>
        <w:r w:rsidR="00C47A81">
          <w:rPr>
            <w:noProof/>
            <w:webHidden/>
          </w:rPr>
          <w:t>12</w:t>
        </w:r>
        <w:r w:rsidR="00CB35AC">
          <w:rPr>
            <w:noProof/>
            <w:webHidden/>
          </w:rPr>
          <w:fldChar w:fldCharType="end"/>
        </w:r>
      </w:hyperlink>
    </w:p>
    <w:p w14:paraId="66834FFC" w14:textId="3C113173" w:rsidR="00CB35AC" w:rsidRDefault="00834566">
      <w:pPr>
        <w:pStyle w:val="TOC1"/>
        <w:tabs>
          <w:tab w:val="right" w:leader="dot" w:pos="9016"/>
        </w:tabs>
        <w:rPr>
          <w:rFonts w:asciiTheme="minorHAnsi" w:eastAsiaTheme="minorEastAsia" w:hAnsiTheme="minorHAnsi"/>
          <w:b w:val="0"/>
          <w:noProof/>
          <w:color w:val="auto"/>
          <w:kern w:val="2"/>
          <w:sz w:val="24"/>
          <w:szCs w:val="24"/>
          <w:lang w:eastAsia="en-AU"/>
          <w14:ligatures w14:val="standardContextual"/>
        </w:rPr>
      </w:pPr>
      <w:hyperlink w:anchor="_Toc181371558" w:history="1">
        <w:r w:rsidR="00CB35AC" w:rsidRPr="00E9356D">
          <w:rPr>
            <w:rStyle w:val="Hyperlink"/>
            <w:rFonts w:cs="Arial"/>
            <w:noProof/>
          </w:rPr>
          <w:t>Chapter 1: Fostering inclusive participation</w:t>
        </w:r>
        <w:r w:rsidR="00CB35AC">
          <w:rPr>
            <w:noProof/>
            <w:webHidden/>
          </w:rPr>
          <w:tab/>
        </w:r>
        <w:r w:rsidR="00CB35AC">
          <w:rPr>
            <w:noProof/>
            <w:webHidden/>
          </w:rPr>
          <w:fldChar w:fldCharType="begin"/>
        </w:r>
        <w:r w:rsidR="00CB35AC">
          <w:rPr>
            <w:noProof/>
            <w:webHidden/>
          </w:rPr>
          <w:instrText xml:space="preserve"> PAGEREF _Toc181371558 \h </w:instrText>
        </w:r>
        <w:r w:rsidR="00CB35AC">
          <w:rPr>
            <w:noProof/>
            <w:webHidden/>
          </w:rPr>
        </w:r>
        <w:r w:rsidR="00CB35AC">
          <w:rPr>
            <w:noProof/>
            <w:webHidden/>
          </w:rPr>
          <w:fldChar w:fldCharType="separate"/>
        </w:r>
        <w:r w:rsidR="00C47A81">
          <w:rPr>
            <w:noProof/>
            <w:webHidden/>
          </w:rPr>
          <w:t>13</w:t>
        </w:r>
        <w:r w:rsidR="00CB35AC">
          <w:rPr>
            <w:noProof/>
            <w:webHidden/>
          </w:rPr>
          <w:fldChar w:fldCharType="end"/>
        </w:r>
      </w:hyperlink>
    </w:p>
    <w:p w14:paraId="56A061FE" w14:textId="5649D428" w:rsidR="00CB35AC" w:rsidRDefault="00834566">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371559" w:history="1">
        <w:r w:rsidR="00CB35AC" w:rsidRPr="00E9356D">
          <w:rPr>
            <w:rStyle w:val="Hyperlink"/>
            <w:rFonts w:cs="Arial"/>
            <w:noProof/>
          </w:rPr>
          <w:t>Measuring movements in full employment indicators since the White Paper</w:t>
        </w:r>
        <w:r w:rsidR="00CB35AC">
          <w:rPr>
            <w:noProof/>
            <w:webHidden/>
          </w:rPr>
          <w:tab/>
        </w:r>
        <w:r w:rsidR="00CB35AC">
          <w:rPr>
            <w:noProof/>
            <w:webHidden/>
          </w:rPr>
          <w:fldChar w:fldCharType="begin"/>
        </w:r>
        <w:r w:rsidR="00CB35AC">
          <w:rPr>
            <w:noProof/>
            <w:webHidden/>
          </w:rPr>
          <w:instrText xml:space="preserve"> PAGEREF _Toc181371559 \h </w:instrText>
        </w:r>
        <w:r w:rsidR="00CB35AC">
          <w:rPr>
            <w:noProof/>
            <w:webHidden/>
          </w:rPr>
        </w:r>
        <w:r w:rsidR="00CB35AC">
          <w:rPr>
            <w:noProof/>
            <w:webHidden/>
          </w:rPr>
          <w:fldChar w:fldCharType="separate"/>
        </w:r>
        <w:r w:rsidR="00C47A81">
          <w:rPr>
            <w:noProof/>
            <w:webHidden/>
          </w:rPr>
          <w:t>15</w:t>
        </w:r>
        <w:r w:rsidR="00CB35AC">
          <w:rPr>
            <w:noProof/>
            <w:webHidden/>
          </w:rPr>
          <w:fldChar w:fldCharType="end"/>
        </w:r>
      </w:hyperlink>
    </w:p>
    <w:p w14:paraId="61DC393E" w14:textId="29F50065"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60" w:history="1">
        <w:r w:rsidR="00CB35AC" w:rsidRPr="00E9356D">
          <w:rPr>
            <w:rStyle w:val="Hyperlink"/>
            <w:rFonts w:cs="Arial"/>
            <w:noProof/>
          </w:rPr>
          <w:t>Indicators of sustained and inclusive full employment</w:t>
        </w:r>
        <w:r w:rsidR="00CB35AC">
          <w:rPr>
            <w:noProof/>
            <w:webHidden/>
          </w:rPr>
          <w:tab/>
        </w:r>
        <w:r w:rsidR="00CB35AC">
          <w:rPr>
            <w:noProof/>
            <w:webHidden/>
          </w:rPr>
          <w:fldChar w:fldCharType="begin"/>
        </w:r>
        <w:r w:rsidR="00CB35AC">
          <w:rPr>
            <w:noProof/>
            <w:webHidden/>
          </w:rPr>
          <w:instrText xml:space="preserve"> PAGEREF _Toc181371560 \h </w:instrText>
        </w:r>
        <w:r w:rsidR="00CB35AC">
          <w:rPr>
            <w:noProof/>
            <w:webHidden/>
          </w:rPr>
        </w:r>
        <w:r w:rsidR="00CB35AC">
          <w:rPr>
            <w:noProof/>
            <w:webHidden/>
          </w:rPr>
          <w:fldChar w:fldCharType="separate"/>
        </w:r>
        <w:r w:rsidR="00C47A81">
          <w:rPr>
            <w:noProof/>
            <w:webHidden/>
          </w:rPr>
          <w:t>15</w:t>
        </w:r>
        <w:r w:rsidR="00CB35AC">
          <w:rPr>
            <w:noProof/>
            <w:webHidden/>
          </w:rPr>
          <w:fldChar w:fldCharType="end"/>
        </w:r>
      </w:hyperlink>
    </w:p>
    <w:p w14:paraId="588CF5E9" w14:textId="6925B7B8" w:rsidR="00CB35AC" w:rsidRDefault="00834566">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371561" w:history="1">
        <w:r w:rsidR="00CB35AC" w:rsidRPr="00E9356D">
          <w:rPr>
            <w:rStyle w:val="Hyperlink"/>
            <w:rFonts w:cs="Arial"/>
            <w:noProof/>
          </w:rPr>
          <w:t>Addressing barriers to inclusion</w:t>
        </w:r>
        <w:r w:rsidR="00CB35AC">
          <w:rPr>
            <w:noProof/>
            <w:webHidden/>
          </w:rPr>
          <w:tab/>
        </w:r>
        <w:r w:rsidR="00CB35AC">
          <w:rPr>
            <w:noProof/>
            <w:webHidden/>
          </w:rPr>
          <w:fldChar w:fldCharType="begin"/>
        </w:r>
        <w:r w:rsidR="00CB35AC">
          <w:rPr>
            <w:noProof/>
            <w:webHidden/>
          </w:rPr>
          <w:instrText xml:space="preserve"> PAGEREF _Toc181371561 \h </w:instrText>
        </w:r>
        <w:r w:rsidR="00CB35AC">
          <w:rPr>
            <w:noProof/>
            <w:webHidden/>
          </w:rPr>
        </w:r>
        <w:r w:rsidR="00CB35AC">
          <w:rPr>
            <w:noProof/>
            <w:webHidden/>
          </w:rPr>
          <w:fldChar w:fldCharType="separate"/>
        </w:r>
        <w:r w:rsidR="00C47A81">
          <w:rPr>
            <w:noProof/>
            <w:webHidden/>
          </w:rPr>
          <w:t>21</w:t>
        </w:r>
        <w:r w:rsidR="00CB35AC">
          <w:rPr>
            <w:noProof/>
            <w:webHidden/>
          </w:rPr>
          <w:fldChar w:fldCharType="end"/>
        </w:r>
      </w:hyperlink>
    </w:p>
    <w:p w14:paraId="32C2C52F" w14:textId="6E8F3171"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62" w:history="1">
        <w:r w:rsidR="00CB35AC" w:rsidRPr="00E9356D">
          <w:rPr>
            <w:rStyle w:val="Hyperlink"/>
            <w:noProof/>
          </w:rPr>
          <w:t>Jobs and Skills Councils in focus</w:t>
        </w:r>
        <w:r w:rsidR="00CB35AC">
          <w:rPr>
            <w:noProof/>
            <w:webHidden/>
          </w:rPr>
          <w:tab/>
        </w:r>
        <w:r w:rsidR="00CB35AC">
          <w:rPr>
            <w:noProof/>
            <w:webHidden/>
          </w:rPr>
          <w:fldChar w:fldCharType="begin"/>
        </w:r>
        <w:r w:rsidR="00CB35AC">
          <w:rPr>
            <w:noProof/>
            <w:webHidden/>
          </w:rPr>
          <w:instrText xml:space="preserve"> PAGEREF _Toc181371562 \h </w:instrText>
        </w:r>
        <w:r w:rsidR="00CB35AC">
          <w:rPr>
            <w:noProof/>
            <w:webHidden/>
          </w:rPr>
        </w:r>
        <w:r w:rsidR="00CB35AC">
          <w:rPr>
            <w:noProof/>
            <w:webHidden/>
          </w:rPr>
          <w:fldChar w:fldCharType="separate"/>
        </w:r>
        <w:r w:rsidR="00C47A81">
          <w:rPr>
            <w:noProof/>
            <w:webHidden/>
          </w:rPr>
          <w:t>22</w:t>
        </w:r>
        <w:r w:rsidR="00CB35AC">
          <w:rPr>
            <w:noProof/>
            <w:webHidden/>
          </w:rPr>
          <w:fldChar w:fldCharType="end"/>
        </w:r>
      </w:hyperlink>
    </w:p>
    <w:p w14:paraId="7513783C" w14:textId="7A1F25F6"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63" w:history="1">
        <w:r w:rsidR="00CB35AC" w:rsidRPr="00E9356D">
          <w:rPr>
            <w:rStyle w:val="Hyperlink"/>
            <w:rFonts w:cs="Arial"/>
            <w:noProof/>
          </w:rPr>
          <w:t>Supporting First Nations workers</w:t>
        </w:r>
        <w:r w:rsidR="00CB35AC">
          <w:rPr>
            <w:noProof/>
            <w:webHidden/>
          </w:rPr>
          <w:tab/>
        </w:r>
        <w:r w:rsidR="00CB35AC">
          <w:rPr>
            <w:noProof/>
            <w:webHidden/>
          </w:rPr>
          <w:fldChar w:fldCharType="begin"/>
        </w:r>
        <w:r w:rsidR="00CB35AC">
          <w:rPr>
            <w:noProof/>
            <w:webHidden/>
          </w:rPr>
          <w:instrText xml:space="preserve"> PAGEREF _Toc181371563 \h </w:instrText>
        </w:r>
        <w:r w:rsidR="00CB35AC">
          <w:rPr>
            <w:noProof/>
            <w:webHidden/>
          </w:rPr>
        </w:r>
        <w:r w:rsidR="00CB35AC">
          <w:rPr>
            <w:noProof/>
            <w:webHidden/>
          </w:rPr>
          <w:fldChar w:fldCharType="separate"/>
        </w:r>
        <w:r w:rsidR="00C47A81">
          <w:rPr>
            <w:noProof/>
            <w:webHidden/>
          </w:rPr>
          <w:t>22</w:t>
        </w:r>
        <w:r w:rsidR="00CB35AC">
          <w:rPr>
            <w:noProof/>
            <w:webHidden/>
          </w:rPr>
          <w:fldChar w:fldCharType="end"/>
        </w:r>
      </w:hyperlink>
    </w:p>
    <w:p w14:paraId="06F87FAD" w14:textId="5EB36A22"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64" w:history="1">
        <w:r w:rsidR="00CB35AC" w:rsidRPr="00E9356D">
          <w:rPr>
            <w:rStyle w:val="Hyperlink"/>
            <w:rFonts w:cs="Arial"/>
            <w:noProof/>
          </w:rPr>
          <w:t>Gender equality in the labour market</w:t>
        </w:r>
        <w:r w:rsidR="00CB35AC">
          <w:rPr>
            <w:noProof/>
            <w:webHidden/>
          </w:rPr>
          <w:tab/>
        </w:r>
        <w:r w:rsidR="00CB35AC">
          <w:rPr>
            <w:noProof/>
            <w:webHidden/>
          </w:rPr>
          <w:fldChar w:fldCharType="begin"/>
        </w:r>
        <w:r w:rsidR="00CB35AC">
          <w:rPr>
            <w:noProof/>
            <w:webHidden/>
          </w:rPr>
          <w:instrText xml:space="preserve"> PAGEREF _Toc181371564 \h </w:instrText>
        </w:r>
        <w:r w:rsidR="00CB35AC">
          <w:rPr>
            <w:noProof/>
            <w:webHidden/>
          </w:rPr>
        </w:r>
        <w:r w:rsidR="00CB35AC">
          <w:rPr>
            <w:noProof/>
            <w:webHidden/>
          </w:rPr>
          <w:fldChar w:fldCharType="separate"/>
        </w:r>
        <w:r w:rsidR="00C47A81">
          <w:rPr>
            <w:noProof/>
            <w:webHidden/>
          </w:rPr>
          <w:t>25</w:t>
        </w:r>
        <w:r w:rsidR="00CB35AC">
          <w:rPr>
            <w:noProof/>
            <w:webHidden/>
          </w:rPr>
          <w:fldChar w:fldCharType="end"/>
        </w:r>
      </w:hyperlink>
    </w:p>
    <w:p w14:paraId="0646B64A" w14:textId="019F623A"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65" w:history="1">
        <w:r w:rsidR="00CB35AC" w:rsidRPr="00E9356D">
          <w:rPr>
            <w:rStyle w:val="Hyperlink"/>
            <w:rFonts w:cs="Arial"/>
            <w:noProof/>
            <w:lang w:val="en-US"/>
          </w:rPr>
          <w:t>Making progress on the number of female electricians</w:t>
        </w:r>
        <w:r w:rsidR="00CB35AC">
          <w:rPr>
            <w:noProof/>
            <w:webHidden/>
          </w:rPr>
          <w:tab/>
        </w:r>
        <w:r w:rsidR="00CB35AC">
          <w:rPr>
            <w:noProof/>
            <w:webHidden/>
          </w:rPr>
          <w:fldChar w:fldCharType="begin"/>
        </w:r>
        <w:r w:rsidR="00CB35AC">
          <w:rPr>
            <w:noProof/>
            <w:webHidden/>
          </w:rPr>
          <w:instrText xml:space="preserve"> PAGEREF _Toc181371565 \h </w:instrText>
        </w:r>
        <w:r w:rsidR="00CB35AC">
          <w:rPr>
            <w:noProof/>
            <w:webHidden/>
          </w:rPr>
        </w:r>
        <w:r w:rsidR="00CB35AC">
          <w:rPr>
            <w:noProof/>
            <w:webHidden/>
          </w:rPr>
          <w:fldChar w:fldCharType="separate"/>
        </w:r>
        <w:r w:rsidR="00C47A81">
          <w:rPr>
            <w:noProof/>
            <w:webHidden/>
          </w:rPr>
          <w:t>28</w:t>
        </w:r>
        <w:r w:rsidR="00CB35AC">
          <w:rPr>
            <w:noProof/>
            <w:webHidden/>
          </w:rPr>
          <w:fldChar w:fldCharType="end"/>
        </w:r>
      </w:hyperlink>
    </w:p>
    <w:p w14:paraId="61CBEF53" w14:textId="2C2F0A33"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66" w:history="1">
        <w:r w:rsidR="00CB35AC" w:rsidRPr="00E9356D">
          <w:rPr>
            <w:rStyle w:val="Hyperlink"/>
            <w:rFonts w:cs="Arial"/>
            <w:noProof/>
            <w:highlight w:val="white"/>
          </w:rPr>
          <w:t>Income volatility as an indicator of insecure work</w:t>
        </w:r>
        <w:r w:rsidR="00CB35AC">
          <w:rPr>
            <w:noProof/>
            <w:webHidden/>
          </w:rPr>
          <w:tab/>
        </w:r>
        <w:r w:rsidR="00CB35AC">
          <w:rPr>
            <w:noProof/>
            <w:webHidden/>
          </w:rPr>
          <w:fldChar w:fldCharType="begin"/>
        </w:r>
        <w:r w:rsidR="00CB35AC">
          <w:rPr>
            <w:noProof/>
            <w:webHidden/>
          </w:rPr>
          <w:instrText xml:space="preserve"> PAGEREF _Toc181371566 \h </w:instrText>
        </w:r>
        <w:r w:rsidR="00CB35AC">
          <w:rPr>
            <w:noProof/>
            <w:webHidden/>
          </w:rPr>
        </w:r>
        <w:r w:rsidR="00CB35AC">
          <w:rPr>
            <w:noProof/>
            <w:webHidden/>
          </w:rPr>
          <w:fldChar w:fldCharType="separate"/>
        </w:r>
        <w:r w:rsidR="00C47A81">
          <w:rPr>
            <w:noProof/>
            <w:webHidden/>
          </w:rPr>
          <w:t>29</w:t>
        </w:r>
        <w:r w:rsidR="00CB35AC">
          <w:rPr>
            <w:noProof/>
            <w:webHidden/>
          </w:rPr>
          <w:fldChar w:fldCharType="end"/>
        </w:r>
      </w:hyperlink>
    </w:p>
    <w:p w14:paraId="67A93710" w14:textId="5D410B71"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67" w:history="1">
        <w:r w:rsidR="00CB35AC" w:rsidRPr="00E9356D">
          <w:rPr>
            <w:rStyle w:val="Hyperlink"/>
            <w:rFonts w:cs="Arial"/>
            <w:noProof/>
          </w:rPr>
          <w:t>International students</w:t>
        </w:r>
        <w:r w:rsidR="00CB35AC">
          <w:rPr>
            <w:noProof/>
            <w:webHidden/>
          </w:rPr>
          <w:tab/>
        </w:r>
        <w:r w:rsidR="00CB35AC">
          <w:rPr>
            <w:noProof/>
            <w:webHidden/>
          </w:rPr>
          <w:fldChar w:fldCharType="begin"/>
        </w:r>
        <w:r w:rsidR="00CB35AC">
          <w:rPr>
            <w:noProof/>
            <w:webHidden/>
          </w:rPr>
          <w:instrText xml:space="preserve"> PAGEREF _Toc181371567 \h </w:instrText>
        </w:r>
        <w:r w:rsidR="00CB35AC">
          <w:rPr>
            <w:noProof/>
            <w:webHidden/>
          </w:rPr>
        </w:r>
        <w:r w:rsidR="00CB35AC">
          <w:rPr>
            <w:noProof/>
            <w:webHidden/>
          </w:rPr>
          <w:fldChar w:fldCharType="separate"/>
        </w:r>
        <w:r w:rsidR="00C47A81">
          <w:rPr>
            <w:noProof/>
            <w:webHidden/>
          </w:rPr>
          <w:t>31</w:t>
        </w:r>
        <w:r w:rsidR="00CB35AC">
          <w:rPr>
            <w:noProof/>
            <w:webHidden/>
          </w:rPr>
          <w:fldChar w:fldCharType="end"/>
        </w:r>
      </w:hyperlink>
    </w:p>
    <w:p w14:paraId="61B260F0" w14:textId="52DB87C2" w:rsidR="00CB35AC" w:rsidRDefault="00834566">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371568" w:history="1">
        <w:r w:rsidR="00CB35AC" w:rsidRPr="00E9356D">
          <w:rPr>
            <w:rStyle w:val="Hyperlink"/>
            <w:rFonts w:cs="Arial"/>
            <w:noProof/>
            <w:lang w:val="en-US"/>
          </w:rPr>
          <w:t>The role of education and training</w:t>
        </w:r>
        <w:r w:rsidR="00CB35AC">
          <w:rPr>
            <w:noProof/>
            <w:webHidden/>
          </w:rPr>
          <w:tab/>
        </w:r>
        <w:r w:rsidR="00CB35AC">
          <w:rPr>
            <w:noProof/>
            <w:webHidden/>
          </w:rPr>
          <w:fldChar w:fldCharType="begin"/>
        </w:r>
        <w:r w:rsidR="00CB35AC">
          <w:rPr>
            <w:noProof/>
            <w:webHidden/>
          </w:rPr>
          <w:instrText xml:space="preserve"> PAGEREF _Toc181371568 \h </w:instrText>
        </w:r>
        <w:r w:rsidR="00CB35AC">
          <w:rPr>
            <w:noProof/>
            <w:webHidden/>
          </w:rPr>
        </w:r>
        <w:r w:rsidR="00CB35AC">
          <w:rPr>
            <w:noProof/>
            <w:webHidden/>
          </w:rPr>
          <w:fldChar w:fldCharType="separate"/>
        </w:r>
        <w:r w:rsidR="00C47A81">
          <w:rPr>
            <w:noProof/>
            <w:webHidden/>
          </w:rPr>
          <w:t>33</w:t>
        </w:r>
        <w:r w:rsidR="00CB35AC">
          <w:rPr>
            <w:noProof/>
            <w:webHidden/>
          </w:rPr>
          <w:fldChar w:fldCharType="end"/>
        </w:r>
      </w:hyperlink>
    </w:p>
    <w:p w14:paraId="133DC842" w14:textId="0D8EA2A7"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69" w:history="1">
        <w:r w:rsidR="00CB35AC" w:rsidRPr="00E9356D">
          <w:rPr>
            <w:rStyle w:val="Hyperlink"/>
            <w:rFonts w:cs="Arial"/>
            <w:noProof/>
            <w:lang w:val="en-US"/>
          </w:rPr>
          <w:t>Foundation skills</w:t>
        </w:r>
        <w:r w:rsidR="00CB35AC">
          <w:rPr>
            <w:noProof/>
            <w:webHidden/>
          </w:rPr>
          <w:tab/>
        </w:r>
        <w:r w:rsidR="00CB35AC">
          <w:rPr>
            <w:noProof/>
            <w:webHidden/>
          </w:rPr>
          <w:fldChar w:fldCharType="begin"/>
        </w:r>
        <w:r w:rsidR="00CB35AC">
          <w:rPr>
            <w:noProof/>
            <w:webHidden/>
          </w:rPr>
          <w:instrText xml:space="preserve"> PAGEREF _Toc181371569 \h </w:instrText>
        </w:r>
        <w:r w:rsidR="00CB35AC">
          <w:rPr>
            <w:noProof/>
            <w:webHidden/>
          </w:rPr>
        </w:r>
        <w:r w:rsidR="00CB35AC">
          <w:rPr>
            <w:noProof/>
            <w:webHidden/>
          </w:rPr>
          <w:fldChar w:fldCharType="separate"/>
        </w:r>
        <w:r w:rsidR="00C47A81">
          <w:rPr>
            <w:noProof/>
            <w:webHidden/>
          </w:rPr>
          <w:t>33</w:t>
        </w:r>
        <w:r w:rsidR="00CB35AC">
          <w:rPr>
            <w:noProof/>
            <w:webHidden/>
          </w:rPr>
          <w:fldChar w:fldCharType="end"/>
        </w:r>
      </w:hyperlink>
    </w:p>
    <w:p w14:paraId="44384320" w14:textId="60EBED45"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70" w:history="1">
        <w:r w:rsidR="00CB35AC" w:rsidRPr="00E9356D">
          <w:rPr>
            <w:rStyle w:val="Hyperlink"/>
            <w:rFonts w:cs="Arial"/>
            <w:noProof/>
            <w:lang w:val="en-US"/>
          </w:rPr>
          <w:t>VET as an enabling pathway</w:t>
        </w:r>
        <w:r w:rsidR="00CB35AC">
          <w:rPr>
            <w:noProof/>
            <w:webHidden/>
          </w:rPr>
          <w:tab/>
        </w:r>
        <w:r w:rsidR="00CB35AC">
          <w:rPr>
            <w:noProof/>
            <w:webHidden/>
          </w:rPr>
          <w:fldChar w:fldCharType="begin"/>
        </w:r>
        <w:r w:rsidR="00CB35AC">
          <w:rPr>
            <w:noProof/>
            <w:webHidden/>
          </w:rPr>
          <w:instrText xml:space="preserve"> PAGEREF _Toc181371570 \h </w:instrText>
        </w:r>
        <w:r w:rsidR="00CB35AC">
          <w:rPr>
            <w:noProof/>
            <w:webHidden/>
          </w:rPr>
        </w:r>
        <w:r w:rsidR="00CB35AC">
          <w:rPr>
            <w:noProof/>
            <w:webHidden/>
          </w:rPr>
          <w:fldChar w:fldCharType="separate"/>
        </w:r>
        <w:r w:rsidR="00C47A81">
          <w:rPr>
            <w:noProof/>
            <w:webHidden/>
          </w:rPr>
          <w:t>35</w:t>
        </w:r>
        <w:r w:rsidR="00CB35AC">
          <w:rPr>
            <w:noProof/>
            <w:webHidden/>
          </w:rPr>
          <w:fldChar w:fldCharType="end"/>
        </w:r>
      </w:hyperlink>
    </w:p>
    <w:p w14:paraId="3D73F07A" w14:textId="7E709542" w:rsidR="00CB35AC" w:rsidRDefault="00834566">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371571" w:history="1">
        <w:r w:rsidR="00CB35AC" w:rsidRPr="00E9356D">
          <w:rPr>
            <w:rStyle w:val="Hyperlink"/>
            <w:rFonts w:cs="Arial"/>
            <w:noProof/>
          </w:rPr>
          <w:t>In summary</w:t>
        </w:r>
        <w:r w:rsidR="00CB35AC">
          <w:rPr>
            <w:noProof/>
            <w:webHidden/>
          </w:rPr>
          <w:tab/>
        </w:r>
        <w:r w:rsidR="00CB35AC">
          <w:rPr>
            <w:noProof/>
            <w:webHidden/>
          </w:rPr>
          <w:fldChar w:fldCharType="begin"/>
        </w:r>
        <w:r w:rsidR="00CB35AC">
          <w:rPr>
            <w:noProof/>
            <w:webHidden/>
          </w:rPr>
          <w:instrText xml:space="preserve"> PAGEREF _Toc181371571 \h </w:instrText>
        </w:r>
        <w:r w:rsidR="00CB35AC">
          <w:rPr>
            <w:noProof/>
            <w:webHidden/>
          </w:rPr>
        </w:r>
        <w:r w:rsidR="00CB35AC">
          <w:rPr>
            <w:noProof/>
            <w:webHidden/>
          </w:rPr>
          <w:fldChar w:fldCharType="separate"/>
        </w:r>
        <w:r w:rsidR="00C47A81">
          <w:rPr>
            <w:noProof/>
            <w:webHidden/>
          </w:rPr>
          <w:t>36</w:t>
        </w:r>
        <w:r w:rsidR="00CB35AC">
          <w:rPr>
            <w:noProof/>
            <w:webHidden/>
          </w:rPr>
          <w:fldChar w:fldCharType="end"/>
        </w:r>
      </w:hyperlink>
    </w:p>
    <w:p w14:paraId="23DD4799" w14:textId="6923B620" w:rsidR="00CB35AC" w:rsidRDefault="00834566">
      <w:pPr>
        <w:pStyle w:val="TOC1"/>
        <w:tabs>
          <w:tab w:val="right" w:leader="dot" w:pos="9016"/>
        </w:tabs>
        <w:rPr>
          <w:rFonts w:asciiTheme="minorHAnsi" w:eastAsiaTheme="minorEastAsia" w:hAnsiTheme="minorHAnsi"/>
          <w:b w:val="0"/>
          <w:noProof/>
          <w:color w:val="auto"/>
          <w:kern w:val="2"/>
          <w:sz w:val="24"/>
          <w:szCs w:val="24"/>
          <w:lang w:eastAsia="en-AU"/>
          <w14:ligatures w14:val="standardContextual"/>
        </w:rPr>
      </w:pPr>
      <w:hyperlink w:anchor="_Toc181371572" w:history="1">
        <w:r w:rsidR="00CB35AC" w:rsidRPr="00E9356D">
          <w:rPr>
            <w:rStyle w:val="Hyperlink"/>
            <w:rFonts w:cs="Arial"/>
            <w:noProof/>
          </w:rPr>
          <w:t>Chapter 2: Understanding today’s workforce</w:t>
        </w:r>
        <w:r w:rsidR="00CB35AC">
          <w:rPr>
            <w:noProof/>
            <w:webHidden/>
          </w:rPr>
          <w:tab/>
        </w:r>
        <w:r w:rsidR="00CB35AC">
          <w:rPr>
            <w:noProof/>
            <w:webHidden/>
          </w:rPr>
          <w:fldChar w:fldCharType="begin"/>
        </w:r>
        <w:r w:rsidR="00CB35AC">
          <w:rPr>
            <w:noProof/>
            <w:webHidden/>
          </w:rPr>
          <w:instrText xml:space="preserve"> PAGEREF _Toc181371572 \h </w:instrText>
        </w:r>
        <w:r w:rsidR="00CB35AC">
          <w:rPr>
            <w:noProof/>
            <w:webHidden/>
          </w:rPr>
        </w:r>
        <w:r w:rsidR="00CB35AC">
          <w:rPr>
            <w:noProof/>
            <w:webHidden/>
          </w:rPr>
          <w:fldChar w:fldCharType="separate"/>
        </w:r>
        <w:r w:rsidR="00C47A81">
          <w:rPr>
            <w:noProof/>
            <w:webHidden/>
          </w:rPr>
          <w:t>37</w:t>
        </w:r>
        <w:r w:rsidR="00CB35AC">
          <w:rPr>
            <w:noProof/>
            <w:webHidden/>
          </w:rPr>
          <w:fldChar w:fldCharType="end"/>
        </w:r>
      </w:hyperlink>
    </w:p>
    <w:p w14:paraId="7B1072CC" w14:textId="47E2AA8F" w:rsidR="00CB35AC" w:rsidRDefault="00834566">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371573" w:history="1">
        <w:r w:rsidR="00CB35AC" w:rsidRPr="00E9356D">
          <w:rPr>
            <w:rStyle w:val="Hyperlink"/>
            <w:rFonts w:cs="Arial"/>
            <w:noProof/>
          </w:rPr>
          <w:t>The big picture – Australia’s labour market today</w:t>
        </w:r>
        <w:r w:rsidR="00CB35AC">
          <w:rPr>
            <w:noProof/>
            <w:webHidden/>
          </w:rPr>
          <w:tab/>
        </w:r>
        <w:r w:rsidR="00CB35AC">
          <w:rPr>
            <w:noProof/>
            <w:webHidden/>
          </w:rPr>
          <w:fldChar w:fldCharType="begin"/>
        </w:r>
        <w:r w:rsidR="00CB35AC">
          <w:rPr>
            <w:noProof/>
            <w:webHidden/>
          </w:rPr>
          <w:instrText xml:space="preserve"> PAGEREF _Toc181371573 \h </w:instrText>
        </w:r>
        <w:r w:rsidR="00CB35AC">
          <w:rPr>
            <w:noProof/>
            <w:webHidden/>
          </w:rPr>
        </w:r>
        <w:r w:rsidR="00CB35AC">
          <w:rPr>
            <w:noProof/>
            <w:webHidden/>
          </w:rPr>
          <w:fldChar w:fldCharType="separate"/>
        </w:r>
        <w:r w:rsidR="00C47A81">
          <w:rPr>
            <w:noProof/>
            <w:webHidden/>
          </w:rPr>
          <w:t>39</w:t>
        </w:r>
        <w:r w:rsidR="00CB35AC">
          <w:rPr>
            <w:noProof/>
            <w:webHidden/>
          </w:rPr>
          <w:fldChar w:fldCharType="end"/>
        </w:r>
      </w:hyperlink>
    </w:p>
    <w:p w14:paraId="4111017B" w14:textId="2D99656D" w:rsidR="00CB35AC" w:rsidRDefault="00834566">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371574" w:history="1">
        <w:r w:rsidR="00CB35AC" w:rsidRPr="00E9356D">
          <w:rPr>
            <w:rStyle w:val="Hyperlink"/>
            <w:rFonts w:cs="Arial"/>
            <w:noProof/>
          </w:rPr>
          <w:t>Understanding labour market shortages</w:t>
        </w:r>
        <w:r w:rsidR="00CB35AC">
          <w:rPr>
            <w:noProof/>
            <w:webHidden/>
          </w:rPr>
          <w:tab/>
        </w:r>
        <w:r w:rsidR="00CB35AC">
          <w:rPr>
            <w:noProof/>
            <w:webHidden/>
          </w:rPr>
          <w:fldChar w:fldCharType="begin"/>
        </w:r>
        <w:r w:rsidR="00CB35AC">
          <w:rPr>
            <w:noProof/>
            <w:webHidden/>
          </w:rPr>
          <w:instrText xml:space="preserve"> PAGEREF _Toc181371574 \h </w:instrText>
        </w:r>
        <w:r w:rsidR="00CB35AC">
          <w:rPr>
            <w:noProof/>
            <w:webHidden/>
          </w:rPr>
        </w:r>
        <w:r w:rsidR="00CB35AC">
          <w:rPr>
            <w:noProof/>
            <w:webHidden/>
          </w:rPr>
          <w:fldChar w:fldCharType="separate"/>
        </w:r>
        <w:r w:rsidR="00C47A81">
          <w:rPr>
            <w:noProof/>
            <w:webHidden/>
          </w:rPr>
          <w:t>42</w:t>
        </w:r>
        <w:r w:rsidR="00CB35AC">
          <w:rPr>
            <w:noProof/>
            <w:webHidden/>
          </w:rPr>
          <w:fldChar w:fldCharType="end"/>
        </w:r>
      </w:hyperlink>
    </w:p>
    <w:p w14:paraId="4472B1D0" w14:textId="2D0A1008"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75" w:history="1">
        <w:r w:rsidR="00CB35AC" w:rsidRPr="00E9356D">
          <w:rPr>
            <w:rStyle w:val="Hyperlink"/>
            <w:noProof/>
          </w:rPr>
          <w:t>Prevalence of shortages in higher skilled occupations</w:t>
        </w:r>
        <w:r w:rsidR="00CB35AC">
          <w:rPr>
            <w:noProof/>
            <w:webHidden/>
          </w:rPr>
          <w:tab/>
        </w:r>
        <w:r w:rsidR="00CB35AC">
          <w:rPr>
            <w:noProof/>
            <w:webHidden/>
          </w:rPr>
          <w:fldChar w:fldCharType="begin"/>
        </w:r>
        <w:r w:rsidR="00CB35AC">
          <w:rPr>
            <w:noProof/>
            <w:webHidden/>
          </w:rPr>
          <w:instrText xml:space="preserve"> PAGEREF _Toc181371575 \h </w:instrText>
        </w:r>
        <w:r w:rsidR="00CB35AC">
          <w:rPr>
            <w:noProof/>
            <w:webHidden/>
          </w:rPr>
        </w:r>
        <w:r w:rsidR="00CB35AC">
          <w:rPr>
            <w:noProof/>
            <w:webHidden/>
          </w:rPr>
          <w:fldChar w:fldCharType="separate"/>
        </w:r>
        <w:r w:rsidR="00C47A81">
          <w:rPr>
            <w:noProof/>
            <w:webHidden/>
          </w:rPr>
          <w:t>43</w:t>
        </w:r>
        <w:r w:rsidR="00CB35AC">
          <w:rPr>
            <w:noProof/>
            <w:webHidden/>
          </w:rPr>
          <w:fldChar w:fldCharType="end"/>
        </w:r>
      </w:hyperlink>
    </w:p>
    <w:p w14:paraId="7F1C4223" w14:textId="3D49F983"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76" w:history="1">
        <w:r w:rsidR="00CB35AC" w:rsidRPr="00E9356D">
          <w:rPr>
            <w:rStyle w:val="Hyperlink"/>
            <w:noProof/>
          </w:rPr>
          <w:t>Importance of shortages</w:t>
        </w:r>
        <w:r w:rsidR="00CB35AC">
          <w:rPr>
            <w:noProof/>
            <w:webHidden/>
          </w:rPr>
          <w:tab/>
        </w:r>
        <w:r w:rsidR="00CB35AC">
          <w:rPr>
            <w:noProof/>
            <w:webHidden/>
          </w:rPr>
          <w:fldChar w:fldCharType="begin"/>
        </w:r>
        <w:r w:rsidR="00CB35AC">
          <w:rPr>
            <w:noProof/>
            <w:webHidden/>
          </w:rPr>
          <w:instrText xml:space="preserve"> PAGEREF _Toc181371576 \h </w:instrText>
        </w:r>
        <w:r w:rsidR="00CB35AC">
          <w:rPr>
            <w:noProof/>
            <w:webHidden/>
          </w:rPr>
        </w:r>
        <w:r w:rsidR="00CB35AC">
          <w:rPr>
            <w:noProof/>
            <w:webHidden/>
          </w:rPr>
          <w:fldChar w:fldCharType="separate"/>
        </w:r>
        <w:r w:rsidR="00C47A81">
          <w:rPr>
            <w:noProof/>
            <w:webHidden/>
          </w:rPr>
          <w:t>45</w:t>
        </w:r>
        <w:r w:rsidR="00CB35AC">
          <w:rPr>
            <w:noProof/>
            <w:webHidden/>
          </w:rPr>
          <w:fldChar w:fldCharType="end"/>
        </w:r>
      </w:hyperlink>
    </w:p>
    <w:p w14:paraId="7A224726" w14:textId="48ED9677"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77" w:history="1">
        <w:r w:rsidR="00CB35AC" w:rsidRPr="00E9356D">
          <w:rPr>
            <w:rStyle w:val="Hyperlink"/>
            <w:noProof/>
          </w:rPr>
          <w:t>Shortages by industry</w:t>
        </w:r>
        <w:r w:rsidR="00CB35AC">
          <w:rPr>
            <w:noProof/>
            <w:webHidden/>
          </w:rPr>
          <w:tab/>
        </w:r>
        <w:r w:rsidR="00CB35AC">
          <w:rPr>
            <w:noProof/>
            <w:webHidden/>
          </w:rPr>
          <w:fldChar w:fldCharType="begin"/>
        </w:r>
        <w:r w:rsidR="00CB35AC">
          <w:rPr>
            <w:noProof/>
            <w:webHidden/>
          </w:rPr>
          <w:instrText xml:space="preserve"> PAGEREF _Toc181371577 \h </w:instrText>
        </w:r>
        <w:r w:rsidR="00CB35AC">
          <w:rPr>
            <w:noProof/>
            <w:webHidden/>
          </w:rPr>
        </w:r>
        <w:r w:rsidR="00CB35AC">
          <w:rPr>
            <w:noProof/>
            <w:webHidden/>
          </w:rPr>
          <w:fldChar w:fldCharType="separate"/>
        </w:r>
        <w:r w:rsidR="00C47A81">
          <w:rPr>
            <w:noProof/>
            <w:webHidden/>
          </w:rPr>
          <w:t>47</w:t>
        </w:r>
        <w:r w:rsidR="00CB35AC">
          <w:rPr>
            <w:noProof/>
            <w:webHidden/>
          </w:rPr>
          <w:fldChar w:fldCharType="end"/>
        </w:r>
      </w:hyperlink>
    </w:p>
    <w:p w14:paraId="1010888D" w14:textId="153EB6D2"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78" w:history="1">
        <w:r w:rsidR="00CB35AC" w:rsidRPr="00E9356D">
          <w:rPr>
            <w:rStyle w:val="Hyperlink"/>
            <w:noProof/>
          </w:rPr>
          <w:t>Occupation shortages by major occupation group</w:t>
        </w:r>
        <w:r w:rsidR="00CB35AC">
          <w:rPr>
            <w:noProof/>
            <w:webHidden/>
          </w:rPr>
          <w:tab/>
        </w:r>
        <w:r w:rsidR="00CB35AC">
          <w:rPr>
            <w:noProof/>
            <w:webHidden/>
          </w:rPr>
          <w:fldChar w:fldCharType="begin"/>
        </w:r>
        <w:r w:rsidR="00CB35AC">
          <w:rPr>
            <w:noProof/>
            <w:webHidden/>
          </w:rPr>
          <w:instrText xml:space="preserve"> PAGEREF _Toc181371578 \h </w:instrText>
        </w:r>
        <w:r w:rsidR="00CB35AC">
          <w:rPr>
            <w:noProof/>
            <w:webHidden/>
          </w:rPr>
        </w:r>
        <w:r w:rsidR="00CB35AC">
          <w:rPr>
            <w:noProof/>
            <w:webHidden/>
          </w:rPr>
          <w:fldChar w:fldCharType="separate"/>
        </w:r>
        <w:r w:rsidR="00C47A81">
          <w:rPr>
            <w:noProof/>
            <w:webHidden/>
          </w:rPr>
          <w:t>48</w:t>
        </w:r>
        <w:r w:rsidR="00CB35AC">
          <w:rPr>
            <w:noProof/>
            <w:webHidden/>
          </w:rPr>
          <w:fldChar w:fldCharType="end"/>
        </w:r>
      </w:hyperlink>
    </w:p>
    <w:p w14:paraId="6553338E" w14:textId="4EAE24CE"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79" w:history="1">
        <w:r w:rsidR="00CB35AC" w:rsidRPr="00E9356D">
          <w:rPr>
            <w:rStyle w:val="Hyperlink"/>
            <w:noProof/>
          </w:rPr>
          <w:t>Impact of age on occupation shortages</w:t>
        </w:r>
        <w:r w:rsidR="00CB35AC">
          <w:rPr>
            <w:noProof/>
            <w:webHidden/>
          </w:rPr>
          <w:tab/>
        </w:r>
        <w:r w:rsidR="00CB35AC">
          <w:rPr>
            <w:noProof/>
            <w:webHidden/>
          </w:rPr>
          <w:fldChar w:fldCharType="begin"/>
        </w:r>
        <w:r w:rsidR="00CB35AC">
          <w:rPr>
            <w:noProof/>
            <w:webHidden/>
          </w:rPr>
          <w:instrText xml:space="preserve"> PAGEREF _Toc181371579 \h </w:instrText>
        </w:r>
        <w:r w:rsidR="00CB35AC">
          <w:rPr>
            <w:noProof/>
            <w:webHidden/>
          </w:rPr>
        </w:r>
        <w:r w:rsidR="00CB35AC">
          <w:rPr>
            <w:noProof/>
            <w:webHidden/>
          </w:rPr>
          <w:fldChar w:fldCharType="separate"/>
        </w:r>
        <w:r w:rsidR="00C47A81">
          <w:rPr>
            <w:noProof/>
            <w:webHidden/>
          </w:rPr>
          <w:t>48</w:t>
        </w:r>
        <w:r w:rsidR="00CB35AC">
          <w:rPr>
            <w:noProof/>
            <w:webHidden/>
          </w:rPr>
          <w:fldChar w:fldCharType="end"/>
        </w:r>
      </w:hyperlink>
    </w:p>
    <w:p w14:paraId="43EDC07A" w14:textId="298D2732"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80" w:history="1">
        <w:r w:rsidR="00CB35AC" w:rsidRPr="00E9356D">
          <w:rPr>
            <w:rStyle w:val="Hyperlink"/>
            <w:noProof/>
          </w:rPr>
          <w:t>Occupation shortage drivers</w:t>
        </w:r>
        <w:r w:rsidR="00CB35AC">
          <w:rPr>
            <w:noProof/>
            <w:webHidden/>
          </w:rPr>
          <w:tab/>
        </w:r>
        <w:r w:rsidR="00CB35AC">
          <w:rPr>
            <w:noProof/>
            <w:webHidden/>
          </w:rPr>
          <w:fldChar w:fldCharType="begin"/>
        </w:r>
        <w:r w:rsidR="00CB35AC">
          <w:rPr>
            <w:noProof/>
            <w:webHidden/>
          </w:rPr>
          <w:instrText xml:space="preserve"> PAGEREF _Toc181371580 \h </w:instrText>
        </w:r>
        <w:r w:rsidR="00CB35AC">
          <w:rPr>
            <w:noProof/>
            <w:webHidden/>
          </w:rPr>
        </w:r>
        <w:r w:rsidR="00CB35AC">
          <w:rPr>
            <w:noProof/>
            <w:webHidden/>
          </w:rPr>
          <w:fldChar w:fldCharType="separate"/>
        </w:r>
        <w:r w:rsidR="00C47A81">
          <w:rPr>
            <w:noProof/>
            <w:webHidden/>
          </w:rPr>
          <w:t>49</w:t>
        </w:r>
        <w:r w:rsidR="00CB35AC">
          <w:rPr>
            <w:noProof/>
            <w:webHidden/>
          </w:rPr>
          <w:fldChar w:fldCharType="end"/>
        </w:r>
      </w:hyperlink>
    </w:p>
    <w:p w14:paraId="12FDE5C2" w14:textId="6256AF1B"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81" w:history="1">
        <w:r w:rsidR="00CB35AC" w:rsidRPr="00E9356D">
          <w:rPr>
            <w:rStyle w:val="Hyperlink"/>
            <w:noProof/>
          </w:rPr>
          <w:t>Addressing occupation shortages</w:t>
        </w:r>
        <w:r w:rsidR="00CB35AC">
          <w:rPr>
            <w:noProof/>
            <w:webHidden/>
          </w:rPr>
          <w:tab/>
        </w:r>
        <w:r w:rsidR="00CB35AC">
          <w:rPr>
            <w:noProof/>
            <w:webHidden/>
          </w:rPr>
          <w:fldChar w:fldCharType="begin"/>
        </w:r>
        <w:r w:rsidR="00CB35AC">
          <w:rPr>
            <w:noProof/>
            <w:webHidden/>
          </w:rPr>
          <w:instrText xml:space="preserve"> PAGEREF _Toc181371581 \h </w:instrText>
        </w:r>
        <w:r w:rsidR="00CB35AC">
          <w:rPr>
            <w:noProof/>
            <w:webHidden/>
          </w:rPr>
        </w:r>
        <w:r w:rsidR="00CB35AC">
          <w:rPr>
            <w:noProof/>
            <w:webHidden/>
          </w:rPr>
          <w:fldChar w:fldCharType="separate"/>
        </w:r>
        <w:r w:rsidR="00C47A81">
          <w:rPr>
            <w:noProof/>
            <w:webHidden/>
          </w:rPr>
          <w:t>54</w:t>
        </w:r>
        <w:r w:rsidR="00CB35AC">
          <w:rPr>
            <w:noProof/>
            <w:webHidden/>
          </w:rPr>
          <w:fldChar w:fldCharType="end"/>
        </w:r>
      </w:hyperlink>
    </w:p>
    <w:p w14:paraId="31640A5C" w14:textId="3C26E056"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82" w:history="1">
        <w:r w:rsidR="00CB35AC" w:rsidRPr="00E9356D">
          <w:rPr>
            <w:rStyle w:val="Hyperlink"/>
            <w:rFonts w:cs="Arial"/>
            <w:noProof/>
          </w:rPr>
          <w:t>Case study – The Construction Industry Culture Taskforce</w:t>
        </w:r>
        <w:r w:rsidR="00CB35AC">
          <w:rPr>
            <w:noProof/>
            <w:webHidden/>
          </w:rPr>
          <w:tab/>
        </w:r>
        <w:r w:rsidR="00CB35AC">
          <w:rPr>
            <w:noProof/>
            <w:webHidden/>
          </w:rPr>
          <w:fldChar w:fldCharType="begin"/>
        </w:r>
        <w:r w:rsidR="00CB35AC">
          <w:rPr>
            <w:noProof/>
            <w:webHidden/>
          </w:rPr>
          <w:instrText xml:space="preserve"> PAGEREF _Toc181371582 \h </w:instrText>
        </w:r>
        <w:r w:rsidR="00CB35AC">
          <w:rPr>
            <w:noProof/>
            <w:webHidden/>
          </w:rPr>
        </w:r>
        <w:r w:rsidR="00CB35AC">
          <w:rPr>
            <w:noProof/>
            <w:webHidden/>
          </w:rPr>
          <w:fldChar w:fldCharType="separate"/>
        </w:r>
        <w:r w:rsidR="00C47A81">
          <w:rPr>
            <w:noProof/>
            <w:webHidden/>
          </w:rPr>
          <w:t>55</w:t>
        </w:r>
        <w:r w:rsidR="00CB35AC">
          <w:rPr>
            <w:noProof/>
            <w:webHidden/>
          </w:rPr>
          <w:fldChar w:fldCharType="end"/>
        </w:r>
      </w:hyperlink>
    </w:p>
    <w:p w14:paraId="65EE3ED1" w14:textId="4FE82822"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83" w:history="1">
        <w:r w:rsidR="00CB35AC" w:rsidRPr="00E9356D">
          <w:rPr>
            <w:rStyle w:val="Hyperlink"/>
            <w:noProof/>
          </w:rPr>
          <w:t>Jobs and Skills Councils in focus</w:t>
        </w:r>
        <w:r w:rsidR="00CB35AC">
          <w:rPr>
            <w:noProof/>
            <w:webHidden/>
          </w:rPr>
          <w:tab/>
        </w:r>
        <w:r w:rsidR="00CB35AC">
          <w:rPr>
            <w:noProof/>
            <w:webHidden/>
          </w:rPr>
          <w:fldChar w:fldCharType="begin"/>
        </w:r>
        <w:r w:rsidR="00CB35AC">
          <w:rPr>
            <w:noProof/>
            <w:webHidden/>
          </w:rPr>
          <w:instrText xml:space="preserve"> PAGEREF _Toc181371583 \h </w:instrText>
        </w:r>
        <w:r w:rsidR="00CB35AC">
          <w:rPr>
            <w:noProof/>
            <w:webHidden/>
          </w:rPr>
        </w:r>
        <w:r w:rsidR="00CB35AC">
          <w:rPr>
            <w:noProof/>
            <w:webHidden/>
          </w:rPr>
          <w:fldChar w:fldCharType="separate"/>
        </w:r>
        <w:r w:rsidR="00C47A81">
          <w:rPr>
            <w:noProof/>
            <w:webHidden/>
          </w:rPr>
          <w:t>56</w:t>
        </w:r>
        <w:r w:rsidR="00CB35AC">
          <w:rPr>
            <w:noProof/>
            <w:webHidden/>
          </w:rPr>
          <w:fldChar w:fldCharType="end"/>
        </w:r>
      </w:hyperlink>
    </w:p>
    <w:p w14:paraId="7FECB821" w14:textId="15C1B690" w:rsidR="00CB35AC" w:rsidRDefault="00834566">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371584" w:history="1">
        <w:r w:rsidR="00CB35AC" w:rsidRPr="00E9356D">
          <w:rPr>
            <w:rStyle w:val="Hyperlink"/>
            <w:rFonts w:cs="Arial"/>
            <w:noProof/>
          </w:rPr>
          <w:t>Investing in our regions</w:t>
        </w:r>
        <w:r w:rsidR="00CB35AC">
          <w:rPr>
            <w:noProof/>
            <w:webHidden/>
          </w:rPr>
          <w:tab/>
        </w:r>
        <w:r w:rsidR="00CB35AC">
          <w:rPr>
            <w:noProof/>
            <w:webHidden/>
          </w:rPr>
          <w:fldChar w:fldCharType="begin"/>
        </w:r>
        <w:r w:rsidR="00CB35AC">
          <w:rPr>
            <w:noProof/>
            <w:webHidden/>
          </w:rPr>
          <w:instrText xml:space="preserve"> PAGEREF _Toc181371584 \h </w:instrText>
        </w:r>
        <w:r w:rsidR="00CB35AC">
          <w:rPr>
            <w:noProof/>
            <w:webHidden/>
          </w:rPr>
        </w:r>
        <w:r w:rsidR="00CB35AC">
          <w:rPr>
            <w:noProof/>
            <w:webHidden/>
          </w:rPr>
          <w:fldChar w:fldCharType="separate"/>
        </w:r>
        <w:r w:rsidR="00C47A81">
          <w:rPr>
            <w:noProof/>
            <w:webHidden/>
          </w:rPr>
          <w:t>57</w:t>
        </w:r>
        <w:r w:rsidR="00CB35AC">
          <w:rPr>
            <w:noProof/>
            <w:webHidden/>
          </w:rPr>
          <w:fldChar w:fldCharType="end"/>
        </w:r>
      </w:hyperlink>
    </w:p>
    <w:p w14:paraId="3760D2E2" w14:textId="6F14CE42"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85" w:history="1">
        <w:r w:rsidR="00CB35AC" w:rsidRPr="00E9356D">
          <w:rPr>
            <w:rStyle w:val="Hyperlink"/>
            <w:noProof/>
          </w:rPr>
          <w:t>Jobs and Skills Councils in focus</w:t>
        </w:r>
        <w:r w:rsidR="00CB35AC">
          <w:rPr>
            <w:noProof/>
            <w:webHidden/>
          </w:rPr>
          <w:tab/>
        </w:r>
        <w:r w:rsidR="00CB35AC">
          <w:rPr>
            <w:noProof/>
            <w:webHidden/>
          </w:rPr>
          <w:fldChar w:fldCharType="begin"/>
        </w:r>
        <w:r w:rsidR="00CB35AC">
          <w:rPr>
            <w:noProof/>
            <w:webHidden/>
          </w:rPr>
          <w:instrText xml:space="preserve"> PAGEREF _Toc181371585 \h </w:instrText>
        </w:r>
        <w:r w:rsidR="00CB35AC">
          <w:rPr>
            <w:noProof/>
            <w:webHidden/>
          </w:rPr>
        </w:r>
        <w:r w:rsidR="00CB35AC">
          <w:rPr>
            <w:noProof/>
            <w:webHidden/>
          </w:rPr>
          <w:fldChar w:fldCharType="separate"/>
        </w:r>
        <w:r w:rsidR="00C47A81">
          <w:rPr>
            <w:noProof/>
            <w:webHidden/>
          </w:rPr>
          <w:t>58</w:t>
        </w:r>
        <w:r w:rsidR="00CB35AC">
          <w:rPr>
            <w:noProof/>
            <w:webHidden/>
          </w:rPr>
          <w:fldChar w:fldCharType="end"/>
        </w:r>
      </w:hyperlink>
    </w:p>
    <w:p w14:paraId="1886FC8C" w14:textId="1E7CFEE4"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86" w:history="1">
        <w:r w:rsidR="00CB35AC" w:rsidRPr="00E9356D">
          <w:rPr>
            <w:rStyle w:val="Hyperlink"/>
            <w:rFonts w:cs="Arial"/>
            <w:noProof/>
          </w:rPr>
          <w:t>Recent trends in regional labour market performance</w:t>
        </w:r>
        <w:r w:rsidR="00CB35AC">
          <w:rPr>
            <w:noProof/>
            <w:webHidden/>
          </w:rPr>
          <w:tab/>
        </w:r>
        <w:r w:rsidR="00CB35AC">
          <w:rPr>
            <w:noProof/>
            <w:webHidden/>
          </w:rPr>
          <w:fldChar w:fldCharType="begin"/>
        </w:r>
        <w:r w:rsidR="00CB35AC">
          <w:rPr>
            <w:noProof/>
            <w:webHidden/>
          </w:rPr>
          <w:instrText xml:space="preserve"> PAGEREF _Toc181371586 \h </w:instrText>
        </w:r>
        <w:r w:rsidR="00CB35AC">
          <w:rPr>
            <w:noProof/>
            <w:webHidden/>
          </w:rPr>
        </w:r>
        <w:r w:rsidR="00CB35AC">
          <w:rPr>
            <w:noProof/>
            <w:webHidden/>
          </w:rPr>
          <w:fldChar w:fldCharType="separate"/>
        </w:r>
        <w:r w:rsidR="00C47A81">
          <w:rPr>
            <w:noProof/>
            <w:webHidden/>
          </w:rPr>
          <w:t>59</w:t>
        </w:r>
        <w:r w:rsidR="00CB35AC">
          <w:rPr>
            <w:noProof/>
            <w:webHidden/>
          </w:rPr>
          <w:fldChar w:fldCharType="end"/>
        </w:r>
      </w:hyperlink>
    </w:p>
    <w:p w14:paraId="0D93558A" w14:textId="2B016765"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87" w:history="1">
        <w:r w:rsidR="00CB35AC" w:rsidRPr="00E9356D">
          <w:rPr>
            <w:rStyle w:val="Hyperlink"/>
            <w:rFonts w:cs="Arial"/>
            <w:noProof/>
            <w:lang w:val="en-US"/>
          </w:rPr>
          <w:t>Online job advertisements in regional Australia</w:t>
        </w:r>
        <w:r w:rsidR="00CB35AC">
          <w:rPr>
            <w:noProof/>
            <w:webHidden/>
          </w:rPr>
          <w:tab/>
        </w:r>
        <w:r w:rsidR="00CB35AC">
          <w:rPr>
            <w:noProof/>
            <w:webHidden/>
          </w:rPr>
          <w:fldChar w:fldCharType="begin"/>
        </w:r>
        <w:r w:rsidR="00CB35AC">
          <w:rPr>
            <w:noProof/>
            <w:webHidden/>
          </w:rPr>
          <w:instrText xml:space="preserve"> PAGEREF _Toc181371587 \h </w:instrText>
        </w:r>
        <w:r w:rsidR="00CB35AC">
          <w:rPr>
            <w:noProof/>
            <w:webHidden/>
          </w:rPr>
        </w:r>
        <w:r w:rsidR="00CB35AC">
          <w:rPr>
            <w:noProof/>
            <w:webHidden/>
          </w:rPr>
          <w:fldChar w:fldCharType="separate"/>
        </w:r>
        <w:r w:rsidR="00C47A81">
          <w:rPr>
            <w:noProof/>
            <w:webHidden/>
          </w:rPr>
          <w:t>62</w:t>
        </w:r>
        <w:r w:rsidR="00CB35AC">
          <w:rPr>
            <w:noProof/>
            <w:webHidden/>
          </w:rPr>
          <w:fldChar w:fldCharType="end"/>
        </w:r>
      </w:hyperlink>
    </w:p>
    <w:p w14:paraId="684537F7" w14:textId="40FB4809"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88" w:history="1">
        <w:r w:rsidR="00CB35AC" w:rsidRPr="00E9356D">
          <w:rPr>
            <w:rStyle w:val="Hyperlink"/>
            <w:rFonts w:cs="Arial"/>
            <w:noProof/>
          </w:rPr>
          <w:t>Changing demand for occupations in regional Australia</w:t>
        </w:r>
        <w:r w:rsidR="00CB35AC">
          <w:rPr>
            <w:noProof/>
            <w:webHidden/>
          </w:rPr>
          <w:tab/>
        </w:r>
        <w:r w:rsidR="00CB35AC">
          <w:rPr>
            <w:noProof/>
            <w:webHidden/>
          </w:rPr>
          <w:fldChar w:fldCharType="begin"/>
        </w:r>
        <w:r w:rsidR="00CB35AC">
          <w:rPr>
            <w:noProof/>
            <w:webHidden/>
          </w:rPr>
          <w:instrText xml:space="preserve"> PAGEREF _Toc181371588 \h </w:instrText>
        </w:r>
        <w:r w:rsidR="00CB35AC">
          <w:rPr>
            <w:noProof/>
            <w:webHidden/>
          </w:rPr>
        </w:r>
        <w:r w:rsidR="00CB35AC">
          <w:rPr>
            <w:noProof/>
            <w:webHidden/>
          </w:rPr>
          <w:fldChar w:fldCharType="separate"/>
        </w:r>
        <w:r w:rsidR="00C47A81">
          <w:rPr>
            <w:noProof/>
            <w:webHidden/>
          </w:rPr>
          <w:t>62</w:t>
        </w:r>
        <w:r w:rsidR="00CB35AC">
          <w:rPr>
            <w:noProof/>
            <w:webHidden/>
          </w:rPr>
          <w:fldChar w:fldCharType="end"/>
        </w:r>
      </w:hyperlink>
    </w:p>
    <w:p w14:paraId="4280FEB5" w14:textId="4DC04183"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89" w:history="1">
        <w:r w:rsidR="00CB35AC" w:rsidRPr="00E9356D">
          <w:rPr>
            <w:rStyle w:val="Hyperlink"/>
            <w:rFonts w:cs="Arial"/>
            <w:noProof/>
          </w:rPr>
          <w:t>Changing demand patterns in thriving labour markets</w:t>
        </w:r>
        <w:r w:rsidR="00CB35AC">
          <w:rPr>
            <w:noProof/>
            <w:webHidden/>
          </w:rPr>
          <w:tab/>
        </w:r>
        <w:r w:rsidR="00CB35AC">
          <w:rPr>
            <w:noProof/>
            <w:webHidden/>
          </w:rPr>
          <w:fldChar w:fldCharType="begin"/>
        </w:r>
        <w:r w:rsidR="00CB35AC">
          <w:rPr>
            <w:noProof/>
            <w:webHidden/>
          </w:rPr>
          <w:instrText xml:space="preserve"> PAGEREF _Toc181371589 \h </w:instrText>
        </w:r>
        <w:r w:rsidR="00CB35AC">
          <w:rPr>
            <w:noProof/>
            <w:webHidden/>
          </w:rPr>
        </w:r>
        <w:r w:rsidR="00CB35AC">
          <w:rPr>
            <w:noProof/>
            <w:webHidden/>
          </w:rPr>
          <w:fldChar w:fldCharType="separate"/>
        </w:r>
        <w:r w:rsidR="00C47A81">
          <w:rPr>
            <w:noProof/>
            <w:webHidden/>
          </w:rPr>
          <w:t>65</w:t>
        </w:r>
        <w:r w:rsidR="00CB35AC">
          <w:rPr>
            <w:noProof/>
            <w:webHidden/>
          </w:rPr>
          <w:fldChar w:fldCharType="end"/>
        </w:r>
      </w:hyperlink>
    </w:p>
    <w:p w14:paraId="69B848E2" w14:textId="4685F552" w:rsidR="00CB35AC" w:rsidRDefault="00834566">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371590" w:history="1">
        <w:r w:rsidR="00CB35AC" w:rsidRPr="00E9356D">
          <w:rPr>
            <w:rStyle w:val="Hyperlink"/>
            <w:rFonts w:cs="Arial"/>
            <w:noProof/>
            <w:lang w:val="en-US"/>
          </w:rPr>
          <w:t>In summary</w:t>
        </w:r>
        <w:r w:rsidR="00CB35AC">
          <w:rPr>
            <w:noProof/>
            <w:webHidden/>
          </w:rPr>
          <w:tab/>
        </w:r>
        <w:r w:rsidR="00CB35AC">
          <w:rPr>
            <w:noProof/>
            <w:webHidden/>
          </w:rPr>
          <w:fldChar w:fldCharType="begin"/>
        </w:r>
        <w:r w:rsidR="00CB35AC">
          <w:rPr>
            <w:noProof/>
            <w:webHidden/>
          </w:rPr>
          <w:instrText xml:space="preserve"> PAGEREF _Toc181371590 \h </w:instrText>
        </w:r>
        <w:r w:rsidR="00CB35AC">
          <w:rPr>
            <w:noProof/>
            <w:webHidden/>
          </w:rPr>
        </w:r>
        <w:r w:rsidR="00CB35AC">
          <w:rPr>
            <w:noProof/>
            <w:webHidden/>
          </w:rPr>
          <w:fldChar w:fldCharType="separate"/>
        </w:r>
        <w:r w:rsidR="00C47A81">
          <w:rPr>
            <w:noProof/>
            <w:webHidden/>
          </w:rPr>
          <w:t>67</w:t>
        </w:r>
        <w:r w:rsidR="00CB35AC">
          <w:rPr>
            <w:noProof/>
            <w:webHidden/>
          </w:rPr>
          <w:fldChar w:fldCharType="end"/>
        </w:r>
      </w:hyperlink>
    </w:p>
    <w:p w14:paraId="5DD0EBDA" w14:textId="3F13DFD3" w:rsidR="00CB35AC" w:rsidRDefault="00834566">
      <w:pPr>
        <w:pStyle w:val="TOC1"/>
        <w:tabs>
          <w:tab w:val="right" w:leader="dot" w:pos="9016"/>
        </w:tabs>
        <w:rPr>
          <w:rFonts w:asciiTheme="minorHAnsi" w:eastAsiaTheme="minorEastAsia" w:hAnsiTheme="minorHAnsi"/>
          <w:b w:val="0"/>
          <w:noProof/>
          <w:color w:val="auto"/>
          <w:kern w:val="2"/>
          <w:sz w:val="24"/>
          <w:szCs w:val="24"/>
          <w:lang w:eastAsia="en-AU"/>
          <w14:ligatures w14:val="standardContextual"/>
        </w:rPr>
      </w:pPr>
      <w:hyperlink w:anchor="_Toc181371591" w:history="1">
        <w:r w:rsidR="00CB35AC" w:rsidRPr="00E9356D">
          <w:rPr>
            <w:rStyle w:val="Hyperlink"/>
            <w:rFonts w:cs="Arial"/>
            <w:noProof/>
          </w:rPr>
          <w:t>Chapter 3: Shaping Australia’s future workforce</w:t>
        </w:r>
        <w:r w:rsidR="00CB35AC">
          <w:rPr>
            <w:noProof/>
            <w:webHidden/>
          </w:rPr>
          <w:tab/>
        </w:r>
        <w:r w:rsidR="00CB35AC">
          <w:rPr>
            <w:noProof/>
            <w:webHidden/>
          </w:rPr>
          <w:fldChar w:fldCharType="begin"/>
        </w:r>
        <w:r w:rsidR="00CB35AC">
          <w:rPr>
            <w:noProof/>
            <w:webHidden/>
          </w:rPr>
          <w:instrText xml:space="preserve"> PAGEREF _Toc181371591 \h </w:instrText>
        </w:r>
        <w:r w:rsidR="00CB35AC">
          <w:rPr>
            <w:noProof/>
            <w:webHidden/>
          </w:rPr>
        </w:r>
        <w:r w:rsidR="00CB35AC">
          <w:rPr>
            <w:noProof/>
            <w:webHidden/>
          </w:rPr>
          <w:fldChar w:fldCharType="separate"/>
        </w:r>
        <w:r w:rsidR="00C47A81">
          <w:rPr>
            <w:noProof/>
            <w:webHidden/>
          </w:rPr>
          <w:t>69</w:t>
        </w:r>
        <w:r w:rsidR="00CB35AC">
          <w:rPr>
            <w:noProof/>
            <w:webHidden/>
          </w:rPr>
          <w:fldChar w:fldCharType="end"/>
        </w:r>
      </w:hyperlink>
    </w:p>
    <w:p w14:paraId="32F4FDA9" w14:textId="25BF14AF" w:rsidR="00CB35AC" w:rsidRDefault="00834566">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371592" w:history="1">
        <w:r w:rsidR="00CB35AC" w:rsidRPr="00E9356D">
          <w:rPr>
            <w:rStyle w:val="Hyperlink"/>
            <w:rFonts w:cs="Arial"/>
            <w:noProof/>
          </w:rPr>
          <w:t>2024 Employment Projections</w:t>
        </w:r>
        <w:r w:rsidR="00CB35AC">
          <w:rPr>
            <w:noProof/>
            <w:webHidden/>
          </w:rPr>
          <w:tab/>
        </w:r>
        <w:r w:rsidR="00CB35AC">
          <w:rPr>
            <w:noProof/>
            <w:webHidden/>
          </w:rPr>
          <w:fldChar w:fldCharType="begin"/>
        </w:r>
        <w:r w:rsidR="00CB35AC">
          <w:rPr>
            <w:noProof/>
            <w:webHidden/>
          </w:rPr>
          <w:instrText xml:space="preserve"> PAGEREF _Toc181371592 \h </w:instrText>
        </w:r>
        <w:r w:rsidR="00CB35AC">
          <w:rPr>
            <w:noProof/>
            <w:webHidden/>
          </w:rPr>
        </w:r>
        <w:r w:rsidR="00CB35AC">
          <w:rPr>
            <w:noProof/>
            <w:webHidden/>
          </w:rPr>
          <w:fldChar w:fldCharType="separate"/>
        </w:r>
        <w:r w:rsidR="00C47A81">
          <w:rPr>
            <w:noProof/>
            <w:webHidden/>
          </w:rPr>
          <w:t>71</w:t>
        </w:r>
        <w:r w:rsidR="00CB35AC">
          <w:rPr>
            <w:noProof/>
            <w:webHidden/>
          </w:rPr>
          <w:fldChar w:fldCharType="end"/>
        </w:r>
      </w:hyperlink>
    </w:p>
    <w:p w14:paraId="7BB412B5" w14:textId="60F4C857"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93" w:history="1">
        <w:r w:rsidR="00CB35AC" w:rsidRPr="00E9356D">
          <w:rPr>
            <w:rStyle w:val="Hyperlink"/>
            <w:rFonts w:cs="Arial"/>
            <w:noProof/>
          </w:rPr>
          <w:t>Overall employment growth</w:t>
        </w:r>
        <w:r w:rsidR="00CB35AC">
          <w:rPr>
            <w:noProof/>
            <w:webHidden/>
          </w:rPr>
          <w:tab/>
        </w:r>
        <w:r w:rsidR="00CB35AC">
          <w:rPr>
            <w:noProof/>
            <w:webHidden/>
          </w:rPr>
          <w:fldChar w:fldCharType="begin"/>
        </w:r>
        <w:r w:rsidR="00CB35AC">
          <w:rPr>
            <w:noProof/>
            <w:webHidden/>
          </w:rPr>
          <w:instrText xml:space="preserve"> PAGEREF _Toc181371593 \h </w:instrText>
        </w:r>
        <w:r w:rsidR="00CB35AC">
          <w:rPr>
            <w:noProof/>
            <w:webHidden/>
          </w:rPr>
        </w:r>
        <w:r w:rsidR="00CB35AC">
          <w:rPr>
            <w:noProof/>
            <w:webHidden/>
          </w:rPr>
          <w:fldChar w:fldCharType="separate"/>
        </w:r>
        <w:r w:rsidR="00C47A81">
          <w:rPr>
            <w:noProof/>
            <w:webHidden/>
          </w:rPr>
          <w:t>71</w:t>
        </w:r>
        <w:r w:rsidR="00CB35AC">
          <w:rPr>
            <w:noProof/>
            <w:webHidden/>
          </w:rPr>
          <w:fldChar w:fldCharType="end"/>
        </w:r>
      </w:hyperlink>
    </w:p>
    <w:p w14:paraId="463EB38C" w14:textId="5DC2470C"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94" w:history="1">
        <w:r w:rsidR="00CB35AC" w:rsidRPr="00E9356D">
          <w:rPr>
            <w:rStyle w:val="Hyperlink"/>
            <w:rFonts w:cs="Arial"/>
            <w:noProof/>
          </w:rPr>
          <w:t>Industry employment outlook</w:t>
        </w:r>
        <w:r w:rsidR="00CB35AC">
          <w:rPr>
            <w:noProof/>
            <w:webHidden/>
          </w:rPr>
          <w:tab/>
        </w:r>
        <w:r w:rsidR="00CB35AC">
          <w:rPr>
            <w:noProof/>
            <w:webHidden/>
          </w:rPr>
          <w:fldChar w:fldCharType="begin"/>
        </w:r>
        <w:r w:rsidR="00CB35AC">
          <w:rPr>
            <w:noProof/>
            <w:webHidden/>
          </w:rPr>
          <w:instrText xml:space="preserve"> PAGEREF _Toc181371594 \h </w:instrText>
        </w:r>
        <w:r w:rsidR="00CB35AC">
          <w:rPr>
            <w:noProof/>
            <w:webHidden/>
          </w:rPr>
        </w:r>
        <w:r w:rsidR="00CB35AC">
          <w:rPr>
            <w:noProof/>
            <w:webHidden/>
          </w:rPr>
          <w:fldChar w:fldCharType="separate"/>
        </w:r>
        <w:r w:rsidR="00C47A81">
          <w:rPr>
            <w:noProof/>
            <w:webHidden/>
          </w:rPr>
          <w:t>71</w:t>
        </w:r>
        <w:r w:rsidR="00CB35AC">
          <w:rPr>
            <w:noProof/>
            <w:webHidden/>
          </w:rPr>
          <w:fldChar w:fldCharType="end"/>
        </w:r>
      </w:hyperlink>
    </w:p>
    <w:p w14:paraId="6E7ADD32" w14:textId="2230357E"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95" w:history="1">
        <w:r w:rsidR="00CB35AC" w:rsidRPr="00E9356D">
          <w:rPr>
            <w:rStyle w:val="Hyperlink"/>
            <w:rFonts w:cs="Arial"/>
            <w:noProof/>
          </w:rPr>
          <w:t>Employment outlook by occupation groups</w:t>
        </w:r>
        <w:r w:rsidR="00CB35AC">
          <w:rPr>
            <w:noProof/>
            <w:webHidden/>
          </w:rPr>
          <w:tab/>
        </w:r>
        <w:r w:rsidR="00CB35AC">
          <w:rPr>
            <w:noProof/>
            <w:webHidden/>
          </w:rPr>
          <w:fldChar w:fldCharType="begin"/>
        </w:r>
        <w:r w:rsidR="00CB35AC">
          <w:rPr>
            <w:noProof/>
            <w:webHidden/>
          </w:rPr>
          <w:instrText xml:space="preserve"> PAGEREF _Toc181371595 \h </w:instrText>
        </w:r>
        <w:r w:rsidR="00CB35AC">
          <w:rPr>
            <w:noProof/>
            <w:webHidden/>
          </w:rPr>
        </w:r>
        <w:r w:rsidR="00CB35AC">
          <w:rPr>
            <w:noProof/>
            <w:webHidden/>
          </w:rPr>
          <w:fldChar w:fldCharType="separate"/>
        </w:r>
        <w:r w:rsidR="00C47A81">
          <w:rPr>
            <w:noProof/>
            <w:webHidden/>
          </w:rPr>
          <w:t>75</w:t>
        </w:r>
        <w:r w:rsidR="00CB35AC">
          <w:rPr>
            <w:noProof/>
            <w:webHidden/>
          </w:rPr>
          <w:fldChar w:fldCharType="end"/>
        </w:r>
      </w:hyperlink>
    </w:p>
    <w:p w14:paraId="7A84B11C" w14:textId="231D8A98"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96" w:history="1">
        <w:r w:rsidR="00CB35AC" w:rsidRPr="00E9356D">
          <w:rPr>
            <w:rStyle w:val="Hyperlink"/>
            <w:rFonts w:cs="Arial"/>
            <w:noProof/>
          </w:rPr>
          <w:t>Employment outlook for states and territories</w:t>
        </w:r>
        <w:r w:rsidR="00CB35AC">
          <w:rPr>
            <w:noProof/>
            <w:webHidden/>
          </w:rPr>
          <w:tab/>
        </w:r>
        <w:r w:rsidR="00CB35AC">
          <w:rPr>
            <w:noProof/>
            <w:webHidden/>
          </w:rPr>
          <w:fldChar w:fldCharType="begin"/>
        </w:r>
        <w:r w:rsidR="00CB35AC">
          <w:rPr>
            <w:noProof/>
            <w:webHidden/>
          </w:rPr>
          <w:instrText xml:space="preserve"> PAGEREF _Toc181371596 \h </w:instrText>
        </w:r>
        <w:r w:rsidR="00CB35AC">
          <w:rPr>
            <w:noProof/>
            <w:webHidden/>
          </w:rPr>
        </w:r>
        <w:r w:rsidR="00CB35AC">
          <w:rPr>
            <w:noProof/>
            <w:webHidden/>
          </w:rPr>
          <w:fldChar w:fldCharType="separate"/>
        </w:r>
        <w:r w:rsidR="00C47A81">
          <w:rPr>
            <w:noProof/>
            <w:webHidden/>
          </w:rPr>
          <w:t>77</w:t>
        </w:r>
        <w:r w:rsidR="00CB35AC">
          <w:rPr>
            <w:noProof/>
            <w:webHidden/>
          </w:rPr>
          <w:fldChar w:fldCharType="end"/>
        </w:r>
      </w:hyperlink>
    </w:p>
    <w:p w14:paraId="4F8B7961" w14:textId="13DC6786"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97" w:history="1">
        <w:r w:rsidR="00CB35AC" w:rsidRPr="00E9356D">
          <w:rPr>
            <w:rStyle w:val="Hyperlink"/>
            <w:rFonts w:cs="Arial"/>
            <w:noProof/>
          </w:rPr>
          <w:t>Employment outlook by skills level</w:t>
        </w:r>
        <w:r w:rsidR="00CB35AC">
          <w:rPr>
            <w:noProof/>
            <w:webHidden/>
          </w:rPr>
          <w:tab/>
        </w:r>
        <w:r w:rsidR="00CB35AC">
          <w:rPr>
            <w:noProof/>
            <w:webHidden/>
          </w:rPr>
          <w:fldChar w:fldCharType="begin"/>
        </w:r>
        <w:r w:rsidR="00CB35AC">
          <w:rPr>
            <w:noProof/>
            <w:webHidden/>
          </w:rPr>
          <w:instrText xml:space="preserve"> PAGEREF _Toc181371597 \h </w:instrText>
        </w:r>
        <w:r w:rsidR="00CB35AC">
          <w:rPr>
            <w:noProof/>
            <w:webHidden/>
          </w:rPr>
        </w:r>
        <w:r w:rsidR="00CB35AC">
          <w:rPr>
            <w:noProof/>
            <w:webHidden/>
          </w:rPr>
          <w:fldChar w:fldCharType="separate"/>
        </w:r>
        <w:r w:rsidR="00C47A81">
          <w:rPr>
            <w:noProof/>
            <w:webHidden/>
          </w:rPr>
          <w:t>81</w:t>
        </w:r>
        <w:r w:rsidR="00CB35AC">
          <w:rPr>
            <w:noProof/>
            <w:webHidden/>
          </w:rPr>
          <w:fldChar w:fldCharType="end"/>
        </w:r>
      </w:hyperlink>
    </w:p>
    <w:p w14:paraId="34BC61F8" w14:textId="7BF180A4"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98" w:history="1">
        <w:r w:rsidR="00CB35AC" w:rsidRPr="00E9356D">
          <w:rPr>
            <w:rStyle w:val="Hyperlink"/>
            <w:rFonts w:cs="Arial"/>
            <w:noProof/>
          </w:rPr>
          <w:t>An alternative scenario: what if the educational and training attainment was fully responsive to labour market demand?</w:t>
        </w:r>
        <w:r w:rsidR="00CB35AC">
          <w:rPr>
            <w:noProof/>
            <w:webHidden/>
          </w:rPr>
          <w:tab/>
        </w:r>
        <w:r w:rsidR="00CB35AC">
          <w:rPr>
            <w:noProof/>
            <w:webHidden/>
          </w:rPr>
          <w:fldChar w:fldCharType="begin"/>
        </w:r>
        <w:r w:rsidR="00CB35AC">
          <w:rPr>
            <w:noProof/>
            <w:webHidden/>
          </w:rPr>
          <w:instrText xml:space="preserve"> PAGEREF _Toc181371598 \h </w:instrText>
        </w:r>
        <w:r w:rsidR="00CB35AC">
          <w:rPr>
            <w:noProof/>
            <w:webHidden/>
          </w:rPr>
        </w:r>
        <w:r w:rsidR="00CB35AC">
          <w:rPr>
            <w:noProof/>
            <w:webHidden/>
          </w:rPr>
          <w:fldChar w:fldCharType="separate"/>
        </w:r>
        <w:r w:rsidR="00C47A81">
          <w:rPr>
            <w:noProof/>
            <w:webHidden/>
          </w:rPr>
          <w:t>82</w:t>
        </w:r>
        <w:r w:rsidR="00CB35AC">
          <w:rPr>
            <w:noProof/>
            <w:webHidden/>
          </w:rPr>
          <w:fldChar w:fldCharType="end"/>
        </w:r>
      </w:hyperlink>
    </w:p>
    <w:p w14:paraId="3A0737DE" w14:textId="26C69C95"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599" w:history="1">
        <w:r w:rsidR="00CB35AC" w:rsidRPr="00E9356D">
          <w:rPr>
            <w:rStyle w:val="Hyperlink"/>
            <w:noProof/>
          </w:rPr>
          <w:t>Key results by major occupation group</w:t>
        </w:r>
        <w:r w:rsidR="00CB35AC">
          <w:rPr>
            <w:noProof/>
            <w:webHidden/>
          </w:rPr>
          <w:tab/>
        </w:r>
        <w:r w:rsidR="00CB35AC">
          <w:rPr>
            <w:noProof/>
            <w:webHidden/>
          </w:rPr>
          <w:fldChar w:fldCharType="begin"/>
        </w:r>
        <w:r w:rsidR="00CB35AC">
          <w:rPr>
            <w:noProof/>
            <w:webHidden/>
          </w:rPr>
          <w:instrText xml:space="preserve"> PAGEREF _Toc181371599 \h </w:instrText>
        </w:r>
        <w:r w:rsidR="00CB35AC">
          <w:rPr>
            <w:noProof/>
            <w:webHidden/>
          </w:rPr>
        </w:r>
        <w:r w:rsidR="00CB35AC">
          <w:rPr>
            <w:noProof/>
            <w:webHidden/>
          </w:rPr>
          <w:fldChar w:fldCharType="separate"/>
        </w:r>
        <w:r w:rsidR="00C47A81">
          <w:rPr>
            <w:noProof/>
            <w:webHidden/>
          </w:rPr>
          <w:t>83</w:t>
        </w:r>
        <w:r w:rsidR="00CB35AC">
          <w:rPr>
            <w:noProof/>
            <w:webHidden/>
          </w:rPr>
          <w:fldChar w:fldCharType="end"/>
        </w:r>
      </w:hyperlink>
    </w:p>
    <w:p w14:paraId="41F71225" w14:textId="22F27CBD"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600" w:history="1">
        <w:r w:rsidR="00CB35AC" w:rsidRPr="00E9356D">
          <w:rPr>
            <w:rStyle w:val="Hyperlink"/>
            <w:noProof/>
          </w:rPr>
          <w:t>Key results by occupation skill level</w:t>
        </w:r>
        <w:r w:rsidR="00CB35AC">
          <w:rPr>
            <w:noProof/>
            <w:webHidden/>
          </w:rPr>
          <w:tab/>
        </w:r>
        <w:r w:rsidR="00CB35AC">
          <w:rPr>
            <w:noProof/>
            <w:webHidden/>
          </w:rPr>
          <w:fldChar w:fldCharType="begin"/>
        </w:r>
        <w:r w:rsidR="00CB35AC">
          <w:rPr>
            <w:noProof/>
            <w:webHidden/>
          </w:rPr>
          <w:instrText xml:space="preserve"> PAGEREF _Toc181371600 \h </w:instrText>
        </w:r>
        <w:r w:rsidR="00CB35AC">
          <w:rPr>
            <w:noProof/>
            <w:webHidden/>
          </w:rPr>
        </w:r>
        <w:r w:rsidR="00CB35AC">
          <w:rPr>
            <w:noProof/>
            <w:webHidden/>
          </w:rPr>
          <w:fldChar w:fldCharType="separate"/>
        </w:r>
        <w:r w:rsidR="00C47A81">
          <w:rPr>
            <w:noProof/>
            <w:webHidden/>
          </w:rPr>
          <w:t>85</w:t>
        </w:r>
        <w:r w:rsidR="00CB35AC">
          <w:rPr>
            <w:noProof/>
            <w:webHidden/>
          </w:rPr>
          <w:fldChar w:fldCharType="end"/>
        </w:r>
      </w:hyperlink>
    </w:p>
    <w:p w14:paraId="3E7FEEC2" w14:textId="0CBDB882" w:rsidR="00CB35AC" w:rsidRDefault="00834566">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371601" w:history="1">
        <w:r w:rsidR="00CB35AC" w:rsidRPr="00E9356D">
          <w:rPr>
            <w:rStyle w:val="Hyperlink"/>
            <w:rFonts w:cs="Arial"/>
            <w:noProof/>
          </w:rPr>
          <w:t>Emerging roles in the Australian labour market</w:t>
        </w:r>
        <w:r w:rsidR="00CB35AC">
          <w:rPr>
            <w:noProof/>
            <w:webHidden/>
          </w:rPr>
          <w:tab/>
        </w:r>
        <w:r w:rsidR="00CB35AC">
          <w:rPr>
            <w:noProof/>
            <w:webHidden/>
          </w:rPr>
          <w:fldChar w:fldCharType="begin"/>
        </w:r>
        <w:r w:rsidR="00CB35AC">
          <w:rPr>
            <w:noProof/>
            <w:webHidden/>
          </w:rPr>
          <w:instrText xml:space="preserve"> PAGEREF _Toc181371601 \h </w:instrText>
        </w:r>
        <w:r w:rsidR="00CB35AC">
          <w:rPr>
            <w:noProof/>
            <w:webHidden/>
          </w:rPr>
        </w:r>
        <w:r w:rsidR="00CB35AC">
          <w:rPr>
            <w:noProof/>
            <w:webHidden/>
          </w:rPr>
          <w:fldChar w:fldCharType="separate"/>
        </w:r>
        <w:r w:rsidR="00C47A81">
          <w:rPr>
            <w:noProof/>
            <w:webHidden/>
          </w:rPr>
          <w:t>86</w:t>
        </w:r>
        <w:r w:rsidR="00CB35AC">
          <w:rPr>
            <w:noProof/>
            <w:webHidden/>
          </w:rPr>
          <w:fldChar w:fldCharType="end"/>
        </w:r>
      </w:hyperlink>
    </w:p>
    <w:p w14:paraId="4CF74FBC" w14:textId="15940369"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602" w:history="1">
        <w:r w:rsidR="00CB35AC" w:rsidRPr="00E9356D">
          <w:rPr>
            <w:rStyle w:val="Hyperlink"/>
            <w:rFonts w:cs="Arial"/>
            <w:noProof/>
          </w:rPr>
          <w:t>The rise of artificial intelligence</w:t>
        </w:r>
        <w:r w:rsidR="00CB35AC">
          <w:rPr>
            <w:noProof/>
            <w:webHidden/>
          </w:rPr>
          <w:tab/>
        </w:r>
        <w:r w:rsidR="00CB35AC">
          <w:rPr>
            <w:noProof/>
            <w:webHidden/>
          </w:rPr>
          <w:fldChar w:fldCharType="begin"/>
        </w:r>
        <w:r w:rsidR="00CB35AC">
          <w:rPr>
            <w:noProof/>
            <w:webHidden/>
          </w:rPr>
          <w:instrText xml:space="preserve"> PAGEREF _Toc181371602 \h </w:instrText>
        </w:r>
        <w:r w:rsidR="00CB35AC">
          <w:rPr>
            <w:noProof/>
            <w:webHidden/>
          </w:rPr>
        </w:r>
        <w:r w:rsidR="00CB35AC">
          <w:rPr>
            <w:noProof/>
            <w:webHidden/>
          </w:rPr>
          <w:fldChar w:fldCharType="separate"/>
        </w:r>
        <w:r w:rsidR="00C47A81">
          <w:rPr>
            <w:noProof/>
            <w:webHidden/>
          </w:rPr>
          <w:t>89</w:t>
        </w:r>
        <w:r w:rsidR="00CB35AC">
          <w:rPr>
            <w:noProof/>
            <w:webHidden/>
          </w:rPr>
          <w:fldChar w:fldCharType="end"/>
        </w:r>
      </w:hyperlink>
    </w:p>
    <w:p w14:paraId="46BAAF2C" w14:textId="24B8ECE5" w:rsidR="00CB35AC" w:rsidRDefault="00834566">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371603" w:history="1">
        <w:r w:rsidR="00CB35AC" w:rsidRPr="00E9356D">
          <w:rPr>
            <w:rStyle w:val="Hyperlink"/>
            <w:rFonts w:cs="Arial"/>
            <w:noProof/>
          </w:rPr>
          <w:t>Capacity studies – understanding the forces of change</w:t>
        </w:r>
        <w:r w:rsidR="00CB35AC">
          <w:rPr>
            <w:noProof/>
            <w:webHidden/>
          </w:rPr>
          <w:tab/>
        </w:r>
        <w:r w:rsidR="00CB35AC">
          <w:rPr>
            <w:noProof/>
            <w:webHidden/>
          </w:rPr>
          <w:fldChar w:fldCharType="begin"/>
        </w:r>
        <w:r w:rsidR="00CB35AC">
          <w:rPr>
            <w:noProof/>
            <w:webHidden/>
          </w:rPr>
          <w:instrText xml:space="preserve"> PAGEREF _Toc181371603 \h </w:instrText>
        </w:r>
        <w:r w:rsidR="00CB35AC">
          <w:rPr>
            <w:noProof/>
            <w:webHidden/>
          </w:rPr>
        </w:r>
        <w:r w:rsidR="00CB35AC">
          <w:rPr>
            <w:noProof/>
            <w:webHidden/>
          </w:rPr>
          <w:fldChar w:fldCharType="separate"/>
        </w:r>
        <w:r w:rsidR="00C47A81">
          <w:rPr>
            <w:noProof/>
            <w:webHidden/>
          </w:rPr>
          <w:t>93</w:t>
        </w:r>
        <w:r w:rsidR="00CB35AC">
          <w:rPr>
            <w:noProof/>
            <w:webHidden/>
          </w:rPr>
          <w:fldChar w:fldCharType="end"/>
        </w:r>
      </w:hyperlink>
    </w:p>
    <w:p w14:paraId="02DEF697" w14:textId="6ADD7121"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604" w:history="1">
        <w:r w:rsidR="00CB35AC" w:rsidRPr="00E9356D">
          <w:rPr>
            <w:rStyle w:val="Hyperlink"/>
            <w:rFonts w:cs="Arial"/>
            <w:noProof/>
          </w:rPr>
          <w:t>A resilient food supply chain</w:t>
        </w:r>
        <w:r w:rsidR="00CB35AC">
          <w:rPr>
            <w:noProof/>
            <w:webHidden/>
          </w:rPr>
          <w:tab/>
        </w:r>
        <w:r w:rsidR="00CB35AC">
          <w:rPr>
            <w:noProof/>
            <w:webHidden/>
          </w:rPr>
          <w:fldChar w:fldCharType="begin"/>
        </w:r>
        <w:r w:rsidR="00CB35AC">
          <w:rPr>
            <w:noProof/>
            <w:webHidden/>
          </w:rPr>
          <w:instrText xml:space="preserve"> PAGEREF _Toc181371604 \h </w:instrText>
        </w:r>
        <w:r w:rsidR="00CB35AC">
          <w:rPr>
            <w:noProof/>
            <w:webHidden/>
          </w:rPr>
        </w:r>
        <w:r w:rsidR="00CB35AC">
          <w:rPr>
            <w:noProof/>
            <w:webHidden/>
          </w:rPr>
          <w:fldChar w:fldCharType="separate"/>
        </w:r>
        <w:r w:rsidR="00C47A81">
          <w:rPr>
            <w:noProof/>
            <w:webHidden/>
          </w:rPr>
          <w:t>94</w:t>
        </w:r>
        <w:r w:rsidR="00CB35AC">
          <w:rPr>
            <w:noProof/>
            <w:webHidden/>
          </w:rPr>
          <w:fldChar w:fldCharType="end"/>
        </w:r>
      </w:hyperlink>
    </w:p>
    <w:p w14:paraId="3EA6BCE6" w14:textId="49A83C66"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605" w:history="1">
        <w:r w:rsidR="00CB35AC" w:rsidRPr="00E9356D">
          <w:rPr>
            <w:rStyle w:val="Hyperlink"/>
            <w:rFonts w:cs="Arial"/>
            <w:noProof/>
          </w:rPr>
          <w:t>The future of the Early Childhood Education Profession</w:t>
        </w:r>
        <w:r w:rsidR="00CB35AC">
          <w:rPr>
            <w:noProof/>
            <w:webHidden/>
          </w:rPr>
          <w:tab/>
        </w:r>
        <w:r w:rsidR="00CB35AC">
          <w:rPr>
            <w:noProof/>
            <w:webHidden/>
          </w:rPr>
          <w:fldChar w:fldCharType="begin"/>
        </w:r>
        <w:r w:rsidR="00CB35AC">
          <w:rPr>
            <w:noProof/>
            <w:webHidden/>
          </w:rPr>
          <w:instrText xml:space="preserve"> PAGEREF _Toc181371605 \h </w:instrText>
        </w:r>
        <w:r w:rsidR="00CB35AC">
          <w:rPr>
            <w:noProof/>
            <w:webHidden/>
          </w:rPr>
        </w:r>
        <w:r w:rsidR="00CB35AC">
          <w:rPr>
            <w:noProof/>
            <w:webHidden/>
          </w:rPr>
          <w:fldChar w:fldCharType="separate"/>
        </w:r>
        <w:r w:rsidR="00C47A81">
          <w:rPr>
            <w:noProof/>
            <w:webHidden/>
          </w:rPr>
          <w:t>98</w:t>
        </w:r>
        <w:r w:rsidR="00CB35AC">
          <w:rPr>
            <w:noProof/>
            <w:webHidden/>
          </w:rPr>
          <w:fldChar w:fldCharType="end"/>
        </w:r>
      </w:hyperlink>
    </w:p>
    <w:p w14:paraId="1DA98652" w14:textId="6E5AFE6C"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606" w:history="1">
        <w:r w:rsidR="00CB35AC" w:rsidRPr="00E9356D">
          <w:rPr>
            <w:rStyle w:val="Hyperlink"/>
            <w:noProof/>
          </w:rPr>
          <w:t>Jobs and Skills Councils in focus</w:t>
        </w:r>
        <w:r w:rsidR="00CB35AC">
          <w:rPr>
            <w:noProof/>
            <w:webHidden/>
          </w:rPr>
          <w:tab/>
        </w:r>
        <w:r w:rsidR="00CB35AC">
          <w:rPr>
            <w:noProof/>
            <w:webHidden/>
          </w:rPr>
          <w:fldChar w:fldCharType="begin"/>
        </w:r>
        <w:r w:rsidR="00CB35AC">
          <w:rPr>
            <w:noProof/>
            <w:webHidden/>
          </w:rPr>
          <w:instrText xml:space="preserve"> PAGEREF _Toc181371606 \h </w:instrText>
        </w:r>
        <w:r w:rsidR="00CB35AC">
          <w:rPr>
            <w:noProof/>
            <w:webHidden/>
          </w:rPr>
        </w:r>
        <w:r w:rsidR="00CB35AC">
          <w:rPr>
            <w:noProof/>
            <w:webHidden/>
          </w:rPr>
          <w:fldChar w:fldCharType="separate"/>
        </w:r>
        <w:r w:rsidR="00C47A81">
          <w:rPr>
            <w:noProof/>
            <w:webHidden/>
          </w:rPr>
          <w:t>103</w:t>
        </w:r>
        <w:r w:rsidR="00CB35AC">
          <w:rPr>
            <w:noProof/>
            <w:webHidden/>
          </w:rPr>
          <w:fldChar w:fldCharType="end"/>
        </w:r>
      </w:hyperlink>
    </w:p>
    <w:p w14:paraId="0B92BC34" w14:textId="1C675582" w:rsidR="00CB35AC" w:rsidRDefault="00834566">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371607" w:history="1">
        <w:r w:rsidR="00CB35AC" w:rsidRPr="00E9356D">
          <w:rPr>
            <w:rStyle w:val="Hyperlink"/>
            <w:rFonts w:cs="Arial"/>
            <w:noProof/>
          </w:rPr>
          <w:t>In summary</w:t>
        </w:r>
        <w:r w:rsidR="00CB35AC">
          <w:rPr>
            <w:noProof/>
            <w:webHidden/>
          </w:rPr>
          <w:tab/>
        </w:r>
        <w:r w:rsidR="00CB35AC">
          <w:rPr>
            <w:noProof/>
            <w:webHidden/>
          </w:rPr>
          <w:fldChar w:fldCharType="begin"/>
        </w:r>
        <w:r w:rsidR="00CB35AC">
          <w:rPr>
            <w:noProof/>
            <w:webHidden/>
          </w:rPr>
          <w:instrText xml:space="preserve"> PAGEREF _Toc181371607 \h </w:instrText>
        </w:r>
        <w:r w:rsidR="00CB35AC">
          <w:rPr>
            <w:noProof/>
            <w:webHidden/>
          </w:rPr>
        </w:r>
        <w:r w:rsidR="00CB35AC">
          <w:rPr>
            <w:noProof/>
            <w:webHidden/>
          </w:rPr>
          <w:fldChar w:fldCharType="separate"/>
        </w:r>
        <w:r w:rsidR="00C47A81">
          <w:rPr>
            <w:noProof/>
            <w:webHidden/>
          </w:rPr>
          <w:t>103</w:t>
        </w:r>
        <w:r w:rsidR="00CB35AC">
          <w:rPr>
            <w:noProof/>
            <w:webHidden/>
          </w:rPr>
          <w:fldChar w:fldCharType="end"/>
        </w:r>
      </w:hyperlink>
    </w:p>
    <w:p w14:paraId="1A709A61" w14:textId="77777777" w:rsidR="00CB35AC" w:rsidRDefault="00CB35AC">
      <w:pPr>
        <w:spacing w:after="160" w:line="259" w:lineRule="auto"/>
        <w:rPr>
          <w:rStyle w:val="Hyperlink"/>
          <w:b/>
          <w:noProof/>
        </w:rPr>
      </w:pPr>
      <w:r>
        <w:rPr>
          <w:rStyle w:val="Hyperlink"/>
          <w:noProof/>
        </w:rPr>
        <w:br w:type="page"/>
      </w:r>
    </w:p>
    <w:p w14:paraId="174AC426" w14:textId="3E3BE1D0" w:rsidR="00CB35AC" w:rsidRDefault="00834566">
      <w:pPr>
        <w:pStyle w:val="TOC1"/>
        <w:tabs>
          <w:tab w:val="right" w:leader="dot" w:pos="9016"/>
        </w:tabs>
        <w:rPr>
          <w:rFonts w:asciiTheme="minorHAnsi" w:eastAsiaTheme="minorEastAsia" w:hAnsiTheme="minorHAnsi"/>
          <w:b w:val="0"/>
          <w:noProof/>
          <w:color w:val="auto"/>
          <w:kern w:val="2"/>
          <w:sz w:val="24"/>
          <w:szCs w:val="24"/>
          <w:lang w:eastAsia="en-AU"/>
          <w14:ligatures w14:val="standardContextual"/>
        </w:rPr>
      </w:pPr>
      <w:hyperlink w:anchor="_Toc181371608" w:history="1">
        <w:r w:rsidR="00CB35AC" w:rsidRPr="00E9356D">
          <w:rPr>
            <w:rStyle w:val="Hyperlink"/>
            <w:rFonts w:cs="Arial"/>
            <w:noProof/>
          </w:rPr>
          <w:t>Chapter 4: Optimising pathways and system architecture</w:t>
        </w:r>
        <w:r w:rsidR="00CB35AC">
          <w:rPr>
            <w:noProof/>
            <w:webHidden/>
          </w:rPr>
          <w:tab/>
        </w:r>
        <w:r w:rsidR="00CB35AC">
          <w:rPr>
            <w:noProof/>
            <w:webHidden/>
          </w:rPr>
          <w:fldChar w:fldCharType="begin"/>
        </w:r>
        <w:r w:rsidR="00CB35AC">
          <w:rPr>
            <w:noProof/>
            <w:webHidden/>
          </w:rPr>
          <w:instrText xml:space="preserve"> PAGEREF _Toc181371608 \h </w:instrText>
        </w:r>
        <w:r w:rsidR="00CB35AC">
          <w:rPr>
            <w:noProof/>
            <w:webHidden/>
          </w:rPr>
        </w:r>
        <w:r w:rsidR="00CB35AC">
          <w:rPr>
            <w:noProof/>
            <w:webHidden/>
          </w:rPr>
          <w:fldChar w:fldCharType="separate"/>
        </w:r>
        <w:r w:rsidR="00C47A81">
          <w:rPr>
            <w:noProof/>
            <w:webHidden/>
          </w:rPr>
          <w:t>105</w:t>
        </w:r>
        <w:r w:rsidR="00CB35AC">
          <w:rPr>
            <w:noProof/>
            <w:webHidden/>
          </w:rPr>
          <w:fldChar w:fldCharType="end"/>
        </w:r>
      </w:hyperlink>
    </w:p>
    <w:p w14:paraId="2A53B48E" w14:textId="7491143C" w:rsidR="00CB35AC" w:rsidRDefault="00834566">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371609" w:history="1">
        <w:r w:rsidR="00CB35AC" w:rsidRPr="00E9356D">
          <w:rPr>
            <w:rStyle w:val="Hyperlink"/>
            <w:rFonts w:cs="Arial"/>
            <w:noProof/>
            <w:lang w:val="en-US"/>
          </w:rPr>
          <w:t>The importance of tertiary pathways</w:t>
        </w:r>
        <w:r w:rsidR="00CB35AC">
          <w:rPr>
            <w:noProof/>
            <w:webHidden/>
          </w:rPr>
          <w:tab/>
        </w:r>
        <w:r w:rsidR="00CB35AC">
          <w:rPr>
            <w:noProof/>
            <w:webHidden/>
          </w:rPr>
          <w:fldChar w:fldCharType="begin"/>
        </w:r>
        <w:r w:rsidR="00CB35AC">
          <w:rPr>
            <w:noProof/>
            <w:webHidden/>
          </w:rPr>
          <w:instrText xml:space="preserve"> PAGEREF _Toc181371609 \h </w:instrText>
        </w:r>
        <w:r w:rsidR="00CB35AC">
          <w:rPr>
            <w:noProof/>
            <w:webHidden/>
          </w:rPr>
        </w:r>
        <w:r w:rsidR="00CB35AC">
          <w:rPr>
            <w:noProof/>
            <w:webHidden/>
          </w:rPr>
          <w:fldChar w:fldCharType="separate"/>
        </w:r>
        <w:r w:rsidR="00C47A81">
          <w:rPr>
            <w:noProof/>
            <w:webHidden/>
          </w:rPr>
          <w:t>107</w:t>
        </w:r>
        <w:r w:rsidR="00CB35AC">
          <w:rPr>
            <w:noProof/>
            <w:webHidden/>
          </w:rPr>
          <w:fldChar w:fldCharType="end"/>
        </w:r>
      </w:hyperlink>
    </w:p>
    <w:p w14:paraId="684281C0" w14:textId="3F5D1A82" w:rsidR="00CB35AC" w:rsidRDefault="00834566">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371610" w:history="1">
        <w:r w:rsidR="00CB35AC" w:rsidRPr="00E9356D">
          <w:rPr>
            <w:rStyle w:val="Hyperlink"/>
            <w:rFonts w:cs="Arial"/>
            <w:noProof/>
            <w:lang w:val="en-US"/>
          </w:rPr>
          <w:t>The case for a more harmonised tertiary education system</w:t>
        </w:r>
        <w:r w:rsidR="00CB35AC">
          <w:rPr>
            <w:noProof/>
            <w:webHidden/>
          </w:rPr>
          <w:tab/>
        </w:r>
        <w:r w:rsidR="00CB35AC">
          <w:rPr>
            <w:noProof/>
            <w:webHidden/>
          </w:rPr>
          <w:fldChar w:fldCharType="begin"/>
        </w:r>
        <w:r w:rsidR="00CB35AC">
          <w:rPr>
            <w:noProof/>
            <w:webHidden/>
          </w:rPr>
          <w:instrText xml:space="preserve"> PAGEREF _Toc181371610 \h </w:instrText>
        </w:r>
        <w:r w:rsidR="00CB35AC">
          <w:rPr>
            <w:noProof/>
            <w:webHidden/>
          </w:rPr>
        </w:r>
        <w:r w:rsidR="00CB35AC">
          <w:rPr>
            <w:noProof/>
            <w:webHidden/>
          </w:rPr>
          <w:fldChar w:fldCharType="separate"/>
        </w:r>
        <w:r w:rsidR="00C47A81">
          <w:rPr>
            <w:noProof/>
            <w:webHidden/>
          </w:rPr>
          <w:t>108</w:t>
        </w:r>
        <w:r w:rsidR="00CB35AC">
          <w:rPr>
            <w:noProof/>
            <w:webHidden/>
          </w:rPr>
          <w:fldChar w:fldCharType="end"/>
        </w:r>
      </w:hyperlink>
    </w:p>
    <w:p w14:paraId="5A789E9B" w14:textId="257B200E"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611" w:history="1">
        <w:r w:rsidR="00CB35AC" w:rsidRPr="00E9356D">
          <w:rPr>
            <w:rStyle w:val="Hyperlink"/>
            <w:rFonts w:cs="Arial"/>
            <w:noProof/>
          </w:rPr>
          <w:t>Examples of harmonisation in practice</w:t>
        </w:r>
        <w:r w:rsidR="00CB35AC">
          <w:rPr>
            <w:noProof/>
            <w:webHidden/>
          </w:rPr>
          <w:tab/>
        </w:r>
        <w:r w:rsidR="00CB35AC">
          <w:rPr>
            <w:noProof/>
            <w:webHidden/>
          </w:rPr>
          <w:fldChar w:fldCharType="begin"/>
        </w:r>
        <w:r w:rsidR="00CB35AC">
          <w:rPr>
            <w:noProof/>
            <w:webHidden/>
          </w:rPr>
          <w:instrText xml:space="preserve"> PAGEREF _Toc181371611 \h </w:instrText>
        </w:r>
        <w:r w:rsidR="00CB35AC">
          <w:rPr>
            <w:noProof/>
            <w:webHidden/>
          </w:rPr>
        </w:r>
        <w:r w:rsidR="00CB35AC">
          <w:rPr>
            <w:noProof/>
            <w:webHidden/>
          </w:rPr>
          <w:fldChar w:fldCharType="separate"/>
        </w:r>
        <w:r w:rsidR="00C47A81">
          <w:rPr>
            <w:noProof/>
            <w:webHidden/>
          </w:rPr>
          <w:t>109</w:t>
        </w:r>
        <w:r w:rsidR="00CB35AC">
          <w:rPr>
            <w:noProof/>
            <w:webHidden/>
          </w:rPr>
          <w:fldChar w:fldCharType="end"/>
        </w:r>
      </w:hyperlink>
    </w:p>
    <w:p w14:paraId="606983D0" w14:textId="5A0A7476"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612" w:history="1">
        <w:r w:rsidR="00CB35AC" w:rsidRPr="00E9356D">
          <w:rPr>
            <w:rStyle w:val="Hyperlink"/>
            <w:rFonts w:cs="Arial"/>
            <w:noProof/>
          </w:rPr>
          <w:t>Continuing the national conversation</w:t>
        </w:r>
        <w:r w:rsidR="00CB35AC">
          <w:rPr>
            <w:noProof/>
            <w:webHidden/>
          </w:rPr>
          <w:tab/>
        </w:r>
        <w:r w:rsidR="00CB35AC">
          <w:rPr>
            <w:noProof/>
            <w:webHidden/>
          </w:rPr>
          <w:fldChar w:fldCharType="begin"/>
        </w:r>
        <w:r w:rsidR="00CB35AC">
          <w:rPr>
            <w:noProof/>
            <w:webHidden/>
          </w:rPr>
          <w:instrText xml:space="preserve"> PAGEREF _Toc181371612 \h </w:instrText>
        </w:r>
        <w:r w:rsidR="00CB35AC">
          <w:rPr>
            <w:noProof/>
            <w:webHidden/>
          </w:rPr>
        </w:r>
        <w:r w:rsidR="00CB35AC">
          <w:rPr>
            <w:noProof/>
            <w:webHidden/>
          </w:rPr>
          <w:fldChar w:fldCharType="separate"/>
        </w:r>
        <w:r w:rsidR="00C47A81">
          <w:rPr>
            <w:noProof/>
            <w:webHidden/>
          </w:rPr>
          <w:t>113</w:t>
        </w:r>
        <w:r w:rsidR="00CB35AC">
          <w:rPr>
            <w:noProof/>
            <w:webHidden/>
          </w:rPr>
          <w:fldChar w:fldCharType="end"/>
        </w:r>
      </w:hyperlink>
    </w:p>
    <w:p w14:paraId="4AF2A4CB" w14:textId="7450E186"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613" w:history="1">
        <w:r w:rsidR="00CB35AC" w:rsidRPr="00E9356D">
          <w:rPr>
            <w:rStyle w:val="Hyperlink"/>
            <w:rFonts w:cs="Arial"/>
            <w:noProof/>
          </w:rPr>
          <w:t>The Role for a National Skills Taxonomy</w:t>
        </w:r>
        <w:r w:rsidR="00CB35AC">
          <w:rPr>
            <w:noProof/>
            <w:webHidden/>
          </w:rPr>
          <w:tab/>
        </w:r>
        <w:r w:rsidR="00CB35AC">
          <w:rPr>
            <w:noProof/>
            <w:webHidden/>
          </w:rPr>
          <w:fldChar w:fldCharType="begin"/>
        </w:r>
        <w:r w:rsidR="00CB35AC">
          <w:rPr>
            <w:noProof/>
            <w:webHidden/>
          </w:rPr>
          <w:instrText xml:space="preserve"> PAGEREF _Toc181371613 \h </w:instrText>
        </w:r>
        <w:r w:rsidR="00CB35AC">
          <w:rPr>
            <w:noProof/>
            <w:webHidden/>
          </w:rPr>
        </w:r>
        <w:r w:rsidR="00CB35AC">
          <w:rPr>
            <w:noProof/>
            <w:webHidden/>
          </w:rPr>
          <w:fldChar w:fldCharType="separate"/>
        </w:r>
        <w:r w:rsidR="00C47A81">
          <w:rPr>
            <w:noProof/>
            <w:webHidden/>
          </w:rPr>
          <w:t>114</w:t>
        </w:r>
        <w:r w:rsidR="00CB35AC">
          <w:rPr>
            <w:noProof/>
            <w:webHidden/>
          </w:rPr>
          <w:fldChar w:fldCharType="end"/>
        </w:r>
      </w:hyperlink>
    </w:p>
    <w:p w14:paraId="59A8DE9B" w14:textId="4863D5DD" w:rsidR="00CB35AC" w:rsidRDefault="00834566">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371614" w:history="1">
        <w:r w:rsidR="00CB35AC" w:rsidRPr="00E9356D">
          <w:rPr>
            <w:rStyle w:val="Hyperlink"/>
            <w:rFonts w:cs="Arial"/>
            <w:noProof/>
          </w:rPr>
          <w:t>Combining work and study</w:t>
        </w:r>
        <w:r w:rsidR="00CB35AC">
          <w:rPr>
            <w:noProof/>
            <w:webHidden/>
          </w:rPr>
          <w:tab/>
        </w:r>
        <w:r w:rsidR="00CB35AC">
          <w:rPr>
            <w:noProof/>
            <w:webHidden/>
          </w:rPr>
          <w:fldChar w:fldCharType="begin"/>
        </w:r>
        <w:r w:rsidR="00CB35AC">
          <w:rPr>
            <w:noProof/>
            <w:webHidden/>
          </w:rPr>
          <w:instrText xml:space="preserve"> PAGEREF _Toc181371614 \h </w:instrText>
        </w:r>
        <w:r w:rsidR="00CB35AC">
          <w:rPr>
            <w:noProof/>
            <w:webHidden/>
          </w:rPr>
        </w:r>
        <w:r w:rsidR="00CB35AC">
          <w:rPr>
            <w:noProof/>
            <w:webHidden/>
          </w:rPr>
          <w:fldChar w:fldCharType="separate"/>
        </w:r>
        <w:r w:rsidR="00C47A81">
          <w:rPr>
            <w:noProof/>
            <w:webHidden/>
          </w:rPr>
          <w:t>115</w:t>
        </w:r>
        <w:r w:rsidR="00CB35AC">
          <w:rPr>
            <w:noProof/>
            <w:webHidden/>
          </w:rPr>
          <w:fldChar w:fldCharType="end"/>
        </w:r>
      </w:hyperlink>
    </w:p>
    <w:p w14:paraId="3E70B880" w14:textId="455739DB"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615" w:history="1">
        <w:r w:rsidR="00CB35AC" w:rsidRPr="00E9356D">
          <w:rPr>
            <w:rStyle w:val="Hyperlink"/>
            <w:rFonts w:cs="Arial"/>
            <w:noProof/>
          </w:rPr>
          <w:t>Work-integrated learning</w:t>
        </w:r>
        <w:r w:rsidR="00CB35AC">
          <w:rPr>
            <w:noProof/>
            <w:webHidden/>
          </w:rPr>
          <w:tab/>
        </w:r>
        <w:r w:rsidR="00CB35AC">
          <w:rPr>
            <w:noProof/>
            <w:webHidden/>
          </w:rPr>
          <w:fldChar w:fldCharType="begin"/>
        </w:r>
        <w:r w:rsidR="00CB35AC">
          <w:rPr>
            <w:noProof/>
            <w:webHidden/>
          </w:rPr>
          <w:instrText xml:space="preserve"> PAGEREF _Toc181371615 \h </w:instrText>
        </w:r>
        <w:r w:rsidR="00CB35AC">
          <w:rPr>
            <w:noProof/>
            <w:webHidden/>
          </w:rPr>
        </w:r>
        <w:r w:rsidR="00CB35AC">
          <w:rPr>
            <w:noProof/>
            <w:webHidden/>
          </w:rPr>
          <w:fldChar w:fldCharType="separate"/>
        </w:r>
        <w:r w:rsidR="00C47A81">
          <w:rPr>
            <w:noProof/>
            <w:webHidden/>
          </w:rPr>
          <w:t>115</w:t>
        </w:r>
        <w:r w:rsidR="00CB35AC">
          <w:rPr>
            <w:noProof/>
            <w:webHidden/>
          </w:rPr>
          <w:fldChar w:fldCharType="end"/>
        </w:r>
      </w:hyperlink>
    </w:p>
    <w:p w14:paraId="0562D853" w14:textId="1DD72F8D" w:rsidR="00CB35AC" w:rsidRDefault="00834566">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371616" w:history="1">
        <w:r w:rsidR="00CB35AC" w:rsidRPr="00E9356D">
          <w:rPr>
            <w:rStyle w:val="Hyperlink"/>
            <w:rFonts w:cs="Arial"/>
            <w:noProof/>
          </w:rPr>
          <w:t>VET workforce development</w:t>
        </w:r>
        <w:r w:rsidR="00CB35AC">
          <w:rPr>
            <w:noProof/>
            <w:webHidden/>
          </w:rPr>
          <w:tab/>
        </w:r>
        <w:r w:rsidR="00CB35AC">
          <w:rPr>
            <w:noProof/>
            <w:webHidden/>
          </w:rPr>
          <w:fldChar w:fldCharType="begin"/>
        </w:r>
        <w:r w:rsidR="00CB35AC">
          <w:rPr>
            <w:noProof/>
            <w:webHidden/>
          </w:rPr>
          <w:instrText xml:space="preserve"> PAGEREF _Toc181371616 \h </w:instrText>
        </w:r>
        <w:r w:rsidR="00CB35AC">
          <w:rPr>
            <w:noProof/>
            <w:webHidden/>
          </w:rPr>
        </w:r>
        <w:r w:rsidR="00CB35AC">
          <w:rPr>
            <w:noProof/>
            <w:webHidden/>
          </w:rPr>
          <w:fldChar w:fldCharType="separate"/>
        </w:r>
        <w:r w:rsidR="00C47A81">
          <w:rPr>
            <w:noProof/>
            <w:webHidden/>
          </w:rPr>
          <w:t>119</w:t>
        </w:r>
        <w:r w:rsidR="00CB35AC">
          <w:rPr>
            <w:noProof/>
            <w:webHidden/>
          </w:rPr>
          <w:fldChar w:fldCharType="end"/>
        </w:r>
      </w:hyperlink>
    </w:p>
    <w:p w14:paraId="3C11A91E" w14:textId="5A315CF2"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617" w:history="1">
        <w:r w:rsidR="00CB35AC" w:rsidRPr="00E9356D">
          <w:rPr>
            <w:rStyle w:val="Hyperlink"/>
            <w:rFonts w:cs="Arial"/>
            <w:noProof/>
          </w:rPr>
          <w:t>Challenges in the sector</w:t>
        </w:r>
        <w:r w:rsidR="00CB35AC">
          <w:rPr>
            <w:noProof/>
            <w:webHidden/>
          </w:rPr>
          <w:tab/>
        </w:r>
        <w:r w:rsidR="00CB35AC">
          <w:rPr>
            <w:noProof/>
            <w:webHidden/>
          </w:rPr>
          <w:fldChar w:fldCharType="begin"/>
        </w:r>
        <w:r w:rsidR="00CB35AC">
          <w:rPr>
            <w:noProof/>
            <w:webHidden/>
          </w:rPr>
          <w:instrText xml:space="preserve"> PAGEREF _Toc181371617 \h </w:instrText>
        </w:r>
        <w:r w:rsidR="00CB35AC">
          <w:rPr>
            <w:noProof/>
            <w:webHidden/>
          </w:rPr>
        </w:r>
        <w:r w:rsidR="00CB35AC">
          <w:rPr>
            <w:noProof/>
            <w:webHidden/>
          </w:rPr>
          <w:fldChar w:fldCharType="separate"/>
        </w:r>
        <w:r w:rsidR="00C47A81">
          <w:rPr>
            <w:noProof/>
            <w:webHidden/>
          </w:rPr>
          <w:t>120</w:t>
        </w:r>
        <w:r w:rsidR="00CB35AC">
          <w:rPr>
            <w:noProof/>
            <w:webHidden/>
          </w:rPr>
          <w:fldChar w:fldCharType="end"/>
        </w:r>
      </w:hyperlink>
    </w:p>
    <w:p w14:paraId="0C91A9E3" w14:textId="2E5B0780"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618" w:history="1">
        <w:r w:rsidR="00CB35AC" w:rsidRPr="00E9356D">
          <w:rPr>
            <w:rStyle w:val="Hyperlink"/>
            <w:rFonts w:cs="Arial"/>
            <w:noProof/>
          </w:rPr>
          <w:t>Understanding the workforce</w:t>
        </w:r>
        <w:r w:rsidR="00CB35AC">
          <w:rPr>
            <w:noProof/>
            <w:webHidden/>
          </w:rPr>
          <w:tab/>
        </w:r>
        <w:r w:rsidR="00CB35AC">
          <w:rPr>
            <w:noProof/>
            <w:webHidden/>
          </w:rPr>
          <w:fldChar w:fldCharType="begin"/>
        </w:r>
        <w:r w:rsidR="00CB35AC">
          <w:rPr>
            <w:noProof/>
            <w:webHidden/>
          </w:rPr>
          <w:instrText xml:space="preserve"> PAGEREF _Toc181371618 \h </w:instrText>
        </w:r>
        <w:r w:rsidR="00CB35AC">
          <w:rPr>
            <w:noProof/>
            <w:webHidden/>
          </w:rPr>
        </w:r>
        <w:r w:rsidR="00CB35AC">
          <w:rPr>
            <w:noProof/>
            <w:webHidden/>
          </w:rPr>
          <w:fldChar w:fldCharType="separate"/>
        </w:r>
        <w:r w:rsidR="00C47A81">
          <w:rPr>
            <w:noProof/>
            <w:webHidden/>
          </w:rPr>
          <w:t>120</w:t>
        </w:r>
        <w:r w:rsidR="00CB35AC">
          <w:rPr>
            <w:noProof/>
            <w:webHidden/>
          </w:rPr>
          <w:fldChar w:fldCharType="end"/>
        </w:r>
      </w:hyperlink>
    </w:p>
    <w:p w14:paraId="4B2F0F9A" w14:textId="05AACF28"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619" w:history="1">
        <w:r w:rsidR="00CB35AC" w:rsidRPr="00E9356D">
          <w:rPr>
            <w:rStyle w:val="Hyperlink"/>
            <w:rFonts w:cs="Arial"/>
            <w:noProof/>
          </w:rPr>
          <w:t>First Nations VET Workforce</w:t>
        </w:r>
        <w:r w:rsidR="00CB35AC">
          <w:rPr>
            <w:noProof/>
            <w:webHidden/>
          </w:rPr>
          <w:tab/>
        </w:r>
        <w:r w:rsidR="00CB35AC">
          <w:rPr>
            <w:noProof/>
            <w:webHidden/>
          </w:rPr>
          <w:fldChar w:fldCharType="begin"/>
        </w:r>
        <w:r w:rsidR="00CB35AC">
          <w:rPr>
            <w:noProof/>
            <w:webHidden/>
          </w:rPr>
          <w:instrText xml:space="preserve"> PAGEREF _Toc181371619 \h </w:instrText>
        </w:r>
        <w:r w:rsidR="00CB35AC">
          <w:rPr>
            <w:noProof/>
            <w:webHidden/>
          </w:rPr>
        </w:r>
        <w:r w:rsidR="00CB35AC">
          <w:rPr>
            <w:noProof/>
            <w:webHidden/>
          </w:rPr>
          <w:fldChar w:fldCharType="separate"/>
        </w:r>
        <w:r w:rsidR="00C47A81">
          <w:rPr>
            <w:noProof/>
            <w:webHidden/>
          </w:rPr>
          <w:t>122</w:t>
        </w:r>
        <w:r w:rsidR="00CB35AC">
          <w:rPr>
            <w:noProof/>
            <w:webHidden/>
          </w:rPr>
          <w:fldChar w:fldCharType="end"/>
        </w:r>
      </w:hyperlink>
    </w:p>
    <w:p w14:paraId="6776723E" w14:textId="37BA3DD0" w:rsidR="00CB35AC" w:rsidRDefault="00834566">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371620" w:history="1">
        <w:r w:rsidR="00CB35AC" w:rsidRPr="00E9356D">
          <w:rPr>
            <w:rStyle w:val="Hyperlink"/>
            <w:rFonts w:cs="Arial"/>
            <w:noProof/>
          </w:rPr>
          <w:t>Skilled migration</w:t>
        </w:r>
        <w:r w:rsidR="00CB35AC">
          <w:rPr>
            <w:noProof/>
            <w:webHidden/>
          </w:rPr>
          <w:tab/>
        </w:r>
        <w:r w:rsidR="00CB35AC">
          <w:rPr>
            <w:noProof/>
            <w:webHidden/>
          </w:rPr>
          <w:fldChar w:fldCharType="begin"/>
        </w:r>
        <w:r w:rsidR="00CB35AC">
          <w:rPr>
            <w:noProof/>
            <w:webHidden/>
          </w:rPr>
          <w:instrText xml:space="preserve"> PAGEREF _Toc181371620 \h </w:instrText>
        </w:r>
        <w:r w:rsidR="00CB35AC">
          <w:rPr>
            <w:noProof/>
            <w:webHidden/>
          </w:rPr>
        </w:r>
        <w:r w:rsidR="00CB35AC">
          <w:rPr>
            <w:noProof/>
            <w:webHidden/>
          </w:rPr>
          <w:fldChar w:fldCharType="separate"/>
        </w:r>
        <w:r w:rsidR="00C47A81">
          <w:rPr>
            <w:noProof/>
            <w:webHidden/>
          </w:rPr>
          <w:t>123</w:t>
        </w:r>
        <w:r w:rsidR="00CB35AC">
          <w:rPr>
            <w:noProof/>
            <w:webHidden/>
          </w:rPr>
          <w:fldChar w:fldCharType="end"/>
        </w:r>
      </w:hyperlink>
    </w:p>
    <w:p w14:paraId="4609928F" w14:textId="4288E037" w:rsidR="00CB35AC" w:rsidRDefault="00834566">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371621" w:history="1">
        <w:r w:rsidR="00CB35AC" w:rsidRPr="00E9356D">
          <w:rPr>
            <w:rStyle w:val="Hyperlink"/>
            <w:rFonts w:cs="Arial"/>
            <w:noProof/>
          </w:rPr>
          <w:t>In summary</w:t>
        </w:r>
        <w:r w:rsidR="00CB35AC">
          <w:rPr>
            <w:noProof/>
            <w:webHidden/>
          </w:rPr>
          <w:tab/>
        </w:r>
        <w:r w:rsidR="00CB35AC">
          <w:rPr>
            <w:noProof/>
            <w:webHidden/>
          </w:rPr>
          <w:fldChar w:fldCharType="begin"/>
        </w:r>
        <w:r w:rsidR="00CB35AC">
          <w:rPr>
            <w:noProof/>
            <w:webHidden/>
          </w:rPr>
          <w:instrText xml:space="preserve"> PAGEREF _Toc181371621 \h </w:instrText>
        </w:r>
        <w:r w:rsidR="00CB35AC">
          <w:rPr>
            <w:noProof/>
            <w:webHidden/>
          </w:rPr>
        </w:r>
        <w:r w:rsidR="00CB35AC">
          <w:rPr>
            <w:noProof/>
            <w:webHidden/>
          </w:rPr>
          <w:fldChar w:fldCharType="separate"/>
        </w:r>
        <w:r w:rsidR="00C47A81">
          <w:rPr>
            <w:noProof/>
            <w:webHidden/>
          </w:rPr>
          <w:t>124</w:t>
        </w:r>
        <w:r w:rsidR="00CB35AC">
          <w:rPr>
            <w:noProof/>
            <w:webHidden/>
          </w:rPr>
          <w:fldChar w:fldCharType="end"/>
        </w:r>
      </w:hyperlink>
    </w:p>
    <w:p w14:paraId="78485036" w14:textId="7EF1FB21" w:rsidR="00CB35AC" w:rsidRDefault="00834566">
      <w:pPr>
        <w:pStyle w:val="TOC1"/>
        <w:tabs>
          <w:tab w:val="right" w:leader="dot" w:pos="9016"/>
        </w:tabs>
        <w:rPr>
          <w:rFonts w:asciiTheme="minorHAnsi" w:eastAsiaTheme="minorEastAsia" w:hAnsiTheme="minorHAnsi"/>
          <w:b w:val="0"/>
          <w:noProof/>
          <w:color w:val="auto"/>
          <w:kern w:val="2"/>
          <w:sz w:val="24"/>
          <w:szCs w:val="24"/>
          <w:lang w:eastAsia="en-AU"/>
          <w14:ligatures w14:val="standardContextual"/>
        </w:rPr>
      </w:pPr>
      <w:hyperlink w:anchor="_Toc181371622" w:history="1">
        <w:r w:rsidR="00CB35AC" w:rsidRPr="00E9356D">
          <w:rPr>
            <w:rStyle w:val="Hyperlink"/>
            <w:rFonts w:cs="Arial"/>
            <w:noProof/>
          </w:rPr>
          <w:t>Chapter 5: Activating an informed dialogue</w:t>
        </w:r>
        <w:r w:rsidR="00CB35AC">
          <w:rPr>
            <w:noProof/>
            <w:webHidden/>
          </w:rPr>
          <w:tab/>
        </w:r>
        <w:r w:rsidR="00CB35AC">
          <w:rPr>
            <w:noProof/>
            <w:webHidden/>
          </w:rPr>
          <w:fldChar w:fldCharType="begin"/>
        </w:r>
        <w:r w:rsidR="00CB35AC">
          <w:rPr>
            <w:noProof/>
            <w:webHidden/>
          </w:rPr>
          <w:instrText xml:space="preserve"> PAGEREF _Toc181371622 \h </w:instrText>
        </w:r>
        <w:r w:rsidR="00CB35AC">
          <w:rPr>
            <w:noProof/>
            <w:webHidden/>
          </w:rPr>
        </w:r>
        <w:r w:rsidR="00CB35AC">
          <w:rPr>
            <w:noProof/>
            <w:webHidden/>
          </w:rPr>
          <w:fldChar w:fldCharType="separate"/>
        </w:r>
        <w:r w:rsidR="00C47A81">
          <w:rPr>
            <w:noProof/>
            <w:webHidden/>
          </w:rPr>
          <w:t>125</w:t>
        </w:r>
        <w:r w:rsidR="00CB35AC">
          <w:rPr>
            <w:noProof/>
            <w:webHidden/>
          </w:rPr>
          <w:fldChar w:fldCharType="end"/>
        </w:r>
      </w:hyperlink>
    </w:p>
    <w:p w14:paraId="093A26C6" w14:textId="30CF7230" w:rsidR="00CB35AC" w:rsidRDefault="00834566">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371623" w:history="1">
        <w:r w:rsidR="00CB35AC" w:rsidRPr="00E9356D">
          <w:rPr>
            <w:rStyle w:val="Hyperlink"/>
            <w:rFonts w:cs="Arial"/>
            <w:noProof/>
          </w:rPr>
          <w:t>How we work</w:t>
        </w:r>
        <w:r w:rsidR="00CB35AC">
          <w:rPr>
            <w:noProof/>
            <w:webHidden/>
          </w:rPr>
          <w:tab/>
        </w:r>
        <w:r w:rsidR="00CB35AC">
          <w:rPr>
            <w:noProof/>
            <w:webHidden/>
          </w:rPr>
          <w:fldChar w:fldCharType="begin"/>
        </w:r>
        <w:r w:rsidR="00CB35AC">
          <w:rPr>
            <w:noProof/>
            <w:webHidden/>
          </w:rPr>
          <w:instrText xml:space="preserve"> PAGEREF _Toc181371623 \h </w:instrText>
        </w:r>
        <w:r w:rsidR="00CB35AC">
          <w:rPr>
            <w:noProof/>
            <w:webHidden/>
          </w:rPr>
        </w:r>
        <w:r w:rsidR="00CB35AC">
          <w:rPr>
            <w:noProof/>
            <w:webHidden/>
          </w:rPr>
          <w:fldChar w:fldCharType="separate"/>
        </w:r>
        <w:r w:rsidR="00C47A81">
          <w:rPr>
            <w:noProof/>
            <w:webHidden/>
          </w:rPr>
          <w:t>127</w:t>
        </w:r>
        <w:r w:rsidR="00CB35AC">
          <w:rPr>
            <w:noProof/>
            <w:webHidden/>
          </w:rPr>
          <w:fldChar w:fldCharType="end"/>
        </w:r>
      </w:hyperlink>
    </w:p>
    <w:p w14:paraId="16EE36D9" w14:textId="721D6132"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624" w:history="1">
        <w:r w:rsidR="00CB35AC" w:rsidRPr="00E9356D">
          <w:rPr>
            <w:rStyle w:val="Hyperlink"/>
            <w:rFonts w:cs="Arial"/>
            <w:noProof/>
          </w:rPr>
          <w:t>Ministerial Advisory Board</w:t>
        </w:r>
        <w:r w:rsidR="00CB35AC">
          <w:rPr>
            <w:noProof/>
            <w:webHidden/>
          </w:rPr>
          <w:tab/>
        </w:r>
        <w:r w:rsidR="00CB35AC">
          <w:rPr>
            <w:noProof/>
            <w:webHidden/>
          </w:rPr>
          <w:fldChar w:fldCharType="begin"/>
        </w:r>
        <w:r w:rsidR="00CB35AC">
          <w:rPr>
            <w:noProof/>
            <w:webHidden/>
          </w:rPr>
          <w:instrText xml:space="preserve"> PAGEREF _Toc181371624 \h </w:instrText>
        </w:r>
        <w:r w:rsidR="00CB35AC">
          <w:rPr>
            <w:noProof/>
            <w:webHidden/>
          </w:rPr>
        </w:r>
        <w:r w:rsidR="00CB35AC">
          <w:rPr>
            <w:noProof/>
            <w:webHidden/>
          </w:rPr>
          <w:fldChar w:fldCharType="separate"/>
        </w:r>
        <w:r w:rsidR="00C47A81">
          <w:rPr>
            <w:noProof/>
            <w:webHidden/>
          </w:rPr>
          <w:t>127</w:t>
        </w:r>
        <w:r w:rsidR="00CB35AC">
          <w:rPr>
            <w:noProof/>
            <w:webHidden/>
          </w:rPr>
          <w:fldChar w:fldCharType="end"/>
        </w:r>
      </w:hyperlink>
    </w:p>
    <w:p w14:paraId="4BBAF028" w14:textId="2461FD4F"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625" w:history="1">
        <w:r w:rsidR="00CB35AC" w:rsidRPr="00E9356D">
          <w:rPr>
            <w:rStyle w:val="Hyperlink"/>
            <w:rFonts w:cs="Arial"/>
            <w:noProof/>
          </w:rPr>
          <w:t>State and territory partnerships</w:t>
        </w:r>
        <w:r w:rsidR="00CB35AC">
          <w:rPr>
            <w:noProof/>
            <w:webHidden/>
          </w:rPr>
          <w:tab/>
        </w:r>
        <w:r w:rsidR="00CB35AC">
          <w:rPr>
            <w:noProof/>
            <w:webHidden/>
          </w:rPr>
          <w:fldChar w:fldCharType="begin"/>
        </w:r>
        <w:r w:rsidR="00CB35AC">
          <w:rPr>
            <w:noProof/>
            <w:webHidden/>
          </w:rPr>
          <w:instrText xml:space="preserve"> PAGEREF _Toc181371625 \h </w:instrText>
        </w:r>
        <w:r w:rsidR="00CB35AC">
          <w:rPr>
            <w:noProof/>
            <w:webHidden/>
          </w:rPr>
        </w:r>
        <w:r w:rsidR="00CB35AC">
          <w:rPr>
            <w:noProof/>
            <w:webHidden/>
          </w:rPr>
          <w:fldChar w:fldCharType="separate"/>
        </w:r>
        <w:r w:rsidR="00C47A81">
          <w:rPr>
            <w:noProof/>
            <w:webHidden/>
          </w:rPr>
          <w:t>127</w:t>
        </w:r>
        <w:r w:rsidR="00CB35AC">
          <w:rPr>
            <w:noProof/>
            <w:webHidden/>
          </w:rPr>
          <w:fldChar w:fldCharType="end"/>
        </w:r>
      </w:hyperlink>
    </w:p>
    <w:p w14:paraId="5D9C19C1" w14:textId="46BEAE27"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626" w:history="1">
        <w:r w:rsidR="00CB35AC" w:rsidRPr="00E9356D">
          <w:rPr>
            <w:rStyle w:val="Hyperlink"/>
            <w:rFonts w:cs="Arial"/>
            <w:noProof/>
          </w:rPr>
          <w:t>Jobs and Skills Councils</w:t>
        </w:r>
        <w:r w:rsidR="00CB35AC">
          <w:rPr>
            <w:noProof/>
            <w:webHidden/>
          </w:rPr>
          <w:tab/>
        </w:r>
        <w:r w:rsidR="00CB35AC">
          <w:rPr>
            <w:noProof/>
            <w:webHidden/>
          </w:rPr>
          <w:fldChar w:fldCharType="begin"/>
        </w:r>
        <w:r w:rsidR="00CB35AC">
          <w:rPr>
            <w:noProof/>
            <w:webHidden/>
          </w:rPr>
          <w:instrText xml:space="preserve"> PAGEREF _Toc181371626 \h </w:instrText>
        </w:r>
        <w:r w:rsidR="00CB35AC">
          <w:rPr>
            <w:noProof/>
            <w:webHidden/>
          </w:rPr>
        </w:r>
        <w:r w:rsidR="00CB35AC">
          <w:rPr>
            <w:noProof/>
            <w:webHidden/>
          </w:rPr>
          <w:fldChar w:fldCharType="separate"/>
        </w:r>
        <w:r w:rsidR="00C47A81">
          <w:rPr>
            <w:noProof/>
            <w:webHidden/>
          </w:rPr>
          <w:t>128</w:t>
        </w:r>
        <w:r w:rsidR="00CB35AC">
          <w:rPr>
            <w:noProof/>
            <w:webHidden/>
          </w:rPr>
          <w:fldChar w:fldCharType="end"/>
        </w:r>
      </w:hyperlink>
    </w:p>
    <w:p w14:paraId="4894D82E" w14:textId="5BAFA38D"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627" w:history="1">
        <w:r w:rsidR="00CB35AC" w:rsidRPr="00E9356D">
          <w:rPr>
            <w:rStyle w:val="Hyperlink"/>
            <w:rFonts w:cs="Arial"/>
            <w:noProof/>
          </w:rPr>
          <w:t>Commonwealth Interdepartmental Committee</w:t>
        </w:r>
        <w:r w:rsidR="00CB35AC">
          <w:rPr>
            <w:noProof/>
            <w:webHidden/>
          </w:rPr>
          <w:tab/>
        </w:r>
        <w:r w:rsidR="00CB35AC">
          <w:rPr>
            <w:noProof/>
            <w:webHidden/>
          </w:rPr>
          <w:fldChar w:fldCharType="begin"/>
        </w:r>
        <w:r w:rsidR="00CB35AC">
          <w:rPr>
            <w:noProof/>
            <w:webHidden/>
          </w:rPr>
          <w:instrText xml:space="preserve"> PAGEREF _Toc181371627 \h </w:instrText>
        </w:r>
        <w:r w:rsidR="00CB35AC">
          <w:rPr>
            <w:noProof/>
            <w:webHidden/>
          </w:rPr>
        </w:r>
        <w:r w:rsidR="00CB35AC">
          <w:rPr>
            <w:noProof/>
            <w:webHidden/>
          </w:rPr>
          <w:fldChar w:fldCharType="separate"/>
        </w:r>
        <w:r w:rsidR="00C47A81">
          <w:rPr>
            <w:noProof/>
            <w:webHidden/>
          </w:rPr>
          <w:t>130</w:t>
        </w:r>
        <w:r w:rsidR="00CB35AC">
          <w:rPr>
            <w:noProof/>
            <w:webHidden/>
          </w:rPr>
          <w:fldChar w:fldCharType="end"/>
        </w:r>
      </w:hyperlink>
    </w:p>
    <w:p w14:paraId="1136391A" w14:textId="4A7F381A" w:rsidR="00CB35AC" w:rsidRDefault="00834566">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371628" w:history="1">
        <w:r w:rsidR="00CB35AC" w:rsidRPr="00E9356D">
          <w:rPr>
            <w:rStyle w:val="Hyperlink"/>
            <w:rFonts w:cs="Arial"/>
            <w:noProof/>
          </w:rPr>
          <w:t>How we listen</w:t>
        </w:r>
        <w:r w:rsidR="00CB35AC">
          <w:rPr>
            <w:noProof/>
            <w:webHidden/>
          </w:rPr>
          <w:tab/>
        </w:r>
        <w:r w:rsidR="00CB35AC">
          <w:rPr>
            <w:noProof/>
            <w:webHidden/>
          </w:rPr>
          <w:fldChar w:fldCharType="begin"/>
        </w:r>
        <w:r w:rsidR="00CB35AC">
          <w:rPr>
            <w:noProof/>
            <w:webHidden/>
          </w:rPr>
          <w:instrText xml:space="preserve"> PAGEREF _Toc181371628 \h </w:instrText>
        </w:r>
        <w:r w:rsidR="00CB35AC">
          <w:rPr>
            <w:noProof/>
            <w:webHidden/>
          </w:rPr>
        </w:r>
        <w:r w:rsidR="00CB35AC">
          <w:rPr>
            <w:noProof/>
            <w:webHidden/>
          </w:rPr>
          <w:fldChar w:fldCharType="separate"/>
        </w:r>
        <w:r w:rsidR="00C47A81">
          <w:rPr>
            <w:noProof/>
            <w:webHidden/>
          </w:rPr>
          <w:t>130</w:t>
        </w:r>
        <w:r w:rsidR="00CB35AC">
          <w:rPr>
            <w:noProof/>
            <w:webHidden/>
          </w:rPr>
          <w:fldChar w:fldCharType="end"/>
        </w:r>
      </w:hyperlink>
    </w:p>
    <w:p w14:paraId="68394C7F" w14:textId="1C8EB68B"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629" w:history="1">
        <w:r w:rsidR="00CB35AC" w:rsidRPr="00E9356D">
          <w:rPr>
            <w:rStyle w:val="Hyperlink"/>
            <w:rFonts w:cs="Arial"/>
            <w:noProof/>
          </w:rPr>
          <w:t>Steering groups supporting our work</w:t>
        </w:r>
        <w:r w:rsidR="00CB35AC">
          <w:rPr>
            <w:noProof/>
            <w:webHidden/>
          </w:rPr>
          <w:tab/>
        </w:r>
        <w:r w:rsidR="00CB35AC">
          <w:rPr>
            <w:noProof/>
            <w:webHidden/>
          </w:rPr>
          <w:fldChar w:fldCharType="begin"/>
        </w:r>
        <w:r w:rsidR="00CB35AC">
          <w:rPr>
            <w:noProof/>
            <w:webHidden/>
          </w:rPr>
          <w:instrText xml:space="preserve"> PAGEREF _Toc181371629 \h </w:instrText>
        </w:r>
        <w:r w:rsidR="00CB35AC">
          <w:rPr>
            <w:noProof/>
            <w:webHidden/>
          </w:rPr>
        </w:r>
        <w:r w:rsidR="00CB35AC">
          <w:rPr>
            <w:noProof/>
            <w:webHidden/>
          </w:rPr>
          <w:fldChar w:fldCharType="separate"/>
        </w:r>
        <w:r w:rsidR="00C47A81">
          <w:rPr>
            <w:noProof/>
            <w:webHidden/>
          </w:rPr>
          <w:t>131</w:t>
        </w:r>
        <w:r w:rsidR="00CB35AC">
          <w:rPr>
            <w:noProof/>
            <w:webHidden/>
          </w:rPr>
          <w:fldChar w:fldCharType="end"/>
        </w:r>
      </w:hyperlink>
    </w:p>
    <w:p w14:paraId="79388ADC" w14:textId="0314504A"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630" w:history="1">
        <w:r w:rsidR="00CB35AC" w:rsidRPr="00E9356D">
          <w:rPr>
            <w:rStyle w:val="Hyperlink"/>
            <w:rFonts w:cs="Arial"/>
            <w:noProof/>
          </w:rPr>
          <w:t>Consultations and ongoing feedback</w:t>
        </w:r>
        <w:r w:rsidR="00CB35AC">
          <w:rPr>
            <w:noProof/>
            <w:webHidden/>
          </w:rPr>
          <w:tab/>
        </w:r>
        <w:r w:rsidR="00CB35AC">
          <w:rPr>
            <w:noProof/>
            <w:webHidden/>
          </w:rPr>
          <w:fldChar w:fldCharType="begin"/>
        </w:r>
        <w:r w:rsidR="00CB35AC">
          <w:rPr>
            <w:noProof/>
            <w:webHidden/>
          </w:rPr>
          <w:instrText xml:space="preserve"> PAGEREF _Toc181371630 \h </w:instrText>
        </w:r>
        <w:r w:rsidR="00CB35AC">
          <w:rPr>
            <w:noProof/>
            <w:webHidden/>
          </w:rPr>
        </w:r>
        <w:r w:rsidR="00CB35AC">
          <w:rPr>
            <w:noProof/>
            <w:webHidden/>
          </w:rPr>
          <w:fldChar w:fldCharType="separate"/>
        </w:r>
        <w:r w:rsidR="00C47A81">
          <w:rPr>
            <w:noProof/>
            <w:webHidden/>
          </w:rPr>
          <w:t>131</w:t>
        </w:r>
        <w:r w:rsidR="00CB35AC">
          <w:rPr>
            <w:noProof/>
            <w:webHidden/>
          </w:rPr>
          <w:fldChar w:fldCharType="end"/>
        </w:r>
      </w:hyperlink>
    </w:p>
    <w:p w14:paraId="09341B40" w14:textId="1295E5EE"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631" w:history="1">
        <w:r w:rsidR="00CB35AC" w:rsidRPr="00E9356D">
          <w:rPr>
            <w:rStyle w:val="Hyperlink"/>
            <w:rFonts w:cs="Arial"/>
            <w:noProof/>
          </w:rPr>
          <w:t>Ongoing engagement mechanisms</w:t>
        </w:r>
        <w:r w:rsidR="00CB35AC">
          <w:rPr>
            <w:noProof/>
            <w:webHidden/>
          </w:rPr>
          <w:tab/>
        </w:r>
        <w:r w:rsidR="00CB35AC">
          <w:rPr>
            <w:noProof/>
            <w:webHidden/>
          </w:rPr>
          <w:fldChar w:fldCharType="begin"/>
        </w:r>
        <w:r w:rsidR="00CB35AC">
          <w:rPr>
            <w:noProof/>
            <w:webHidden/>
          </w:rPr>
          <w:instrText xml:space="preserve"> PAGEREF _Toc181371631 \h </w:instrText>
        </w:r>
        <w:r w:rsidR="00CB35AC">
          <w:rPr>
            <w:noProof/>
            <w:webHidden/>
          </w:rPr>
        </w:r>
        <w:r w:rsidR="00CB35AC">
          <w:rPr>
            <w:noProof/>
            <w:webHidden/>
          </w:rPr>
          <w:fldChar w:fldCharType="separate"/>
        </w:r>
        <w:r w:rsidR="00C47A81">
          <w:rPr>
            <w:noProof/>
            <w:webHidden/>
          </w:rPr>
          <w:t>132</w:t>
        </w:r>
        <w:r w:rsidR="00CB35AC">
          <w:rPr>
            <w:noProof/>
            <w:webHidden/>
          </w:rPr>
          <w:fldChar w:fldCharType="end"/>
        </w:r>
      </w:hyperlink>
    </w:p>
    <w:p w14:paraId="2F062D82" w14:textId="478BB0C3" w:rsidR="00CB35AC" w:rsidRDefault="00834566">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371632" w:history="1">
        <w:r w:rsidR="00CB35AC" w:rsidRPr="00E9356D">
          <w:rPr>
            <w:rStyle w:val="Hyperlink"/>
            <w:rFonts w:cs="Arial"/>
            <w:noProof/>
          </w:rPr>
          <w:t>How we have impact</w:t>
        </w:r>
        <w:r w:rsidR="00CB35AC">
          <w:rPr>
            <w:noProof/>
            <w:webHidden/>
          </w:rPr>
          <w:tab/>
        </w:r>
        <w:r w:rsidR="00CB35AC">
          <w:rPr>
            <w:noProof/>
            <w:webHidden/>
          </w:rPr>
          <w:fldChar w:fldCharType="begin"/>
        </w:r>
        <w:r w:rsidR="00CB35AC">
          <w:rPr>
            <w:noProof/>
            <w:webHidden/>
          </w:rPr>
          <w:instrText xml:space="preserve"> PAGEREF _Toc181371632 \h </w:instrText>
        </w:r>
        <w:r w:rsidR="00CB35AC">
          <w:rPr>
            <w:noProof/>
            <w:webHidden/>
          </w:rPr>
        </w:r>
        <w:r w:rsidR="00CB35AC">
          <w:rPr>
            <w:noProof/>
            <w:webHidden/>
          </w:rPr>
          <w:fldChar w:fldCharType="separate"/>
        </w:r>
        <w:r w:rsidR="00C47A81">
          <w:rPr>
            <w:noProof/>
            <w:webHidden/>
          </w:rPr>
          <w:t>132</w:t>
        </w:r>
        <w:r w:rsidR="00CB35AC">
          <w:rPr>
            <w:noProof/>
            <w:webHidden/>
          </w:rPr>
          <w:fldChar w:fldCharType="end"/>
        </w:r>
      </w:hyperlink>
    </w:p>
    <w:p w14:paraId="1B0CA41A" w14:textId="5753AC63"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633" w:history="1">
        <w:r w:rsidR="00CB35AC" w:rsidRPr="00E9356D">
          <w:rPr>
            <w:rStyle w:val="Hyperlink"/>
            <w:rFonts w:cs="Arial"/>
            <w:noProof/>
          </w:rPr>
          <w:t>Labour market and skills analysis and products</w:t>
        </w:r>
        <w:r w:rsidR="00CB35AC">
          <w:rPr>
            <w:noProof/>
            <w:webHidden/>
          </w:rPr>
          <w:tab/>
        </w:r>
        <w:r w:rsidR="00CB35AC">
          <w:rPr>
            <w:noProof/>
            <w:webHidden/>
          </w:rPr>
          <w:fldChar w:fldCharType="begin"/>
        </w:r>
        <w:r w:rsidR="00CB35AC">
          <w:rPr>
            <w:noProof/>
            <w:webHidden/>
          </w:rPr>
          <w:instrText xml:space="preserve"> PAGEREF _Toc181371633 \h </w:instrText>
        </w:r>
        <w:r w:rsidR="00CB35AC">
          <w:rPr>
            <w:noProof/>
            <w:webHidden/>
          </w:rPr>
        </w:r>
        <w:r w:rsidR="00CB35AC">
          <w:rPr>
            <w:noProof/>
            <w:webHidden/>
          </w:rPr>
          <w:fldChar w:fldCharType="separate"/>
        </w:r>
        <w:r w:rsidR="00C47A81">
          <w:rPr>
            <w:noProof/>
            <w:webHidden/>
          </w:rPr>
          <w:t>132</w:t>
        </w:r>
        <w:r w:rsidR="00CB35AC">
          <w:rPr>
            <w:noProof/>
            <w:webHidden/>
          </w:rPr>
          <w:fldChar w:fldCharType="end"/>
        </w:r>
      </w:hyperlink>
    </w:p>
    <w:p w14:paraId="4F00450C" w14:textId="3E7D05FF"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634" w:history="1">
        <w:r w:rsidR="00CB35AC" w:rsidRPr="00E9356D">
          <w:rPr>
            <w:rStyle w:val="Hyperlink"/>
            <w:rFonts w:cs="Arial"/>
            <w:noProof/>
          </w:rPr>
          <w:t>Strategic advice and deliverables</w:t>
        </w:r>
        <w:r w:rsidR="00CB35AC">
          <w:rPr>
            <w:noProof/>
            <w:webHidden/>
          </w:rPr>
          <w:tab/>
        </w:r>
        <w:r w:rsidR="00CB35AC">
          <w:rPr>
            <w:noProof/>
            <w:webHidden/>
          </w:rPr>
          <w:fldChar w:fldCharType="begin"/>
        </w:r>
        <w:r w:rsidR="00CB35AC">
          <w:rPr>
            <w:noProof/>
            <w:webHidden/>
          </w:rPr>
          <w:instrText xml:space="preserve"> PAGEREF _Toc181371634 \h </w:instrText>
        </w:r>
        <w:r w:rsidR="00CB35AC">
          <w:rPr>
            <w:noProof/>
            <w:webHidden/>
          </w:rPr>
        </w:r>
        <w:r w:rsidR="00CB35AC">
          <w:rPr>
            <w:noProof/>
            <w:webHidden/>
          </w:rPr>
          <w:fldChar w:fldCharType="separate"/>
        </w:r>
        <w:r w:rsidR="00C47A81">
          <w:rPr>
            <w:noProof/>
            <w:webHidden/>
          </w:rPr>
          <w:t>134</w:t>
        </w:r>
        <w:r w:rsidR="00CB35AC">
          <w:rPr>
            <w:noProof/>
            <w:webHidden/>
          </w:rPr>
          <w:fldChar w:fldCharType="end"/>
        </w:r>
      </w:hyperlink>
    </w:p>
    <w:p w14:paraId="5865C1C3" w14:textId="260E97B7"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635" w:history="1">
        <w:r w:rsidR="00CB35AC" w:rsidRPr="00E9356D">
          <w:rPr>
            <w:rStyle w:val="Hyperlink"/>
            <w:rFonts w:cs="Arial"/>
            <w:noProof/>
          </w:rPr>
          <w:t>Measuring our impact</w:t>
        </w:r>
        <w:r w:rsidR="00CB35AC">
          <w:rPr>
            <w:noProof/>
            <w:webHidden/>
          </w:rPr>
          <w:tab/>
        </w:r>
        <w:r w:rsidR="00CB35AC">
          <w:rPr>
            <w:noProof/>
            <w:webHidden/>
          </w:rPr>
          <w:fldChar w:fldCharType="begin"/>
        </w:r>
        <w:r w:rsidR="00CB35AC">
          <w:rPr>
            <w:noProof/>
            <w:webHidden/>
          </w:rPr>
          <w:instrText xml:space="preserve"> PAGEREF _Toc181371635 \h </w:instrText>
        </w:r>
        <w:r w:rsidR="00CB35AC">
          <w:rPr>
            <w:noProof/>
            <w:webHidden/>
          </w:rPr>
        </w:r>
        <w:r w:rsidR="00CB35AC">
          <w:rPr>
            <w:noProof/>
            <w:webHidden/>
          </w:rPr>
          <w:fldChar w:fldCharType="separate"/>
        </w:r>
        <w:r w:rsidR="00C47A81">
          <w:rPr>
            <w:noProof/>
            <w:webHidden/>
          </w:rPr>
          <w:t>134</w:t>
        </w:r>
        <w:r w:rsidR="00CB35AC">
          <w:rPr>
            <w:noProof/>
            <w:webHidden/>
          </w:rPr>
          <w:fldChar w:fldCharType="end"/>
        </w:r>
      </w:hyperlink>
    </w:p>
    <w:p w14:paraId="52C73EF7" w14:textId="3E42AFAF"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636" w:history="1">
        <w:r w:rsidR="00CB35AC" w:rsidRPr="00E9356D">
          <w:rPr>
            <w:rStyle w:val="Hyperlink"/>
            <w:rFonts w:cs="Arial"/>
            <w:noProof/>
          </w:rPr>
          <w:t>Case study: Impacts of the clean energy capacity study</w:t>
        </w:r>
        <w:r w:rsidR="00CB35AC">
          <w:rPr>
            <w:noProof/>
            <w:webHidden/>
          </w:rPr>
          <w:tab/>
        </w:r>
        <w:r w:rsidR="00CB35AC">
          <w:rPr>
            <w:noProof/>
            <w:webHidden/>
          </w:rPr>
          <w:fldChar w:fldCharType="begin"/>
        </w:r>
        <w:r w:rsidR="00CB35AC">
          <w:rPr>
            <w:noProof/>
            <w:webHidden/>
          </w:rPr>
          <w:instrText xml:space="preserve"> PAGEREF _Toc181371636 \h </w:instrText>
        </w:r>
        <w:r w:rsidR="00CB35AC">
          <w:rPr>
            <w:noProof/>
            <w:webHidden/>
          </w:rPr>
        </w:r>
        <w:r w:rsidR="00CB35AC">
          <w:rPr>
            <w:noProof/>
            <w:webHidden/>
          </w:rPr>
          <w:fldChar w:fldCharType="separate"/>
        </w:r>
        <w:r w:rsidR="00C47A81">
          <w:rPr>
            <w:noProof/>
            <w:webHidden/>
          </w:rPr>
          <w:t>135</w:t>
        </w:r>
        <w:r w:rsidR="00CB35AC">
          <w:rPr>
            <w:noProof/>
            <w:webHidden/>
          </w:rPr>
          <w:fldChar w:fldCharType="end"/>
        </w:r>
      </w:hyperlink>
    </w:p>
    <w:p w14:paraId="40C75D80" w14:textId="72DD2B9E"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637" w:history="1">
        <w:r w:rsidR="00CB35AC" w:rsidRPr="00E9356D">
          <w:rPr>
            <w:rStyle w:val="Hyperlink"/>
            <w:rFonts w:cs="Arial"/>
            <w:noProof/>
          </w:rPr>
          <w:t>Case study: Adapting our insights to better serve our stakeholders</w:t>
        </w:r>
        <w:r w:rsidR="00CB35AC">
          <w:rPr>
            <w:noProof/>
            <w:webHidden/>
          </w:rPr>
          <w:tab/>
        </w:r>
        <w:r w:rsidR="00CB35AC">
          <w:rPr>
            <w:noProof/>
            <w:webHidden/>
          </w:rPr>
          <w:fldChar w:fldCharType="begin"/>
        </w:r>
        <w:r w:rsidR="00CB35AC">
          <w:rPr>
            <w:noProof/>
            <w:webHidden/>
          </w:rPr>
          <w:instrText xml:space="preserve"> PAGEREF _Toc181371637 \h </w:instrText>
        </w:r>
        <w:r w:rsidR="00CB35AC">
          <w:rPr>
            <w:noProof/>
            <w:webHidden/>
          </w:rPr>
        </w:r>
        <w:r w:rsidR="00CB35AC">
          <w:rPr>
            <w:noProof/>
            <w:webHidden/>
          </w:rPr>
          <w:fldChar w:fldCharType="separate"/>
        </w:r>
        <w:r w:rsidR="00C47A81">
          <w:rPr>
            <w:noProof/>
            <w:webHidden/>
          </w:rPr>
          <w:t>137</w:t>
        </w:r>
        <w:r w:rsidR="00CB35AC">
          <w:rPr>
            <w:noProof/>
            <w:webHidden/>
          </w:rPr>
          <w:fldChar w:fldCharType="end"/>
        </w:r>
      </w:hyperlink>
    </w:p>
    <w:p w14:paraId="3B5AD430" w14:textId="75906CDE"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638" w:history="1">
        <w:r w:rsidR="00CB35AC" w:rsidRPr="00E9356D">
          <w:rPr>
            <w:rStyle w:val="Hyperlink"/>
            <w:rFonts w:cs="Arial"/>
            <w:noProof/>
          </w:rPr>
          <w:t>The Jobs and Skills Atlas – helping users access more of our insights</w:t>
        </w:r>
        <w:r w:rsidR="00CB35AC">
          <w:rPr>
            <w:noProof/>
            <w:webHidden/>
          </w:rPr>
          <w:tab/>
        </w:r>
        <w:r w:rsidR="00CB35AC">
          <w:rPr>
            <w:noProof/>
            <w:webHidden/>
          </w:rPr>
          <w:fldChar w:fldCharType="begin"/>
        </w:r>
        <w:r w:rsidR="00CB35AC">
          <w:rPr>
            <w:noProof/>
            <w:webHidden/>
          </w:rPr>
          <w:instrText xml:space="preserve"> PAGEREF _Toc181371638 \h </w:instrText>
        </w:r>
        <w:r w:rsidR="00CB35AC">
          <w:rPr>
            <w:noProof/>
            <w:webHidden/>
          </w:rPr>
        </w:r>
        <w:r w:rsidR="00CB35AC">
          <w:rPr>
            <w:noProof/>
            <w:webHidden/>
          </w:rPr>
          <w:fldChar w:fldCharType="separate"/>
        </w:r>
        <w:r w:rsidR="00C47A81">
          <w:rPr>
            <w:noProof/>
            <w:webHidden/>
          </w:rPr>
          <w:t>138</w:t>
        </w:r>
        <w:r w:rsidR="00CB35AC">
          <w:rPr>
            <w:noProof/>
            <w:webHidden/>
          </w:rPr>
          <w:fldChar w:fldCharType="end"/>
        </w:r>
      </w:hyperlink>
    </w:p>
    <w:p w14:paraId="268B035D" w14:textId="5760C91E"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639" w:history="1">
        <w:r w:rsidR="00CB35AC" w:rsidRPr="00E9356D">
          <w:rPr>
            <w:rStyle w:val="Hyperlink"/>
            <w:rFonts w:cs="Arial"/>
            <w:noProof/>
          </w:rPr>
          <w:t>How Atlas assists Rebekah, a career development practitioner</w:t>
        </w:r>
        <w:r w:rsidR="00CB35AC">
          <w:rPr>
            <w:noProof/>
            <w:webHidden/>
          </w:rPr>
          <w:tab/>
        </w:r>
        <w:r w:rsidR="00CB35AC">
          <w:rPr>
            <w:noProof/>
            <w:webHidden/>
          </w:rPr>
          <w:fldChar w:fldCharType="begin"/>
        </w:r>
        <w:r w:rsidR="00CB35AC">
          <w:rPr>
            <w:noProof/>
            <w:webHidden/>
          </w:rPr>
          <w:instrText xml:space="preserve"> PAGEREF _Toc181371639 \h </w:instrText>
        </w:r>
        <w:r w:rsidR="00CB35AC">
          <w:rPr>
            <w:noProof/>
            <w:webHidden/>
          </w:rPr>
        </w:r>
        <w:r w:rsidR="00CB35AC">
          <w:rPr>
            <w:noProof/>
            <w:webHidden/>
          </w:rPr>
          <w:fldChar w:fldCharType="separate"/>
        </w:r>
        <w:r w:rsidR="00C47A81">
          <w:rPr>
            <w:noProof/>
            <w:webHidden/>
          </w:rPr>
          <w:t>139</w:t>
        </w:r>
        <w:r w:rsidR="00CB35AC">
          <w:rPr>
            <w:noProof/>
            <w:webHidden/>
          </w:rPr>
          <w:fldChar w:fldCharType="end"/>
        </w:r>
      </w:hyperlink>
    </w:p>
    <w:p w14:paraId="3E0CDD07" w14:textId="09CF0E80" w:rsidR="00CB35AC" w:rsidRDefault="00834566">
      <w:pPr>
        <w:pStyle w:val="TOC3"/>
        <w:rPr>
          <w:rFonts w:asciiTheme="minorHAnsi" w:eastAsiaTheme="minorEastAsia" w:hAnsiTheme="minorHAnsi"/>
          <w:noProof/>
          <w:kern w:val="2"/>
          <w:sz w:val="24"/>
          <w:szCs w:val="24"/>
          <w:lang w:eastAsia="en-AU"/>
          <w14:ligatures w14:val="standardContextual"/>
        </w:rPr>
      </w:pPr>
      <w:hyperlink w:anchor="_Toc181371640" w:history="1">
        <w:r w:rsidR="00CB35AC" w:rsidRPr="00E9356D">
          <w:rPr>
            <w:rStyle w:val="Hyperlink"/>
            <w:noProof/>
          </w:rPr>
          <w:t>Support for initiatives on the Mid North Coast</w:t>
        </w:r>
        <w:r w:rsidR="00CB35AC">
          <w:rPr>
            <w:noProof/>
            <w:webHidden/>
          </w:rPr>
          <w:tab/>
        </w:r>
        <w:r w:rsidR="00CB35AC">
          <w:rPr>
            <w:noProof/>
            <w:webHidden/>
          </w:rPr>
          <w:fldChar w:fldCharType="begin"/>
        </w:r>
        <w:r w:rsidR="00CB35AC">
          <w:rPr>
            <w:noProof/>
            <w:webHidden/>
          </w:rPr>
          <w:instrText xml:space="preserve"> PAGEREF _Toc181371640 \h </w:instrText>
        </w:r>
        <w:r w:rsidR="00CB35AC">
          <w:rPr>
            <w:noProof/>
            <w:webHidden/>
          </w:rPr>
        </w:r>
        <w:r w:rsidR="00CB35AC">
          <w:rPr>
            <w:noProof/>
            <w:webHidden/>
          </w:rPr>
          <w:fldChar w:fldCharType="separate"/>
        </w:r>
        <w:r w:rsidR="00C47A81">
          <w:rPr>
            <w:noProof/>
            <w:webHidden/>
          </w:rPr>
          <w:t>139</w:t>
        </w:r>
        <w:r w:rsidR="00CB35AC">
          <w:rPr>
            <w:noProof/>
            <w:webHidden/>
          </w:rPr>
          <w:fldChar w:fldCharType="end"/>
        </w:r>
      </w:hyperlink>
    </w:p>
    <w:p w14:paraId="0E883202" w14:textId="33D2E678" w:rsidR="00CB35AC" w:rsidRDefault="00834566">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371641" w:history="1">
        <w:r w:rsidR="00CB35AC" w:rsidRPr="00E9356D">
          <w:rPr>
            <w:rStyle w:val="Hyperlink"/>
            <w:rFonts w:cs="Arial"/>
            <w:noProof/>
          </w:rPr>
          <w:t>In summary</w:t>
        </w:r>
        <w:r w:rsidR="00CB35AC">
          <w:rPr>
            <w:noProof/>
            <w:webHidden/>
          </w:rPr>
          <w:tab/>
        </w:r>
        <w:r w:rsidR="00CB35AC">
          <w:rPr>
            <w:noProof/>
            <w:webHidden/>
          </w:rPr>
          <w:fldChar w:fldCharType="begin"/>
        </w:r>
        <w:r w:rsidR="00CB35AC">
          <w:rPr>
            <w:noProof/>
            <w:webHidden/>
          </w:rPr>
          <w:instrText xml:space="preserve"> PAGEREF _Toc181371641 \h </w:instrText>
        </w:r>
        <w:r w:rsidR="00CB35AC">
          <w:rPr>
            <w:noProof/>
            <w:webHidden/>
          </w:rPr>
        </w:r>
        <w:r w:rsidR="00CB35AC">
          <w:rPr>
            <w:noProof/>
            <w:webHidden/>
          </w:rPr>
          <w:fldChar w:fldCharType="separate"/>
        </w:r>
        <w:r w:rsidR="00C47A81">
          <w:rPr>
            <w:noProof/>
            <w:webHidden/>
          </w:rPr>
          <w:t>140</w:t>
        </w:r>
        <w:r w:rsidR="00CB35AC">
          <w:rPr>
            <w:noProof/>
            <w:webHidden/>
          </w:rPr>
          <w:fldChar w:fldCharType="end"/>
        </w:r>
      </w:hyperlink>
    </w:p>
    <w:p w14:paraId="19F32FC0" w14:textId="04372ED3" w:rsidR="00CB35AC" w:rsidRDefault="00834566">
      <w:pPr>
        <w:pStyle w:val="TOC1"/>
        <w:tabs>
          <w:tab w:val="right" w:leader="dot" w:pos="9016"/>
        </w:tabs>
        <w:rPr>
          <w:rFonts w:asciiTheme="minorHAnsi" w:eastAsiaTheme="minorEastAsia" w:hAnsiTheme="minorHAnsi"/>
          <w:b w:val="0"/>
          <w:noProof/>
          <w:color w:val="auto"/>
          <w:kern w:val="2"/>
          <w:sz w:val="24"/>
          <w:szCs w:val="24"/>
          <w:lang w:eastAsia="en-AU"/>
          <w14:ligatures w14:val="standardContextual"/>
        </w:rPr>
      </w:pPr>
      <w:hyperlink w:anchor="_Toc181371642" w:history="1">
        <w:r w:rsidR="00CB35AC" w:rsidRPr="00E9356D">
          <w:rPr>
            <w:rStyle w:val="Hyperlink"/>
            <w:rFonts w:cs="Arial"/>
            <w:noProof/>
          </w:rPr>
          <w:t>References</w:t>
        </w:r>
        <w:r w:rsidR="00CB35AC">
          <w:rPr>
            <w:noProof/>
            <w:webHidden/>
          </w:rPr>
          <w:tab/>
        </w:r>
        <w:r w:rsidR="00CB35AC">
          <w:rPr>
            <w:noProof/>
            <w:webHidden/>
          </w:rPr>
          <w:fldChar w:fldCharType="begin"/>
        </w:r>
        <w:r w:rsidR="00CB35AC">
          <w:rPr>
            <w:noProof/>
            <w:webHidden/>
          </w:rPr>
          <w:instrText xml:space="preserve"> PAGEREF _Toc181371642 \h </w:instrText>
        </w:r>
        <w:r w:rsidR="00CB35AC">
          <w:rPr>
            <w:noProof/>
            <w:webHidden/>
          </w:rPr>
        </w:r>
        <w:r w:rsidR="00CB35AC">
          <w:rPr>
            <w:noProof/>
            <w:webHidden/>
          </w:rPr>
          <w:fldChar w:fldCharType="separate"/>
        </w:r>
        <w:r w:rsidR="00C47A81">
          <w:rPr>
            <w:noProof/>
            <w:webHidden/>
          </w:rPr>
          <w:t>141</w:t>
        </w:r>
        <w:r w:rsidR="00CB35AC">
          <w:rPr>
            <w:noProof/>
            <w:webHidden/>
          </w:rPr>
          <w:fldChar w:fldCharType="end"/>
        </w:r>
      </w:hyperlink>
    </w:p>
    <w:p w14:paraId="217B94FF" w14:textId="6B281C99" w:rsidR="00CB35AC" w:rsidRDefault="00834566">
      <w:pPr>
        <w:pStyle w:val="TOC1"/>
        <w:tabs>
          <w:tab w:val="right" w:leader="dot" w:pos="9016"/>
        </w:tabs>
        <w:rPr>
          <w:rFonts w:asciiTheme="minorHAnsi" w:eastAsiaTheme="minorEastAsia" w:hAnsiTheme="minorHAnsi"/>
          <w:b w:val="0"/>
          <w:noProof/>
          <w:color w:val="auto"/>
          <w:kern w:val="2"/>
          <w:sz w:val="24"/>
          <w:szCs w:val="24"/>
          <w:lang w:eastAsia="en-AU"/>
          <w14:ligatures w14:val="standardContextual"/>
        </w:rPr>
      </w:pPr>
      <w:hyperlink w:anchor="_Toc181371643" w:history="1">
        <w:r w:rsidR="00CB35AC" w:rsidRPr="00E9356D">
          <w:rPr>
            <w:rStyle w:val="Hyperlink"/>
            <w:rFonts w:cs="Arial"/>
            <w:noProof/>
          </w:rPr>
          <w:t>Glossary</w:t>
        </w:r>
        <w:r w:rsidR="00CB35AC">
          <w:rPr>
            <w:noProof/>
            <w:webHidden/>
          </w:rPr>
          <w:tab/>
        </w:r>
        <w:r w:rsidR="00CB35AC">
          <w:rPr>
            <w:noProof/>
            <w:webHidden/>
          </w:rPr>
          <w:fldChar w:fldCharType="begin"/>
        </w:r>
        <w:r w:rsidR="00CB35AC">
          <w:rPr>
            <w:noProof/>
            <w:webHidden/>
          </w:rPr>
          <w:instrText xml:space="preserve"> PAGEREF _Toc181371643 \h </w:instrText>
        </w:r>
        <w:r w:rsidR="00CB35AC">
          <w:rPr>
            <w:noProof/>
            <w:webHidden/>
          </w:rPr>
        </w:r>
        <w:r w:rsidR="00CB35AC">
          <w:rPr>
            <w:noProof/>
            <w:webHidden/>
          </w:rPr>
          <w:fldChar w:fldCharType="separate"/>
        </w:r>
        <w:r w:rsidR="00C47A81">
          <w:rPr>
            <w:noProof/>
            <w:webHidden/>
          </w:rPr>
          <w:t>146</w:t>
        </w:r>
        <w:r w:rsidR="00CB35AC">
          <w:rPr>
            <w:noProof/>
            <w:webHidden/>
          </w:rPr>
          <w:fldChar w:fldCharType="end"/>
        </w:r>
      </w:hyperlink>
    </w:p>
    <w:p w14:paraId="426C4DD7" w14:textId="1D0FAF9D" w:rsidR="001D2654" w:rsidRDefault="00B11937" w:rsidP="001848CB">
      <w:pPr>
        <w:spacing w:after="160" w:line="259" w:lineRule="auto"/>
        <w:sectPr w:rsidR="001D2654" w:rsidSect="00934658">
          <w:headerReference w:type="even" r:id="rId18"/>
          <w:headerReference w:type="default" r:id="rId19"/>
          <w:footerReference w:type="even" r:id="rId20"/>
          <w:footerReference w:type="default" r:id="rId21"/>
          <w:pgSz w:w="11906" w:h="16838" w:code="9"/>
          <w:pgMar w:top="1276" w:right="1440" w:bottom="1134" w:left="1440" w:header="709" w:footer="709" w:gutter="0"/>
          <w:pgNumType w:fmt="lowerRoman"/>
          <w:cols w:space="708"/>
          <w:titlePg/>
          <w:docGrid w:linePitch="360"/>
        </w:sectPr>
      </w:pPr>
      <w:r w:rsidRPr="00AC0957">
        <w:rPr>
          <w:rFonts w:cs="Arial"/>
        </w:rPr>
        <w:fldChar w:fldCharType="end"/>
      </w:r>
      <w:bookmarkStart w:id="2" w:name="_Toc179887362"/>
    </w:p>
    <w:p w14:paraId="5CD2F15E" w14:textId="54B0DA11" w:rsidR="00AC2606" w:rsidRPr="00AC0957" w:rsidRDefault="001D2654" w:rsidP="00AC2606">
      <w:pPr>
        <w:pStyle w:val="Heading1"/>
        <w:rPr>
          <w:rFonts w:cs="Arial"/>
        </w:rPr>
      </w:pPr>
      <w:bookmarkStart w:id="3" w:name="_Toc181371537"/>
      <w:r>
        <w:rPr>
          <w:rFonts w:cs="Arial"/>
          <w:noProof/>
        </w:rPr>
        <w:lastRenderedPageBreak/>
        <w:drawing>
          <wp:anchor distT="0" distB="0" distL="114300" distR="114300" simplePos="0" relativeHeight="251659266" behindDoc="0" locked="0" layoutInCell="1" allowOverlap="1" wp14:anchorId="379B8C27" wp14:editId="1E1146C6">
            <wp:simplePos x="0" y="0"/>
            <wp:positionH relativeFrom="margin">
              <wp:align>left</wp:align>
            </wp:positionH>
            <wp:positionV relativeFrom="paragraph">
              <wp:posOffset>93345</wp:posOffset>
            </wp:positionV>
            <wp:extent cx="2092960" cy="2679065"/>
            <wp:effectExtent l="0" t="0" r="2540" b="6985"/>
            <wp:wrapSquare wrapText="bothSides"/>
            <wp:docPr id="1991878859"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878859" name="Picture 22">
                      <a:extLst>
                        <a:ext uri="{C183D7F6-B498-43B3-948B-1728B52AA6E4}">
                          <adec:decorative xmlns:adec="http://schemas.microsoft.com/office/drawing/2017/decorative" val="1"/>
                        </a:ext>
                      </a:extLst>
                    </pic:cNvPr>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2092960" cy="2679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2606" w:rsidRPr="00AC0957">
        <w:rPr>
          <w:rFonts w:cs="Arial"/>
        </w:rPr>
        <w:t>Commissioner’s Foreword</w:t>
      </w:r>
      <w:bookmarkEnd w:id="2"/>
      <w:bookmarkEnd w:id="3"/>
    </w:p>
    <w:p w14:paraId="762F7283" w14:textId="77777777" w:rsidR="009B0F6E" w:rsidRPr="009B0F6E" w:rsidRDefault="009B0F6E" w:rsidP="009B0F6E">
      <w:pPr>
        <w:rPr>
          <w:rFonts w:cs="Arial"/>
        </w:rPr>
      </w:pPr>
      <w:r w:rsidRPr="009B0F6E">
        <w:rPr>
          <w:rFonts w:cs="Arial"/>
        </w:rPr>
        <w:t>Labour market insights are critical to understanding the functioning of our economy. They allow governments and other decision makers to monitor how well the economy is performing and help guide decision-making for the settings of policies that affect employment, workforce development, income, and societal wellbeing.</w:t>
      </w:r>
    </w:p>
    <w:p w14:paraId="1549038E" w14:textId="77777777" w:rsidR="009B0F6E" w:rsidRPr="009B0F6E" w:rsidRDefault="009B0F6E" w:rsidP="009B0F6E">
      <w:pPr>
        <w:rPr>
          <w:rFonts w:cs="Arial"/>
        </w:rPr>
      </w:pPr>
      <w:r w:rsidRPr="009B0F6E">
        <w:rPr>
          <w:rFonts w:cs="Arial"/>
        </w:rPr>
        <w:t>At their heart, however, labour market statistics are about people. They represent how people are engaged in our communities and society, and how they do or do not benefit from the significant forces shaping our economy. Because they sit at the critical intersection between economic and social analysis, these insights help us to understand the barriers to and enablers of success, and how to empower more people to access opportunities and the improved standard of living and wellbeing that comes with them.</w:t>
      </w:r>
    </w:p>
    <w:p w14:paraId="2D1A0AB8" w14:textId="77777777" w:rsidR="009B0F6E" w:rsidRPr="009B0F6E" w:rsidRDefault="009B0F6E" w:rsidP="009B0F6E">
      <w:pPr>
        <w:rPr>
          <w:rFonts w:cs="Arial"/>
        </w:rPr>
      </w:pPr>
      <w:r w:rsidRPr="009B0F6E">
        <w:rPr>
          <w:rFonts w:cs="Arial"/>
        </w:rPr>
        <w:t xml:space="preserve">As we face skills shortages across many industries and occupations, and while unemployment is at a relatively low level, there is an imperative to ensure that all Australians have access to opportunities to increase their skills, to gain qualifications, and to uplift their earning potential. </w:t>
      </w:r>
    </w:p>
    <w:p w14:paraId="5B1A0E28" w14:textId="77777777" w:rsidR="009B0F6E" w:rsidRPr="009B0F6E" w:rsidRDefault="009B0F6E" w:rsidP="009B0F6E">
      <w:pPr>
        <w:rPr>
          <w:rFonts w:cs="Arial"/>
        </w:rPr>
      </w:pPr>
      <w:r w:rsidRPr="009B0F6E">
        <w:rPr>
          <w:rFonts w:cs="Arial"/>
        </w:rPr>
        <w:t>The work of Jobs and Skills Australia (JSA) is central to this intent, and we are committed to ensuring our work has a strong focus on equity, access and inclusion across education, training and employment.</w:t>
      </w:r>
    </w:p>
    <w:p w14:paraId="119E0228" w14:textId="77777777" w:rsidR="009B0F6E" w:rsidRPr="009B0F6E" w:rsidRDefault="009B0F6E" w:rsidP="009B0F6E">
      <w:pPr>
        <w:rPr>
          <w:rFonts w:cs="Arial"/>
        </w:rPr>
      </w:pPr>
      <w:r w:rsidRPr="009B0F6E">
        <w:rPr>
          <w:rFonts w:cs="Arial"/>
        </w:rPr>
        <w:t xml:space="preserve">There is further work to be done to ensure more Australians can access secure, safe, and fairly paid work, and that Australia’s current and future skills challenges are overcome. </w:t>
      </w:r>
    </w:p>
    <w:p w14:paraId="75C5620A" w14:textId="77777777" w:rsidR="009B0F6E" w:rsidRPr="009B0F6E" w:rsidRDefault="009B0F6E" w:rsidP="009B0F6E">
      <w:pPr>
        <w:rPr>
          <w:rFonts w:cs="Arial"/>
        </w:rPr>
      </w:pPr>
      <w:r w:rsidRPr="009B0F6E">
        <w:rPr>
          <w:rFonts w:cs="Arial"/>
        </w:rPr>
        <w:t xml:space="preserve">This is work that cannot be done alone. Achieving a truly dynamic, productive, and competitive economy – with sustained and inclusive employment – will require all participants in the system to move forward together with a strong focus on collaboration and providing more equitable access to opportunities. </w:t>
      </w:r>
    </w:p>
    <w:p w14:paraId="304F0B9A" w14:textId="77777777" w:rsidR="009B0F6E" w:rsidRPr="009B0F6E" w:rsidRDefault="009B0F6E" w:rsidP="009B0F6E">
      <w:pPr>
        <w:rPr>
          <w:rFonts w:cs="Arial"/>
        </w:rPr>
      </w:pPr>
      <w:r w:rsidRPr="009B0F6E">
        <w:rPr>
          <w:rFonts w:cs="Arial"/>
        </w:rPr>
        <w:t>A focus on inclusion of course means we must aim for the benefits of education, training, and employment to be within reach of more Australians. Critically, they must reach the people and communities who have historically been excluded or faced significant barriers to participation.</w:t>
      </w:r>
    </w:p>
    <w:p w14:paraId="637CD10F" w14:textId="77777777" w:rsidR="009B0F6E" w:rsidRPr="009B0F6E" w:rsidRDefault="009B0F6E" w:rsidP="009B0F6E">
      <w:pPr>
        <w:rPr>
          <w:rFonts w:cs="Arial"/>
        </w:rPr>
      </w:pPr>
      <w:r w:rsidRPr="009B0F6E">
        <w:rPr>
          <w:rFonts w:cs="Arial"/>
        </w:rPr>
        <w:t xml:space="preserve">JSA is critical to the achievement of this collaboration, as our approach, our methods, and our systems must be inclusive. We must bring together the considerable expertise of our stakeholders to formulate more holistic understandings of our complex economic and social challenges. Our employment, skills, and migration systems must work in concert to ensure we have the right skills and capabilities to thrive as a nation. </w:t>
      </w:r>
    </w:p>
    <w:p w14:paraId="466D1C8B" w14:textId="77777777" w:rsidR="009B0F6E" w:rsidRPr="009B0F6E" w:rsidRDefault="009B0F6E" w:rsidP="009B0F6E">
      <w:pPr>
        <w:rPr>
          <w:rFonts w:cs="Arial"/>
        </w:rPr>
      </w:pPr>
      <w:r w:rsidRPr="009B0F6E">
        <w:rPr>
          <w:rFonts w:cs="Arial"/>
        </w:rPr>
        <w:t xml:space="preserve">Importantly, our higher education and vocational education and training sectors must work together to deliver a well-equipped and thriving workforce, enhancing lives and providing value for employers. </w:t>
      </w:r>
    </w:p>
    <w:p w14:paraId="62ECD025" w14:textId="77777777" w:rsidR="009B0F6E" w:rsidRPr="009B0F6E" w:rsidRDefault="009B0F6E" w:rsidP="009B0F6E">
      <w:pPr>
        <w:rPr>
          <w:rFonts w:cs="Arial"/>
        </w:rPr>
      </w:pPr>
      <w:r w:rsidRPr="009B0F6E">
        <w:rPr>
          <w:rFonts w:cs="Arial"/>
        </w:rPr>
        <w:t xml:space="preserve">Above all, we must help more Australians access the social and economic benefits of participation. </w:t>
      </w:r>
    </w:p>
    <w:p w14:paraId="31F9F881" w14:textId="77777777" w:rsidR="009B0F6E" w:rsidRPr="009B0F6E" w:rsidRDefault="009B0F6E" w:rsidP="009B0F6E">
      <w:pPr>
        <w:rPr>
          <w:rFonts w:cs="Arial"/>
        </w:rPr>
      </w:pPr>
      <w:r w:rsidRPr="009B0F6E">
        <w:rPr>
          <w:rFonts w:cs="Arial"/>
        </w:rPr>
        <w:t xml:space="preserve">Critical to this challenge is ensuring we have a well-balanced and aligned post-secondary education profile and encourage more young Australians to consider vocational education and training pathways to employment and further study. </w:t>
      </w:r>
    </w:p>
    <w:p w14:paraId="5DBF3744" w14:textId="4D81721F" w:rsidR="009B0F6E" w:rsidRPr="009B0F6E" w:rsidRDefault="00C5235F" w:rsidP="009B0F6E">
      <w:pPr>
        <w:rPr>
          <w:rFonts w:cs="Arial"/>
        </w:rPr>
      </w:pPr>
      <w:r w:rsidRPr="00C5235F">
        <w:rPr>
          <w:rFonts w:cs="Arial"/>
        </w:rPr>
        <w:t xml:space="preserve">This report has been prepared as required under section 27A of the </w:t>
      </w:r>
      <w:r w:rsidRPr="00C5235F">
        <w:rPr>
          <w:rFonts w:cs="Arial"/>
          <w:i/>
          <w:iCs/>
        </w:rPr>
        <w:t>Jobs and Skills</w:t>
      </w:r>
      <w:r w:rsidR="00230419">
        <w:rPr>
          <w:rFonts w:cs="Arial"/>
          <w:i/>
          <w:iCs/>
        </w:rPr>
        <w:t xml:space="preserve"> Australia</w:t>
      </w:r>
      <w:r w:rsidRPr="00C5235F">
        <w:rPr>
          <w:rFonts w:cs="Arial"/>
          <w:i/>
          <w:iCs/>
        </w:rPr>
        <w:t xml:space="preserve"> Act, 2022</w:t>
      </w:r>
      <w:r w:rsidRPr="00C5235F">
        <w:rPr>
          <w:rFonts w:cs="Arial"/>
        </w:rPr>
        <w:t>. It outlines evidence and analysis JSA has undertaken across 5 strategic pillars that inform our work and guide our advice to achieve a more prosperous future for all Australians.</w:t>
      </w:r>
      <w:r w:rsidR="009B0F6E" w:rsidRPr="009B0F6E">
        <w:rPr>
          <w:rFonts w:cs="Arial"/>
        </w:rPr>
        <w:t xml:space="preserve"> </w:t>
      </w:r>
    </w:p>
    <w:p w14:paraId="3892A6B5" w14:textId="0BB813B5" w:rsidR="00AC2606" w:rsidRPr="00AC0957" w:rsidRDefault="009B0F6E" w:rsidP="009B0F6E">
      <w:pPr>
        <w:rPr>
          <w:rFonts w:cs="Arial"/>
        </w:rPr>
      </w:pPr>
      <w:r w:rsidRPr="009B0F6E">
        <w:rPr>
          <w:rFonts w:cs="Arial"/>
        </w:rPr>
        <w:t>By working together to foster inclusive participation, we can better understand today’s workforce, prepare for the opportunities and challenges of the future, optimise pathways and system architecture, and activate an informed dialogue between key stakeholders and decision-makers – achieving a fairer, more inclusive, and stronger Australian economy.</w:t>
      </w:r>
      <w:r w:rsidR="00AC2606" w:rsidRPr="00AC0957">
        <w:rPr>
          <w:rFonts w:cs="Arial"/>
        </w:rPr>
        <w:t xml:space="preserve"> </w:t>
      </w:r>
    </w:p>
    <w:p w14:paraId="288C6054" w14:textId="61CD8152" w:rsidR="001D2654" w:rsidRDefault="001D2654" w:rsidP="00AC2606">
      <w:pPr>
        <w:rPr>
          <w:rFonts w:cs="Arial"/>
        </w:rPr>
      </w:pPr>
      <w:r>
        <w:rPr>
          <w:rFonts w:cs="Arial"/>
          <w:noProof/>
        </w:rPr>
        <w:drawing>
          <wp:inline distT="0" distB="0" distL="0" distR="0" wp14:anchorId="23E71862" wp14:editId="577A6F46">
            <wp:extent cx="2456361" cy="914400"/>
            <wp:effectExtent l="0" t="0" r="1270" b="0"/>
            <wp:docPr id="51966620"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6620" name="Picture 23">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68016" cy="918739"/>
                    </a:xfrm>
                    <a:prstGeom prst="rect">
                      <a:avLst/>
                    </a:prstGeom>
                  </pic:spPr>
                </pic:pic>
              </a:graphicData>
            </a:graphic>
          </wp:inline>
        </w:drawing>
      </w:r>
    </w:p>
    <w:p w14:paraId="72B8FAF6" w14:textId="5DA54672" w:rsidR="00AC2606" w:rsidRPr="00AC0957" w:rsidRDefault="00AC2606" w:rsidP="00AC2606">
      <w:pPr>
        <w:rPr>
          <w:rFonts w:cs="Arial"/>
        </w:rPr>
      </w:pPr>
      <w:r w:rsidRPr="00AC0957">
        <w:rPr>
          <w:rFonts w:cs="Arial"/>
        </w:rPr>
        <w:t>Professor Barney Glover AO</w:t>
      </w:r>
    </w:p>
    <w:p w14:paraId="3D80B69D" w14:textId="77777777" w:rsidR="00AC2606" w:rsidRPr="00AC0957" w:rsidRDefault="00AC2606" w:rsidP="00AC2606">
      <w:pPr>
        <w:rPr>
          <w:rFonts w:cs="Arial"/>
        </w:rPr>
      </w:pPr>
      <w:r w:rsidRPr="00AC0957">
        <w:rPr>
          <w:rFonts w:cs="Arial"/>
        </w:rPr>
        <w:t>Commissioner</w:t>
      </w:r>
    </w:p>
    <w:p w14:paraId="0DEA79A2" w14:textId="77777777" w:rsidR="00AC2606" w:rsidRPr="00AC0957" w:rsidRDefault="00AC2606" w:rsidP="00AC2606">
      <w:pPr>
        <w:rPr>
          <w:rFonts w:cs="Arial"/>
        </w:rPr>
      </w:pPr>
      <w:r w:rsidRPr="00AC0957">
        <w:rPr>
          <w:rFonts w:cs="Arial"/>
        </w:rPr>
        <w:t>Jobs and Skills Australia</w:t>
      </w:r>
    </w:p>
    <w:p w14:paraId="7748F219" w14:textId="77777777" w:rsidR="00AC2606" w:rsidRPr="00AC0957" w:rsidRDefault="00AC2606" w:rsidP="00AC2606">
      <w:pPr>
        <w:rPr>
          <w:rFonts w:cs="Arial"/>
        </w:rPr>
      </w:pPr>
      <w:r w:rsidRPr="00AC0957">
        <w:rPr>
          <w:rFonts w:cs="Arial"/>
        </w:rPr>
        <w:br w:type="page"/>
      </w:r>
    </w:p>
    <w:p w14:paraId="7AA2C7DA" w14:textId="78EA2B34" w:rsidR="00AC2606" w:rsidRPr="002E5472" w:rsidRDefault="00AC2606" w:rsidP="002E5472">
      <w:pPr>
        <w:pStyle w:val="Heading1"/>
        <w:rPr>
          <w:rFonts w:cs="Arial"/>
          <w:sz w:val="18"/>
          <w:szCs w:val="18"/>
          <w:lang w:eastAsia="en-AU"/>
        </w:rPr>
      </w:pPr>
      <w:bookmarkStart w:id="4" w:name="_Toc179887363"/>
      <w:bookmarkStart w:id="5" w:name="_Toc181371538"/>
      <w:r w:rsidRPr="00AC0957">
        <w:rPr>
          <w:rFonts w:cs="Arial"/>
          <w:lang w:eastAsia="en-AU"/>
        </w:rPr>
        <w:t>Executive Summary</w:t>
      </w:r>
      <w:bookmarkEnd w:id="4"/>
      <w:bookmarkEnd w:id="5"/>
      <w:r w:rsidRPr="00AC0957">
        <w:rPr>
          <w:rFonts w:cs="Arial"/>
          <w:lang w:eastAsia="en-AU"/>
        </w:rPr>
        <w:t> </w:t>
      </w:r>
    </w:p>
    <w:p w14:paraId="78E5B228" w14:textId="77777777" w:rsidR="00E7311B" w:rsidRPr="00E7311B" w:rsidRDefault="00E7311B" w:rsidP="00AC23AB">
      <w:pPr>
        <w:rPr>
          <w:lang w:eastAsia="en-AU"/>
        </w:rPr>
      </w:pPr>
      <w:r w:rsidRPr="00E7311B">
        <w:rPr>
          <w:lang w:eastAsia="en-AU"/>
        </w:rPr>
        <w:t xml:space="preserve">Jobs and Skills Australia’s establishing legislation requires us to prepare and provide this jobs and skills report to government on Australia’s current, emerging and future skills and training needs and priorities. </w:t>
      </w:r>
    </w:p>
    <w:p w14:paraId="111BAAE8" w14:textId="77777777" w:rsidR="00E7311B" w:rsidRPr="00E7311B" w:rsidRDefault="00E7311B" w:rsidP="00AC23AB">
      <w:pPr>
        <w:rPr>
          <w:lang w:eastAsia="en-AU"/>
        </w:rPr>
      </w:pPr>
      <w:r w:rsidRPr="00E7311B">
        <w:rPr>
          <w:lang w:eastAsia="en-AU"/>
        </w:rPr>
        <w:t>As part of this legislative mandate, JSA provides insights on Australia’s current and emerging labour market, including advice on workforce needs and priorities. We also focus on the efficiency and effectiveness of the national skills system, across its core components of vocational education and training, higher education and skilled migration.</w:t>
      </w:r>
    </w:p>
    <w:p w14:paraId="3A2CA38D" w14:textId="544436EA" w:rsidR="00E7311B" w:rsidRPr="00E7311B" w:rsidRDefault="00E7311B" w:rsidP="00AC23AB">
      <w:pPr>
        <w:rPr>
          <w:lang w:eastAsia="en-AU"/>
        </w:rPr>
      </w:pPr>
      <w:r w:rsidRPr="00E7311B">
        <w:rPr>
          <w:lang w:eastAsia="en-AU"/>
        </w:rPr>
        <w:t>Importantly, JSA has a strong focus on ensuring our activities address priority groups in the labour market. JSA’s work seeks to provide advice to government that has the intent of uplifting all Australians to participate to their full potential in the labour market.</w:t>
      </w:r>
      <w:r w:rsidR="008C52B1">
        <w:rPr>
          <w:lang w:eastAsia="en-AU"/>
        </w:rPr>
        <w:t xml:space="preserve"> </w:t>
      </w:r>
    </w:p>
    <w:p w14:paraId="40571E1F" w14:textId="77777777" w:rsidR="00E7311B" w:rsidRPr="00E7311B" w:rsidRDefault="00E7311B" w:rsidP="00AC23AB">
      <w:pPr>
        <w:rPr>
          <w:lang w:eastAsia="en-AU"/>
        </w:rPr>
      </w:pPr>
      <w:r w:rsidRPr="00E7311B">
        <w:rPr>
          <w:lang w:eastAsia="en-AU"/>
        </w:rPr>
        <w:t xml:space="preserve">We also encourage greater collaboration and cooperation between and across those sections of society contributing to, or participating in, the Australian labour market. Critically, this also means that the benefits of education, training, and employment must be inclusive and within the reach of more Australians. We must ensure more people can participate and thrive. </w:t>
      </w:r>
    </w:p>
    <w:p w14:paraId="41F1DB2F" w14:textId="77777777" w:rsidR="00E7311B" w:rsidRPr="00E7311B" w:rsidRDefault="00E7311B" w:rsidP="00AC23AB">
      <w:pPr>
        <w:rPr>
          <w:lang w:eastAsia="en-AU"/>
        </w:rPr>
      </w:pPr>
      <w:r w:rsidRPr="00E7311B">
        <w:rPr>
          <w:lang w:eastAsia="en-AU"/>
        </w:rPr>
        <w:t xml:space="preserve">This report outlines evidence and analysis across 5 strategic pillars that guide our work and help us collaborate effectively to achieve a more prosperous future: </w:t>
      </w:r>
    </w:p>
    <w:p w14:paraId="213FD963" w14:textId="77777777" w:rsidR="00E7311B" w:rsidRPr="00E7311B" w:rsidRDefault="00E7311B" w:rsidP="00AC23AB">
      <w:pPr>
        <w:pStyle w:val="ListNumber"/>
        <w:rPr>
          <w:lang w:eastAsia="en-AU"/>
        </w:rPr>
      </w:pPr>
      <w:r w:rsidRPr="009471C2">
        <w:rPr>
          <w:b/>
          <w:bCs/>
          <w:lang w:eastAsia="en-AU"/>
        </w:rPr>
        <w:t>Fostering inclusive participation</w:t>
      </w:r>
      <w:r w:rsidRPr="00E7311B">
        <w:rPr>
          <w:lang w:eastAsia="en-AU"/>
        </w:rPr>
        <w:t xml:space="preserve"> – broadening employment opportunities through identifying and removing barriers for people and communities. </w:t>
      </w:r>
    </w:p>
    <w:p w14:paraId="3265C8B8" w14:textId="2463CCBC" w:rsidR="00E7311B" w:rsidRPr="00E7311B" w:rsidRDefault="00E7311B" w:rsidP="00AC23AB">
      <w:pPr>
        <w:pStyle w:val="ListNumber"/>
        <w:rPr>
          <w:lang w:eastAsia="en-AU"/>
        </w:rPr>
      </w:pPr>
      <w:r w:rsidRPr="009471C2">
        <w:rPr>
          <w:b/>
          <w:bCs/>
          <w:lang w:eastAsia="en-AU"/>
        </w:rPr>
        <w:t>Understanding today’s workforce</w:t>
      </w:r>
      <w:r w:rsidRPr="00E7311B">
        <w:rPr>
          <w:lang w:eastAsia="en-AU"/>
        </w:rPr>
        <w:t xml:space="preserve"> – building the evidence base to inform and address current and emerging labour market and skills needs.</w:t>
      </w:r>
      <w:r w:rsidR="008C52B1">
        <w:rPr>
          <w:lang w:eastAsia="en-AU"/>
        </w:rPr>
        <w:t xml:space="preserve"> </w:t>
      </w:r>
    </w:p>
    <w:p w14:paraId="67D20AD9" w14:textId="543541B2" w:rsidR="00E7311B" w:rsidRPr="00E7311B" w:rsidRDefault="00E7311B" w:rsidP="00AC23AB">
      <w:pPr>
        <w:pStyle w:val="ListNumber"/>
        <w:rPr>
          <w:lang w:eastAsia="en-AU"/>
        </w:rPr>
      </w:pPr>
      <w:r w:rsidRPr="009471C2">
        <w:rPr>
          <w:b/>
          <w:bCs/>
          <w:lang w:eastAsia="en-AU"/>
        </w:rPr>
        <w:t>Shaping Australia’s future workforce</w:t>
      </w:r>
      <w:r w:rsidRPr="00E7311B">
        <w:rPr>
          <w:lang w:eastAsia="en-AU"/>
        </w:rPr>
        <w:t xml:space="preserve"> – projecting forward to plan for the opportunities and challenges of our nation’s future workforce needs.</w:t>
      </w:r>
      <w:r w:rsidR="008C52B1">
        <w:rPr>
          <w:lang w:eastAsia="en-AU"/>
        </w:rPr>
        <w:t xml:space="preserve"> </w:t>
      </w:r>
    </w:p>
    <w:p w14:paraId="43D001EA" w14:textId="74276B2A" w:rsidR="00E7311B" w:rsidRPr="00E7311B" w:rsidRDefault="00E7311B" w:rsidP="00AC23AB">
      <w:pPr>
        <w:pStyle w:val="ListNumber"/>
        <w:rPr>
          <w:lang w:eastAsia="en-AU"/>
        </w:rPr>
      </w:pPr>
      <w:r w:rsidRPr="009471C2">
        <w:rPr>
          <w:b/>
          <w:bCs/>
          <w:lang w:eastAsia="en-AU"/>
        </w:rPr>
        <w:t>Optimising pathways and system architecture</w:t>
      </w:r>
      <w:r w:rsidRPr="00E7311B">
        <w:rPr>
          <w:lang w:eastAsia="en-AU"/>
        </w:rPr>
        <w:t xml:space="preserve"> – monitoring, analysing and advising on the effectiveness of the national skills system. </w:t>
      </w:r>
    </w:p>
    <w:p w14:paraId="23964194" w14:textId="719DB715" w:rsidR="00E7311B" w:rsidRPr="00E7311B" w:rsidRDefault="00E7311B" w:rsidP="00AC23AB">
      <w:pPr>
        <w:pStyle w:val="ListNumber"/>
        <w:rPr>
          <w:lang w:eastAsia="en-AU"/>
        </w:rPr>
      </w:pPr>
      <w:r w:rsidRPr="009471C2">
        <w:rPr>
          <w:b/>
          <w:bCs/>
          <w:lang w:eastAsia="en-AU"/>
        </w:rPr>
        <w:t>Activating an informed dialogue</w:t>
      </w:r>
      <w:r w:rsidRPr="00E7311B">
        <w:rPr>
          <w:lang w:eastAsia="en-AU"/>
        </w:rPr>
        <w:t xml:space="preserve"> – </w:t>
      </w:r>
      <w:r w:rsidR="00D9725A">
        <w:rPr>
          <w:lang w:eastAsia="en-AU"/>
        </w:rPr>
        <w:t>convening stakeholders across the skills system, to provide the best evidence and advice on</w:t>
      </w:r>
      <w:r w:rsidRPr="00E7311B">
        <w:rPr>
          <w:lang w:eastAsia="en-AU"/>
        </w:rPr>
        <w:t xml:space="preserve"> Australia’s current and future workforce and skills needs and opportunities.</w:t>
      </w:r>
      <w:r w:rsidR="008C52B1">
        <w:rPr>
          <w:lang w:eastAsia="en-AU"/>
        </w:rPr>
        <w:t xml:space="preserve"> </w:t>
      </w:r>
    </w:p>
    <w:p w14:paraId="40DE0A18" w14:textId="3CCAE817" w:rsidR="00AC2606" w:rsidRPr="00761118" w:rsidRDefault="00AC2606" w:rsidP="00761118">
      <w:pPr>
        <w:pStyle w:val="Heading2"/>
        <w:rPr>
          <w:lang w:eastAsia="en-AU"/>
        </w:rPr>
      </w:pPr>
      <w:bookmarkStart w:id="6" w:name="_Toc181371539"/>
      <w:r w:rsidRPr="00AC0957">
        <w:rPr>
          <w:lang w:eastAsia="en-AU"/>
        </w:rPr>
        <w:t>1. Fostering inclusive participation</w:t>
      </w:r>
      <w:bookmarkEnd w:id="6"/>
      <w:r w:rsidRPr="00AC0957">
        <w:rPr>
          <w:lang w:eastAsia="en-AU"/>
        </w:rPr>
        <w:t> </w:t>
      </w:r>
    </w:p>
    <w:p w14:paraId="332F9E94" w14:textId="28246568" w:rsidR="00AC2606" w:rsidRPr="00761118" w:rsidRDefault="00FD6422" w:rsidP="00761118">
      <w:pPr>
        <w:rPr>
          <w:lang w:eastAsia="en-AU"/>
        </w:rPr>
      </w:pPr>
      <w:r w:rsidRPr="00FD6422">
        <w:rPr>
          <w:lang w:eastAsia="en-AU"/>
        </w:rPr>
        <w:t>Behind our statistics, at the heart of our labour market, are people. People seek</w:t>
      </w:r>
      <w:r w:rsidR="004835E4">
        <w:rPr>
          <w:lang w:eastAsia="en-AU"/>
        </w:rPr>
        <w:t xml:space="preserve"> </w:t>
      </w:r>
      <w:r w:rsidRPr="00FD6422">
        <w:rPr>
          <w:lang w:eastAsia="en-AU"/>
        </w:rPr>
        <w:t>certainty and confidence they can access the benefits of safe and secure employment including financial independence, health and wellbeing, and social connection. Many groups and communities still face barriers to employment or are unable to work the hours they want and need in order to access the full benefits of paid work. A tight labour market presents opportunities for all groups to be included in the workforce, and more needs to be done to improve access to employment opportunities and remove barriers to participation</w:t>
      </w:r>
      <w:r w:rsidR="00AC2606" w:rsidRPr="00AC0957">
        <w:rPr>
          <w:lang w:eastAsia="en-AU"/>
        </w:rPr>
        <w:t>. </w:t>
      </w:r>
    </w:p>
    <w:p w14:paraId="44E365E3" w14:textId="77777777" w:rsidR="00AC2606" w:rsidRPr="00AC0957" w:rsidRDefault="00AC2606" w:rsidP="00EA4A1A">
      <w:pPr>
        <w:pStyle w:val="Heading3"/>
        <w:rPr>
          <w:sz w:val="18"/>
          <w:szCs w:val="18"/>
          <w:lang w:eastAsia="en-AU"/>
        </w:rPr>
      </w:pPr>
      <w:bookmarkStart w:id="7" w:name="_Toc181371540"/>
      <w:r w:rsidRPr="00AC0957">
        <w:rPr>
          <w:lang w:eastAsia="en-AU"/>
        </w:rPr>
        <w:t>Achieving full employment</w:t>
      </w:r>
      <w:bookmarkEnd w:id="7"/>
      <w:r w:rsidRPr="00AC0957">
        <w:rPr>
          <w:lang w:eastAsia="en-AU"/>
        </w:rPr>
        <w:t> </w:t>
      </w:r>
    </w:p>
    <w:p w14:paraId="43A16FD6" w14:textId="387F8119" w:rsidR="00AC2606" w:rsidRPr="00EA4A1A" w:rsidRDefault="00AC2606" w:rsidP="00EA4A1A">
      <w:pPr>
        <w:keepNext/>
        <w:keepLines/>
        <w:rPr>
          <w:lang w:eastAsia="en-AU"/>
        </w:rPr>
      </w:pPr>
      <w:r w:rsidRPr="00AC0957">
        <w:rPr>
          <w:lang w:eastAsia="en-AU"/>
        </w:rPr>
        <w:t xml:space="preserve">The Australian Government’s White Paper on Jobs and Opportunities, </w:t>
      </w:r>
      <w:r w:rsidRPr="00AC0957">
        <w:rPr>
          <w:i/>
          <w:iCs/>
          <w:lang w:eastAsia="en-AU"/>
        </w:rPr>
        <w:t>Working Future</w:t>
      </w:r>
      <w:r w:rsidRPr="00AC0957">
        <w:rPr>
          <w:lang w:eastAsia="en-AU"/>
        </w:rPr>
        <w:t xml:space="preserve">, outlines the </w:t>
      </w:r>
      <w:r w:rsidR="00167A30">
        <w:rPr>
          <w:lang w:eastAsia="en-AU"/>
        </w:rPr>
        <w:t>g</w:t>
      </w:r>
      <w:r w:rsidRPr="00AC0957">
        <w:rPr>
          <w:lang w:eastAsia="en-AU"/>
        </w:rPr>
        <w:t>overnment’s vision for:</w:t>
      </w:r>
      <w:r w:rsidR="008C52B1">
        <w:rPr>
          <w:lang w:eastAsia="en-AU"/>
        </w:rPr>
        <w:t xml:space="preserve"> </w:t>
      </w:r>
    </w:p>
    <w:p w14:paraId="3D43803C" w14:textId="7E28B01E" w:rsidR="00AC2606" w:rsidRPr="00CB060C" w:rsidRDefault="00AC2606" w:rsidP="00EA4A1A">
      <w:pPr>
        <w:pStyle w:val="Quote"/>
        <w:keepLines/>
        <w:ind w:left="862" w:right="862"/>
        <w:rPr>
          <w:i w:val="0"/>
          <w:iCs w:val="0"/>
          <w:lang w:eastAsia="en-AU"/>
        </w:rPr>
      </w:pPr>
      <w:r w:rsidRPr="00AC0957">
        <w:rPr>
          <w:lang w:eastAsia="en-AU"/>
        </w:rPr>
        <w:t xml:space="preserve">sustained and inclusive full employment, which means everyone who wants a job should be able to find one without having to search for too long. This recognises that decent jobs and opportunities </w:t>
      </w:r>
      <w:r w:rsidRPr="00761118">
        <w:t>are</w:t>
      </w:r>
      <w:r w:rsidRPr="00AC0957">
        <w:rPr>
          <w:lang w:eastAsia="en-AU"/>
        </w:rPr>
        <w:t xml:space="preserve"> central to a strong economy and a prosperous and inclusive society</w:t>
      </w:r>
      <w:sdt>
        <w:sdtPr>
          <w:rPr>
            <w:i w:val="0"/>
            <w:iCs w:val="0"/>
            <w:lang w:eastAsia="en-AU"/>
          </w:rPr>
          <w:id w:val="-544909801"/>
          <w:citation/>
        </w:sdtPr>
        <w:sdtEndPr/>
        <w:sdtContent>
          <w:r w:rsidR="007C436D">
            <w:rPr>
              <w:i w:val="0"/>
              <w:iCs w:val="0"/>
              <w:lang w:eastAsia="en-AU"/>
            </w:rPr>
            <w:fldChar w:fldCharType="begin"/>
          </w:r>
          <w:r w:rsidR="007C436D">
            <w:rPr>
              <w:i w:val="0"/>
              <w:iCs w:val="0"/>
              <w:lang w:eastAsia="en-AU"/>
            </w:rPr>
            <w:instrText xml:space="preserve">CITATION Aus23 \t  \l 3081 </w:instrText>
          </w:r>
          <w:r w:rsidR="007C436D">
            <w:rPr>
              <w:i w:val="0"/>
              <w:iCs w:val="0"/>
              <w:lang w:eastAsia="en-AU"/>
            </w:rPr>
            <w:fldChar w:fldCharType="separate"/>
          </w:r>
          <w:r w:rsidR="00CA3587">
            <w:rPr>
              <w:i w:val="0"/>
              <w:iCs w:val="0"/>
              <w:noProof/>
              <w:lang w:eastAsia="en-AU"/>
            </w:rPr>
            <w:t xml:space="preserve"> </w:t>
          </w:r>
          <w:r w:rsidR="00CA3587">
            <w:rPr>
              <w:noProof/>
              <w:lang w:eastAsia="en-AU"/>
            </w:rPr>
            <w:t>(Commonwealth of Australia, 2023a)</w:t>
          </w:r>
          <w:r w:rsidR="007C436D">
            <w:rPr>
              <w:i w:val="0"/>
              <w:iCs w:val="0"/>
              <w:lang w:eastAsia="en-AU"/>
            </w:rPr>
            <w:fldChar w:fldCharType="end"/>
          </w:r>
        </w:sdtContent>
      </w:sdt>
      <w:r w:rsidRPr="00CB060C">
        <w:rPr>
          <w:i w:val="0"/>
          <w:iCs w:val="0"/>
          <w:lang w:eastAsia="en-AU"/>
        </w:rPr>
        <w:t>.</w:t>
      </w:r>
      <w:r w:rsidR="008C52B1">
        <w:rPr>
          <w:i w:val="0"/>
          <w:iCs w:val="0"/>
          <w:lang w:eastAsia="en-AU"/>
        </w:rPr>
        <w:t xml:space="preserve"> </w:t>
      </w:r>
    </w:p>
    <w:p w14:paraId="35E3BD33" w14:textId="77777777" w:rsidR="00954F54" w:rsidRPr="00954F54" w:rsidRDefault="00954F54" w:rsidP="00954F54">
      <w:pPr>
        <w:rPr>
          <w:rFonts w:cs="Arial"/>
        </w:rPr>
      </w:pPr>
      <w:r w:rsidRPr="00954F54">
        <w:rPr>
          <w:rFonts w:cs="Arial"/>
        </w:rPr>
        <w:t xml:space="preserve">Reflecting the softening in labour market conditions that has occurred over the past year, it is not surprising to note that some full employment indicators have weakened slightly over the period but are still tracking well by historical standards. </w:t>
      </w:r>
    </w:p>
    <w:p w14:paraId="47C91577" w14:textId="7CDE2245" w:rsidR="00954F54" w:rsidRDefault="00954F54" w:rsidP="00954F54">
      <w:pPr>
        <w:rPr>
          <w:rFonts w:cs="Arial"/>
        </w:rPr>
      </w:pPr>
      <w:r w:rsidRPr="00954F54">
        <w:rPr>
          <w:rFonts w:cs="Arial"/>
        </w:rPr>
        <w:t xml:space="preserve">Encouragingly, some indicators of </w:t>
      </w:r>
      <w:r w:rsidRPr="003C0330">
        <w:rPr>
          <w:rFonts w:cs="Arial"/>
          <w:i/>
          <w:iCs/>
        </w:rPr>
        <w:t>inclusive</w:t>
      </w:r>
      <w:r w:rsidRPr="00954F54">
        <w:rPr>
          <w:rFonts w:cs="Arial"/>
        </w:rPr>
        <w:t xml:space="preserve"> full employment have improved over the last year – although more work needs to be done so the benefits of growth can be shared more equitably across a number of disadvantaged groups.</w:t>
      </w:r>
    </w:p>
    <w:p w14:paraId="381005BB" w14:textId="77777777" w:rsidR="00AC2606" w:rsidRPr="00AC0957" w:rsidRDefault="00AC2606" w:rsidP="00761118">
      <w:pPr>
        <w:pStyle w:val="Heading3"/>
        <w:rPr>
          <w:lang w:eastAsia="en-AU"/>
        </w:rPr>
      </w:pPr>
      <w:bookmarkStart w:id="8" w:name="_Toc181371541"/>
      <w:r w:rsidRPr="00AC0957">
        <w:rPr>
          <w:lang w:eastAsia="en-AU"/>
        </w:rPr>
        <w:t>Addressing barriers to inclusion</w:t>
      </w:r>
      <w:bookmarkEnd w:id="8"/>
      <w:r w:rsidRPr="00AC0957">
        <w:rPr>
          <w:lang w:eastAsia="en-AU"/>
        </w:rPr>
        <w:t> </w:t>
      </w:r>
    </w:p>
    <w:p w14:paraId="6B0982AC" w14:textId="7D739818" w:rsidR="003E42C9" w:rsidRPr="003E42C9" w:rsidRDefault="003E42C9" w:rsidP="003E42C9">
      <w:pPr>
        <w:rPr>
          <w:lang w:val="en-US" w:eastAsia="en-AU"/>
        </w:rPr>
      </w:pPr>
      <w:r w:rsidRPr="003E42C9">
        <w:rPr>
          <w:lang w:val="en-US" w:eastAsia="en-AU"/>
        </w:rPr>
        <w:t>JSA has a focus on supporting national agendas aimed at enabling people who have traditionally faced barriers to participate more fully in the labour market, including contributing to the national Closing the Gap targets and outcomes, supporting women’s economic equality and safety, and increasing access for people with disability. In undertaking our work, we actively seek out and include diverse perspectives, including those of First Nations people, people with disability, culturally and linguistically diverse groups, and others who have historically experienced labour market disadvantage and exclusion.</w:t>
      </w:r>
    </w:p>
    <w:p w14:paraId="66E6E496" w14:textId="6D9709D9" w:rsidR="003E42C9" w:rsidRPr="003E42C9" w:rsidRDefault="003E42C9" w:rsidP="003E42C9">
      <w:pPr>
        <w:rPr>
          <w:lang w:val="en-US" w:eastAsia="en-AU"/>
        </w:rPr>
      </w:pPr>
      <w:r w:rsidRPr="003E42C9">
        <w:rPr>
          <w:lang w:val="en-US" w:eastAsia="en-AU"/>
        </w:rPr>
        <w:t>Despite improvement in the number of First Nations people aged 25-64 who are employed, and a narrowing of the gap to non-Indigenous people, barriers remain for First Nations people accessing the full range of economic opportunities to the same degree as all Australians. Analysis shows that First Nations workers account for a lower share of higher</w:t>
      </w:r>
      <w:r w:rsidR="005E0314">
        <w:rPr>
          <w:lang w:val="en-US" w:eastAsia="en-AU"/>
        </w:rPr>
        <w:noBreakHyphen/>
      </w:r>
      <w:r w:rsidRPr="003E42C9">
        <w:rPr>
          <w:lang w:val="en-US" w:eastAsia="en-AU"/>
        </w:rPr>
        <w:t xml:space="preserve">skilled occupations and a larger share of lower-skilled occupations, which may indicate the presence of persisting barriers to participation. </w:t>
      </w:r>
    </w:p>
    <w:p w14:paraId="16E0EA11" w14:textId="77777777" w:rsidR="003E42C9" w:rsidRPr="003E42C9" w:rsidRDefault="003E42C9" w:rsidP="003E42C9">
      <w:pPr>
        <w:rPr>
          <w:lang w:val="en-US" w:eastAsia="en-AU"/>
        </w:rPr>
      </w:pPr>
      <w:r w:rsidRPr="003E42C9">
        <w:rPr>
          <w:lang w:val="en-US" w:eastAsia="en-AU"/>
        </w:rPr>
        <w:t xml:space="preserve">Over half of the First Nations working age population also reside in regional or remote areas, compared with 22% for all persons. This further highlights the significant, complex, and often interconnected barriers to employment faced by First Nations people, as in addition to the intergenerational trauma experienced by First Nations people, these regions often have a long history of entrenched labour market disadvantage. </w:t>
      </w:r>
    </w:p>
    <w:p w14:paraId="4C973303" w14:textId="12A0C542" w:rsidR="003E42C9" w:rsidRPr="003E42C9" w:rsidRDefault="003E42C9" w:rsidP="003E42C9">
      <w:pPr>
        <w:rPr>
          <w:lang w:val="en-US" w:eastAsia="en-AU"/>
        </w:rPr>
      </w:pPr>
      <w:r w:rsidRPr="003E42C9">
        <w:rPr>
          <w:lang w:val="en-US" w:eastAsia="en-AU"/>
        </w:rPr>
        <w:t xml:space="preserve">Our capacity studies found that within those workforces, First Nations representation is typically lower in comparison to the broader labour force. For many workforces, this was also more prevalent for more highly skilled and more highly remunerated occupations. Recommendations across the studies relate to increasing the relevance of training pathways for First Nations people, but importantly they also include actions intended to increase the cultural safety and support of First Nations people working in, or impacted by, the sectors being studied. </w:t>
      </w:r>
    </w:p>
    <w:p w14:paraId="38FB9F83" w14:textId="2020394D" w:rsidR="003E42C9" w:rsidRPr="003E42C9" w:rsidRDefault="003E42C9" w:rsidP="003E42C9">
      <w:pPr>
        <w:rPr>
          <w:lang w:val="en-US" w:eastAsia="en-AU"/>
        </w:rPr>
      </w:pPr>
      <w:r w:rsidRPr="003E42C9">
        <w:rPr>
          <w:lang w:val="en-US" w:eastAsia="en-AU"/>
        </w:rPr>
        <w:t xml:space="preserve">Women are participating in the labour market at higher rates than ever before, but analysis shows that part-time employment is still more common for female than male workers, and this is prevalent across industries, skill </w:t>
      </w:r>
      <w:r w:rsidR="00317BC7" w:rsidRPr="003E42C9">
        <w:rPr>
          <w:lang w:val="en-US" w:eastAsia="en-AU"/>
        </w:rPr>
        <w:t>levels</w:t>
      </w:r>
      <w:r w:rsidR="00BE464A">
        <w:rPr>
          <w:rStyle w:val="FootnoteReference"/>
          <w:lang w:val="en-US" w:eastAsia="en-AU"/>
        </w:rPr>
        <w:footnoteReference w:id="2"/>
      </w:r>
      <w:r w:rsidR="00317BC7" w:rsidRPr="003E42C9">
        <w:rPr>
          <w:lang w:val="en-US" w:eastAsia="en-AU"/>
        </w:rPr>
        <w:t>,</w:t>
      </w:r>
      <w:r w:rsidRPr="003E42C9">
        <w:rPr>
          <w:lang w:val="en-US" w:eastAsia="en-AU"/>
        </w:rPr>
        <w:t xml:space="preserve"> and occupations. </w:t>
      </w:r>
    </w:p>
    <w:p w14:paraId="6B0214EC" w14:textId="77777777" w:rsidR="003E42C9" w:rsidRPr="003E42C9" w:rsidRDefault="003E42C9" w:rsidP="003E42C9">
      <w:pPr>
        <w:rPr>
          <w:lang w:val="en-US" w:eastAsia="en-AU"/>
        </w:rPr>
      </w:pPr>
      <w:r w:rsidRPr="003E42C9">
        <w:rPr>
          <w:lang w:val="en-US" w:eastAsia="en-AU"/>
        </w:rPr>
        <w:t xml:space="preserve">It is important to recognise the role of part-time work in attracting workers to occupations in shortage, and to allow people the flexibility to balance work and life. It is important to ensure that both men and women can access the working arrangements and flexibility that suit their needs and preferences, and to address the barriers that prevent them from doing so. </w:t>
      </w:r>
    </w:p>
    <w:p w14:paraId="235241CC" w14:textId="1F1F2432" w:rsidR="003E42C9" w:rsidRPr="003E42C9" w:rsidRDefault="003E42C9" w:rsidP="003E42C9">
      <w:pPr>
        <w:rPr>
          <w:lang w:val="en-US" w:eastAsia="en-AU"/>
        </w:rPr>
      </w:pPr>
      <w:r w:rsidRPr="003E42C9">
        <w:rPr>
          <w:lang w:val="en-US" w:eastAsia="en-AU"/>
        </w:rPr>
        <w:t>Societal and structural barriers not only impact outcomes for women. In addition to the poorer outcomes for men in the ability to access flexible work policies and parental leave, our analysis shows that occupations that have a stronger gender imbalance in the labour market are also more likely to be in shortage. This was true for both male- and female</w:t>
      </w:r>
      <w:r w:rsidR="005E0314">
        <w:rPr>
          <w:lang w:val="en-US" w:eastAsia="en-AU"/>
        </w:rPr>
        <w:noBreakHyphen/>
      </w:r>
      <w:r w:rsidRPr="003E42C9">
        <w:rPr>
          <w:lang w:val="en-US" w:eastAsia="en-AU"/>
        </w:rPr>
        <w:t>dominated occupations and demonstrates one way that challenging gender norms and expectations can have beneficial outcomes for the labour market, and how a more gender</w:t>
      </w:r>
      <w:r w:rsidR="00F2617F">
        <w:rPr>
          <w:lang w:val="en-US" w:eastAsia="en-AU"/>
        </w:rPr>
        <w:noBreakHyphen/>
      </w:r>
      <w:r w:rsidRPr="003E42C9">
        <w:rPr>
          <w:lang w:val="en-US" w:eastAsia="en-AU"/>
        </w:rPr>
        <w:t>equal society benefits all Australians.</w:t>
      </w:r>
      <w:r w:rsidR="008C52B1">
        <w:rPr>
          <w:lang w:val="en-US" w:eastAsia="en-AU"/>
        </w:rPr>
        <w:t xml:space="preserve"> </w:t>
      </w:r>
    </w:p>
    <w:p w14:paraId="5EE155AA" w14:textId="14202EBA" w:rsidR="003E42C9" w:rsidRPr="003E42C9" w:rsidRDefault="003E42C9" w:rsidP="003E42C9">
      <w:pPr>
        <w:rPr>
          <w:lang w:val="en-US" w:eastAsia="en-AU"/>
        </w:rPr>
      </w:pPr>
      <w:r w:rsidRPr="003E42C9">
        <w:rPr>
          <w:lang w:val="en-US" w:eastAsia="en-AU"/>
        </w:rPr>
        <w:t xml:space="preserve">For example, JSA’s 2023 Clean Energy Capacity Study identified that Australia will need an additional 32,000 electricians by 2030, and that one of the most important pathways to achieving this growth is to increase the number of women undertaking trade apprenticeships. Progress has been made on the number of female electricians, with strong growth in the number of female apprentices since 2017, who now make up around 8% of all electrical apprenticeships. More focused work is needed to address gender imbalances across the labour market, including to increase male participation in female-dominated occupations. </w:t>
      </w:r>
    </w:p>
    <w:p w14:paraId="721C5491" w14:textId="5E7279EB" w:rsidR="003E42C9" w:rsidRPr="003E42C9" w:rsidRDefault="003E42C9" w:rsidP="003E42C9">
      <w:pPr>
        <w:rPr>
          <w:lang w:val="en-US" w:eastAsia="en-AU"/>
        </w:rPr>
      </w:pPr>
      <w:r w:rsidRPr="003E42C9">
        <w:rPr>
          <w:lang w:val="en-US" w:eastAsia="en-AU"/>
        </w:rPr>
        <w:t xml:space="preserve">A consideration of insecure work must be part of efforts to foster a truly inclusive labour market. Income volatility can be a measure of insecure work, and JSA has undertaken work to understand the level of income volatility for Australian workers. Employees in jobs who experienced less income volatility, on average, earned a higher annual income and remained in that job for longer. Those who have more than one job experienced higher volatility in additional jobs outside of their main job and remained in these jobs for shorter periods. The next step for this analysis is to undertake correlation analysis to identify the relationship between income volatility and job tenure since this could predict potential shortages in occupations where income volatility is prevalent. This will be possible when data from phase 2 of Single Touch Payroll becomes available in </w:t>
      </w:r>
      <w:r w:rsidR="000F0F0B">
        <w:rPr>
          <w:lang w:val="en-US" w:eastAsia="en-AU"/>
        </w:rPr>
        <w:t>the Person Level Integrated Data Asset</w:t>
      </w:r>
      <w:r w:rsidR="004B2749">
        <w:rPr>
          <w:lang w:val="en-US" w:eastAsia="en-AU"/>
        </w:rPr>
        <w:t xml:space="preserve"> (</w:t>
      </w:r>
      <w:r w:rsidRPr="003E42C9">
        <w:rPr>
          <w:lang w:val="en-US" w:eastAsia="en-AU"/>
        </w:rPr>
        <w:t>PLIDA</w:t>
      </w:r>
      <w:r w:rsidR="004B2749">
        <w:rPr>
          <w:lang w:val="en-US" w:eastAsia="en-AU"/>
        </w:rPr>
        <w:t>)</w:t>
      </w:r>
      <w:r w:rsidR="005E3877">
        <w:rPr>
          <w:rStyle w:val="FootnoteReference"/>
          <w:lang w:val="en-US" w:eastAsia="en-AU"/>
        </w:rPr>
        <w:footnoteReference w:id="3"/>
      </w:r>
      <w:r w:rsidRPr="003E42C9">
        <w:rPr>
          <w:lang w:val="en-US" w:eastAsia="en-AU"/>
        </w:rPr>
        <w:t xml:space="preserve">. </w:t>
      </w:r>
    </w:p>
    <w:p w14:paraId="481DE3F0" w14:textId="77777777" w:rsidR="003E42C9" w:rsidRPr="003E42C9" w:rsidRDefault="003E42C9" w:rsidP="003E42C9">
      <w:pPr>
        <w:rPr>
          <w:lang w:val="en-US" w:eastAsia="en-AU"/>
        </w:rPr>
      </w:pPr>
      <w:r w:rsidRPr="003E42C9">
        <w:rPr>
          <w:lang w:val="en-US" w:eastAsia="en-AU"/>
        </w:rPr>
        <w:t xml:space="preserve">International students are another vulnerable group. They enrich Australia’s campuses, communities, and economy – but many of those who remain in Australia after graduation face barriers transitioning into the skilled workforce. The changing demography of the student population, a complex visa environment, and challenges in achieving relevant work outcomes are shaping the international education experience in Australia. </w:t>
      </w:r>
    </w:p>
    <w:p w14:paraId="71091283" w14:textId="465BE0C9" w:rsidR="00AC2606" w:rsidRPr="00761118" w:rsidRDefault="003E42C9" w:rsidP="003E42C9">
      <w:pPr>
        <w:rPr>
          <w:lang w:eastAsia="en-AU"/>
        </w:rPr>
      </w:pPr>
      <w:r w:rsidRPr="003E42C9">
        <w:rPr>
          <w:lang w:val="en-US" w:eastAsia="en-AU"/>
        </w:rPr>
        <w:t>Further examination of the impact of the barriers, including how educational experiences prepare work-ready graduates, is required to determine how to better support international graduates to transition more successfully to the skilled workforce.</w:t>
      </w:r>
      <w:r w:rsidR="008C52B1">
        <w:rPr>
          <w:lang w:val="en-US" w:eastAsia="en-AU"/>
        </w:rPr>
        <w:t xml:space="preserve"> </w:t>
      </w:r>
    </w:p>
    <w:p w14:paraId="041810D2" w14:textId="77777777" w:rsidR="00AC2606" w:rsidRPr="00AC0957" w:rsidRDefault="00AC2606" w:rsidP="00761118">
      <w:pPr>
        <w:pStyle w:val="Heading3"/>
        <w:rPr>
          <w:sz w:val="18"/>
          <w:szCs w:val="18"/>
          <w:lang w:eastAsia="en-AU"/>
        </w:rPr>
      </w:pPr>
      <w:bookmarkStart w:id="9" w:name="_Toc181371542"/>
      <w:r w:rsidRPr="00AC0957">
        <w:rPr>
          <w:lang w:val="en-US" w:eastAsia="en-AU"/>
        </w:rPr>
        <w:t>The role of education and training</w:t>
      </w:r>
      <w:bookmarkEnd w:id="9"/>
      <w:r w:rsidRPr="00AC0957">
        <w:rPr>
          <w:lang w:eastAsia="en-AU"/>
        </w:rPr>
        <w:t> </w:t>
      </w:r>
    </w:p>
    <w:p w14:paraId="41CE0869" w14:textId="77777777" w:rsidR="001620C5" w:rsidRDefault="001620C5" w:rsidP="001620C5">
      <w:pPr>
        <w:rPr>
          <w:lang w:eastAsia="en-AU"/>
        </w:rPr>
      </w:pPr>
      <w:r>
        <w:rPr>
          <w:lang w:eastAsia="en-AU"/>
        </w:rPr>
        <w:t>Foundation skills underpin successful participation in society, education, training, and the workplace, and improving these skills can have a direct and positive impact on a person’s economic and social wellbeing. No single identified dataset can provide a detailed understanding of the foundation skills levels of Australian adults, and JSA is undertaking 3 studies to better understand the foundation skills levels of Australian adults.</w:t>
      </w:r>
    </w:p>
    <w:p w14:paraId="6FFD6E20" w14:textId="6E9B33B3" w:rsidR="001620C5" w:rsidRDefault="001620C5" w:rsidP="001620C5">
      <w:pPr>
        <w:rPr>
          <w:lang w:eastAsia="en-AU"/>
        </w:rPr>
      </w:pPr>
      <w:r>
        <w:rPr>
          <w:lang w:eastAsia="en-AU"/>
        </w:rPr>
        <w:t xml:space="preserve">Evidence shows that </w:t>
      </w:r>
      <w:r w:rsidR="00FA3AA5">
        <w:rPr>
          <w:lang w:eastAsia="en-AU"/>
        </w:rPr>
        <w:t>Vocational Education and Training (</w:t>
      </w:r>
      <w:r>
        <w:rPr>
          <w:lang w:eastAsia="en-AU"/>
        </w:rPr>
        <w:t>VET</w:t>
      </w:r>
      <w:r w:rsidR="00FA3AA5">
        <w:rPr>
          <w:lang w:eastAsia="en-AU"/>
        </w:rPr>
        <w:t>)</w:t>
      </w:r>
      <w:r>
        <w:rPr>
          <w:lang w:eastAsia="en-AU"/>
        </w:rPr>
        <w:t xml:space="preserve"> may serve as an important pathway for advancing inclusive participation in the labour market. VET pathways may be attractive options for groups that have historically experienced labour market and other disadvantage given the barriers to qualification requirements and cost (including the option to ‘earn while you learn’).</w:t>
      </w:r>
      <w:r w:rsidR="008C52B1">
        <w:rPr>
          <w:lang w:eastAsia="en-AU"/>
        </w:rPr>
        <w:t xml:space="preserve"> </w:t>
      </w:r>
    </w:p>
    <w:p w14:paraId="2A5F08BC" w14:textId="77777777" w:rsidR="001620C5" w:rsidRDefault="001620C5" w:rsidP="001620C5">
      <w:pPr>
        <w:rPr>
          <w:lang w:eastAsia="en-AU"/>
        </w:rPr>
      </w:pPr>
      <w:r>
        <w:rPr>
          <w:lang w:eastAsia="en-AU"/>
        </w:rPr>
        <w:t xml:space="preserve">Analysis from the VET National Data Asset (VNDA) shows that completion of a VET course may contribute to an increase in employment. This rise in employment is similar to all students for First Nations students and people with disability and is higher for female students than for all students. Completion of a VET qualification also likely contributed to an annual medium income uplift for graduates of $11,800, and higher for First Nations graduates at $13,000. </w:t>
      </w:r>
    </w:p>
    <w:p w14:paraId="71495597" w14:textId="77777777" w:rsidR="001620C5" w:rsidRDefault="001620C5" w:rsidP="001620C5">
      <w:pPr>
        <w:rPr>
          <w:lang w:eastAsia="en-AU"/>
        </w:rPr>
      </w:pPr>
      <w:r>
        <w:rPr>
          <w:lang w:eastAsia="en-AU"/>
        </w:rPr>
        <w:t xml:space="preserve">Of the students that were on income support prior to study, 39% were no longer on income support two years after the completion of their VET course. This may indicate the contribution of the VET system in helping to provide students with a pathway off income support and into the workforce. However, this proportion was lower for females (36%), First Nations students (34%) and students with disability (22%), highlighting that there is still work to be done in improving the outcomes for these cohorts. </w:t>
      </w:r>
    </w:p>
    <w:p w14:paraId="1BB46477" w14:textId="466F8BAA" w:rsidR="00AC2606" w:rsidRPr="00761118" w:rsidRDefault="001620C5" w:rsidP="001620C5">
      <w:pPr>
        <w:rPr>
          <w:lang w:eastAsia="en-AU"/>
        </w:rPr>
      </w:pPr>
      <w:r>
        <w:rPr>
          <w:lang w:eastAsia="en-AU"/>
        </w:rPr>
        <w:t>For First Nations students, females, and people with disability, a higher proportion who had completed VET training went on to pursue further VET programs at a higher level, compared with the proportion of all students. For females, a higher proportion than that of all students also went on to pursue higher education through university. This demonstrates the relevance of VET as an enabling pathway for historically disadvantaged cohorts to access more opportunities to participate, access safe and secure work, and thrive.</w:t>
      </w:r>
    </w:p>
    <w:p w14:paraId="727EDF8D" w14:textId="77777777" w:rsidR="00AC2606" w:rsidRPr="00AC0957" w:rsidRDefault="00AC2606" w:rsidP="00761118">
      <w:pPr>
        <w:pStyle w:val="Heading2"/>
        <w:rPr>
          <w:lang w:eastAsia="en-AU"/>
        </w:rPr>
      </w:pPr>
      <w:bookmarkStart w:id="10" w:name="_Toc181371543"/>
      <w:r w:rsidRPr="00AC0957">
        <w:rPr>
          <w:lang w:eastAsia="en-AU"/>
        </w:rPr>
        <w:t>2. Understanding today’s workforce</w:t>
      </w:r>
      <w:bookmarkEnd w:id="10"/>
      <w:r w:rsidRPr="00AC0957">
        <w:rPr>
          <w:lang w:eastAsia="en-AU"/>
        </w:rPr>
        <w:t> </w:t>
      </w:r>
    </w:p>
    <w:p w14:paraId="76E02FD4" w14:textId="6A2C2E86" w:rsidR="00AC2606" w:rsidRPr="00761118" w:rsidRDefault="0032337B" w:rsidP="00761118">
      <w:pPr>
        <w:rPr>
          <w:lang w:eastAsia="en-AU"/>
        </w:rPr>
      </w:pPr>
      <w:r w:rsidRPr="0032337B">
        <w:rPr>
          <w:lang w:eastAsia="en-AU"/>
        </w:rPr>
        <w:t>A contemporary skilled workforce is critical for delivering outcomes for Australia today, and into our future. We know that skills shortages exist in many occupations and that some shortages are persistent, constraining productivity and economic growth. While shortages are extensive, the drivers and the solutions are varied. Understanding current workforce conditions will help us to ensure the system is aligned to address present skills needs.</w:t>
      </w:r>
    </w:p>
    <w:p w14:paraId="1197DAD8" w14:textId="77777777" w:rsidR="00AC2606" w:rsidRPr="00AC0957" w:rsidRDefault="00AC2606" w:rsidP="00761118">
      <w:pPr>
        <w:pStyle w:val="Heading3"/>
        <w:rPr>
          <w:sz w:val="18"/>
          <w:szCs w:val="18"/>
          <w:lang w:eastAsia="en-AU"/>
        </w:rPr>
      </w:pPr>
      <w:bookmarkStart w:id="11" w:name="_Toc181371544"/>
      <w:r w:rsidRPr="00AC0957">
        <w:rPr>
          <w:lang w:eastAsia="en-AU"/>
        </w:rPr>
        <w:t>The big picture – Australia’s labour market today</w:t>
      </w:r>
      <w:bookmarkEnd w:id="11"/>
      <w:r w:rsidRPr="00AC0957">
        <w:rPr>
          <w:lang w:eastAsia="en-AU"/>
        </w:rPr>
        <w:t> </w:t>
      </w:r>
    </w:p>
    <w:p w14:paraId="6C617B06" w14:textId="6216B1BB" w:rsidR="00F17F4D" w:rsidRDefault="00F17F4D" w:rsidP="00F17F4D">
      <w:pPr>
        <w:rPr>
          <w:lang w:eastAsia="en-AU"/>
        </w:rPr>
      </w:pPr>
      <w:r>
        <w:rPr>
          <w:lang w:eastAsia="en-AU"/>
        </w:rPr>
        <w:t>The Australian labour market continues to display remarkable resilience against the backdrop of slowing economic activity and ongoing uncertainty. Despite some emerging challenges, the labour market remains reasonably tight, although the pace of employment growth has eased over the last year, from the robust growth rates recorded in late 2022 and early 2023.</w:t>
      </w:r>
      <w:r w:rsidR="008C52B1">
        <w:rPr>
          <w:lang w:eastAsia="en-AU"/>
        </w:rPr>
        <w:t xml:space="preserve"> </w:t>
      </w:r>
      <w:r>
        <w:rPr>
          <w:lang w:eastAsia="en-AU"/>
        </w:rPr>
        <w:t xml:space="preserve"> </w:t>
      </w:r>
    </w:p>
    <w:p w14:paraId="528DFA67" w14:textId="58996C1B" w:rsidR="00F17F4D" w:rsidRDefault="00F17F4D" w:rsidP="00F17F4D">
      <w:pPr>
        <w:rPr>
          <w:lang w:eastAsia="en-AU"/>
        </w:rPr>
      </w:pPr>
      <w:r>
        <w:rPr>
          <w:lang w:eastAsia="en-AU"/>
        </w:rPr>
        <w:t>Conditions for a number of disadvantaged cohorts</w:t>
      </w:r>
      <w:r w:rsidR="00DF1DD8">
        <w:rPr>
          <w:lang w:eastAsia="en-AU"/>
        </w:rPr>
        <w:t xml:space="preserve"> and groups that can face barriers to participation</w:t>
      </w:r>
      <w:r>
        <w:rPr>
          <w:lang w:eastAsia="en-AU"/>
        </w:rPr>
        <w:t xml:space="preserve">, such as young people and the long-term unemployed, have also eased over the year. This is not surprising, given these cohorts can be particularly vulnerable during periods of labour market softness, as they often have less education and experience than their more highly skilled counterparts. Labour market conditions are also expected to soften further in the period ahead, which may put further upward pressure on the unemployment rate, particularly for those in disadvantaged groups. </w:t>
      </w:r>
    </w:p>
    <w:p w14:paraId="511EBA8F" w14:textId="77777777" w:rsidR="00F17F4D" w:rsidRDefault="00F17F4D" w:rsidP="00F17F4D">
      <w:pPr>
        <w:rPr>
          <w:lang w:eastAsia="en-AU"/>
        </w:rPr>
      </w:pPr>
      <w:r>
        <w:rPr>
          <w:lang w:eastAsia="en-AU"/>
        </w:rPr>
        <w:t xml:space="preserve">Nevertheless, employers continue to experience challenges finding suitably skilled workers to fill vacant positions. While the average number of applicants per vacancy has generally been increasing over the last year, there has only been a marginal increase in the average number of suitable applicants per vacancy, suggesting shortage pressures persist in the labour market. </w:t>
      </w:r>
    </w:p>
    <w:p w14:paraId="7B43C469" w14:textId="1AC71813" w:rsidR="00AC2606" w:rsidRPr="00761118" w:rsidRDefault="00F17F4D" w:rsidP="00F17F4D">
      <w:pPr>
        <w:rPr>
          <w:lang w:eastAsia="en-AU"/>
        </w:rPr>
      </w:pPr>
      <w:r>
        <w:rPr>
          <w:lang w:eastAsia="en-AU"/>
        </w:rPr>
        <w:t>In the face of challenging conditions, it is more critical than ever that our responses and interventions are inclusive, joined up, and ensure more Australians can participate to the best of their ability</w:t>
      </w:r>
      <w:r w:rsidR="00AC2606" w:rsidRPr="00AC0957">
        <w:rPr>
          <w:lang w:eastAsia="en-AU"/>
        </w:rPr>
        <w:t>.</w:t>
      </w:r>
      <w:r w:rsidR="008C52B1">
        <w:rPr>
          <w:lang w:eastAsia="en-AU"/>
        </w:rPr>
        <w:t xml:space="preserve"> </w:t>
      </w:r>
    </w:p>
    <w:p w14:paraId="71D2E840" w14:textId="77777777" w:rsidR="00AC2606" w:rsidRPr="00AC0957" w:rsidRDefault="00AC2606" w:rsidP="00761118">
      <w:pPr>
        <w:pStyle w:val="Heading3"/>
        <w:rPr>
          <w:sz w:val="18"/>
          <w:szCs w:val="18"/>
          <w:lang w:eastAsia="en-AU"/>
        </w:rPr>
      </w:pPr>
      <w:bookmarkStart w:id="12" w:name="_Toc181371545"/>
      <w:r w:rsidRPr="00AC0957">
        <w:rPr>
          <w:lang w:eastAsia="en-AU"/>
        </w:rPr>
        <w:t>Understanding labour market shortages</w:t>
      </w:r>
      <w:bookmarkEnd w:id="12"/>
      <w:r w:rsidRPr="00AC0957">
        <w:rPr>
          <w:lang w:eastAsia="en-AU"/>
        </w:rPr>
        <w:t> </w:t>
      </w:r>
    </w:p>
    <w:p w14:paraId="6C5FA8CB" w14:textId="77777777" w:rsidR="0022753D" w:rsidRPr="0022753D" w:rsidRDefault="0022753D" w:rsidP="0022753D">
      <w:pPr>
        <w:rPr>
          <w:rFonts w:cs="Arial"/>
        </w:rPr>
      </w:pPr>
      <w:r w:rsidRPr="0022753D">
        <w:rPr>
          <w:rFonts w:cs="Arial"/>
        </w:rPr>
        <w:t xml:space="preserve">The structure of Australia’s labour market has changed over the past few decades. Health Care and Social Assistance is now the largest employing industry, and there has been a trend toward service-based industries as well as higher-skilled occupations. This is reflected in the proportion of occupations found to be in shortage from 2021-2024 – which are occupations where employers are unable to fill or have considerable difficulty filling vacancies. </w:t>
      </w:r>
    </w:p>
    <w:p w14:paraId="767B2B5F" w14:textId="77777777" w:rsidR="0022753D" w:rsidRPr="0022753D" w:rsidRDefault="0022753D" w:rsidP="0022753D">
      <w:pPr>
        <w:rPr>
          <w:rFonts w:cs="Arial"/>
        </w:rPr>
      </w:pPr>
      <w:r w:rsidRPr="0022753D">
        <w:rPr>
          <w:rFonts w:cs="Arial"/>
        </w:rPr>
        <w:t xml:space="preserve">Overall, the proportion of occupations in national shortage in 2024 is lower than in 2023. This is in line with a labour market that, while remaining relatively tight, also eased over the period. The proportion of occupations in shortage was much higher in Construction, Mining, Health Care and Social Assistance, Other Services, and Education and Training – indicating a higher demand for skilled workers in these industries. </w:t>
      </w:r>
    </w:p>
    <w:p w14:paraId="079A0221" w14:textId="543942DF" w:rsidR="0022753D" w:rsidRPr="0022753D" w:rsidRDefault="0022753D" w:rsidP="0022753D">
      <w:pPr>
        <w:rPr>
          <w:rFonts w:cs="Arial"/>
        </w:rPr>
      </w:pPr>
      <w:r w:rsidRPr="0022753D">
        <w:rPr>
          <w:rFonts w:cs="Arial"/>
        </w:rPr>
        <w:t>Shortages are also persistent, with 136 occupations in persistent shortage from 2021-2024. The reasons for persistent shortages are likely to be multifaceted. They include an ageing population, technological advances, and other impacts of structural changes in the labour market, such as constraints in the supply of qualified and experienced workers, working conditions and pay. Any future solutions to address persistent shortages will, therefore, likely need to be long-term and holistic.</w:t>
      </w:r>
    </w:p>
    <w:p w14:paraId="3A5051FA" w14:textId="77777777" w:rsidR="0022753D" w:rsidRPr="0022753D" w:rsidRDefault="0022753D" w:rsidP="0022753D">
      <w:pPr>
        <w:rPr>
          <w:rFonts w:cs="Arial"/>
        </w:rPr>
      </w:pPr>
      <w:r w:rsidRPr="0022753D">
        <w:rPr>
          <w:rFonts w:cs="Arial"/>
        </w:rPr>
        <w:t xml:space="preserve">Occupation shortages are not always about supply and demand, and analysis of the driving factors for shortage of relevant occupations can help industries, employers and policy makers to identify barriers to recruitment and possible interventions. </w:t>
      </w:r>
    </w:p>
    <w:p w14:paraId="60A52E0C" w14:textId="4ECE44E3" w:rsidR="00AC2606" w:rsidRPr="00761118" w:rsidRDefault="0022753D" w:rsidP="0022753D">
      <w:pPr>
        <w:rPr>
          <w:rFonts w:cs="Arial"/>
        </w:rPr>
      </w:pPr>
      <w:r w:rsidRPr="0022753D">
        <w:rPr>
          <w:rFonts w:cs="Arial"/>
        </w:rPr>
        <w:t>Interventions to address these gaps will depend on the underlying shortage drivers and could include efforts to increase the throughput of qualified workers into the labour market; migration as a short-term solution; investment in the development of employability skills and work experience; and helping employers to understand the skills and capabilities of graduates and to actively contribute to course and program design. Where factors relating to employee retention such as working conditions, workplace culture, social norms and expectations, and remuneration play more of a role in driving shortages, some industries have taken a practical approach to addressing some of these types of issues.</w:t>
      </w:r>
      <w:r w:rsidR="00AC2606" w:rsidRPr="00AC0957">
        <w:rPr>
          <w:rFonts w:cs="Arial"/>
        </w:rPr>
        <w:t xml:space="preserve"> </w:t>
      </w:r>
    </w:p>
    <w:p w14:paraId="3BE45D53" w14:textId="77777777" w:rsidR="00AC2606" w:rsidRPr="00AC0957" w:rsidRDefault="00AC2606" w:rsidP="00761118">
      <w:pPr>
        <w:pStyle w:val="Heading3"/>
        <w:rPr>
          <w:sz w:val="18"/>
          <w:szCs w:val="18"/>
          <w:lang w:eastAsia="en-AU"/>
        </w:rPr>
      </w:pPr>
      <w:bookmarkStart w:id="13" w:name="_Toc181371546"/>
      <w:r w:rsidRPr="00AC0957">
        <w:rPr>
          <w:lang w:eastAsia="en-AU"/>
        </w:rPr>
        <w:t>Investing in our regions</w:t>
      </w:r>
      <w:bookmarkEnd w:id="13"/>
      <w:r w:rsidRPr="00AC0957">
        <w:rPr>
          <w:lang w:eastAsia="en-AU"/>
        </w:rPr>
        <w:t> </w:t>
      </w:r>
    </w:p>
    <w:p w14:paraId="526871D0" w14:textId="77777777" w:rsidR="00D17430" w:rsidRDefault="00D17430" w:rsidP="00D17430">
      <w:pPr>
        <w:rPr>
          <w:lang w:eastAsia="en-AU"/>
        </w:rPr>
      </w:pPr>
      <w:r>
        <w:rPr>
          <w:lang w:eastAsia="en-AU"/>
        </w:rPr>
        <w:t xml:space="preserve">More than one in 4 (27%) Australians live outside a major city. A truly dynamic, productive, and inclusive labour market must ensure that more Australians can access safe and secure work where they choose to live. Historically, regional and remote regions are more likely to experience weaker labour market conditions than their capital city counterparts. Although labour market conditions for many Australian regions have improved in recent years (relative to their own historical performance), persistent disparity exists between stronger and poorer performing regions. </w:t>
      </w:r>
    </w:p>
    <w:p w14:paraId="733CBA11" w14:textId="1A1321E8" w:rsidR="00D17430" w:rsidRDefault="00D17430" w:rsidP="00D17430">
      <w:pPr>
        <w:rPr>
          <w:lang w:eastAsia="en-AU"/>
        </w:rPr>
      </w:pPr>
      <w:r>
        <w:rPr>
          <w:lang w:eastAsia="en-AU"/>
        </w:rPr>
        <w:t>Poorer-performing regions tend to be in regional and remote areas, and face challenges such as high unemployment, limited job opportunities, lower education levels, difficulties recruiting suitable workers into available jobs and lower rates of labour market efficiency. Employees in regional and remote areas are also more likely to experience low and irregular pay – impacting economic security and wellbeing. Our regions are also faced with the reality of an older age demographic – posing the challenge of reduced labour supply and loss of skills as well as additional pressure on the care and support sector which is already facing significant shortages in regional areas.</w:t>
      </w:r>
      <w:r w:rsidR="008C52B1">
        <w:rPr>
          <w:lang w:eastAsia="en-AU"/>
        </w:rPr>
        <w:t xml:space="preserve"> </w:t>
      </w:r>
    </w:p>
    <w:p w14:paraId="50C57B49" w14:textId="2098043F" w:rsidR="00AC2606" w:rsidRPr="00AC0957" w:rsidRDefault="00D17430" w:rsidP="00D17430">
      <w:pPr>
        <w:rPr>
          <w:lang w:eastAsia="en-AU"/>
        </w:rPr>
      </w:pPr>
      <w:r>
        <w:rPr>
          <w:lang w:eastAsia="en-AU"/>
        </w:rPr>
        <w:t>While labour market challenges are more pronounced in many regional and remote areas, JSA’s Regional Labour Market Indicator (RLMI) results for June 2024 suggest there are signs of some easing in labour market conditions in a number of metropolitan/regional city areas. This is particularly noticeable when compared to regional areas, where conditions have improved, on average. In Australia’s regions, the percentage growth of online job advertisements has been higher and the decline less pronounced which can also be an indicator that an economy is doing well. All regions are unique, and the continued development and refinement of JSA products such as the Internet Vacancy Index, the Nowcast of Employment by Region and Occupation, and the Regional Labour Market Indicator help contribute to understanding and discussion of Australia’s regional labour markets and factors that drive success.</w:t>
      </w:r>
      <w:r w:rsidR="00AC2606" w:rsidRPr="00AC0957">
        <w:rPr>
          <w:lang w:eastAsia="en-AU"/>
        </w:rPr>
        <w:t xml:space="preserve"> </w:t>
      </w:r>
    </w:p>
    <w:p w14:paraId="43177038" w14:textId="77777777" w:rsidR="00AC2606" w:rsidRPr="00AC0957" w:rsidRDefault="00AC2606" w:rsidP="00761118">
      <w:pPr>
        <w:pStyle w:val="Heading2"/>
        <w:rPr>
          <w:lang w:eastAsia="en-AU"/>
        </w:rPr>
      </w:pPr>
      <w:bookmarkStart w:id="14" w:name="_Toc181371547"/>
      <w:r w:rsidRPr="00AC0957">
        <w:rPr>
          <w:lang w:eastAsia="en-AU"/>
        </w:rPr>
        <w:t>3. Shaping Australia’s future workforce</w:t>
      </w:r>
      <w:bookmarkEnd w:id="14"/>
      <w:r w:rsidRPr="00AC0957">
        <w:rPr>
          <w:lang w:eastAsia="en-AU"/>
        </w:rPr>
        <w:t> </w:t>
      </w:r>
    </w:p>
    <w:p w14:paraId="382BC761" w14:textId="77777777" w:rsidR="001718BB" w:rsidRDefault="001718BB" w:rsidP="001718BB">
      <w:pPr>
        <w:rPr>
          <w:lang w:eastAsia="en-AU"/>
        </w:rPr>
      </w:pPr>
      <w:r>
        <w:rPr>
          <w:lang w:eastAsia="en-AU"/>
        </w:rPr>
        <w:t xml:space="preserve">To achieve a truly inclusive, dynamic, and competitive economy we cannot simply respond to our current and imminent skills challenges. We must be proactive in ensuring our future workforce has the skills required to adapt to a changing economy, so that more Australians can share in the benefits. Understanding changing dynamics in society can give us a clue to potential areas of growth, and monitoring the labour market for new roles and evolving skills requirements can help us understand emerging workforce needs and contribute to building a resilient and adaptable workforce. </w:t>
      </w:r>
    </w:p>
    <w:p w14:paraId="292EA3AA" w14:textId="67EE1EBB" w:rsidR="00AC2606" w:rsidRPr="00761118" w:rsidRDefault="001718BB" w:rsidP="001718BB">
      <w:pPr>
        <w:rPr>
          <w:lang w:eastAsia="en-AU"/>
        </w:rPr>
      </w:pPr>
      <w:r>
        <w:rPr>
          <w:lang w:eastAsia="en-AU"/>
        </w:rPr>
        <w:t>Major forces are shaping our economy – technological and digital transformation, our response to climate change and the goal of ‘net zero’, an ageing population, and a rising demand for care and support services. Changing societal dynamics and consumer preferences are also impacting jobs and work. In some cases, these forces are shaping how we undertake our work, and in some cases they are driving the emergence of entirely new roles</w:t>
      </w:r>
      <w:r w:rsidR="00AC2606" w:rsidRPr="00AC0957">
        <w:rPr>
          <w:lang w:eastAsia="en-AU"/>
        </w:rPr>
        <w:t>. </w:t>
      </w:r>
    </w:p>
    <w:p w14:paraId="7D49667A" w14:textId="71DFB7F3" w:rsidR="00AC2606" w:rsidRPr="00AC0957" w:rsidRDefault="009934E9" w:rsidP="00761118">
      <w:pPr>
        <w:pStyle w:val="Heading3"/>
        <w:rPr>
          <w:sz w:val="18"/>
          <w:szCs w:val="18"/>
          <w:lang w:eastAsia="en-AU"/>
        </w:rPr>
      </w:pPr>
      <w:bookmarkStart w:id="15" w:name="_Toc181371548"/>
      <w:r>
        <w:rPr>
          <w:lang w:eastAsia="en-AU"/>
        </w:rPr>
        <w:t xml:space="preserve">2024 Employment </w:t>
      </w:r>
      <w:r w:rsidR="00DD2324">
        <w:rPr>
          <w:lang w:eastAsia="en-AU"/>
        </w:rPr>
        <w:t>p</w:t>
      </w:r>
      <w:r w:rsidR="00AC2606" w:rsidRPr="00AC0957">
        <w:rPr>
          <w:lang w:eastAsia="en-AU"/>
        </w:rPr>
        <w:t>rojections</w:t>
      </w:r>
      <w:bookmarkEnd w:id="15"/>
      <w:r w:rsidR="00AC2606" w:rsidRPr="00AC0957">
        <w:rPr>
          <w:lang w:eastAsia="en-AU"/>
        </w:rPr>
        <w:t> </w:t>
      </w:r>
    </w:p>
    <w:p w14:paraId="46BB02C6" w14:textId="77777777" w:rsidR="001B0435" w:rsidRPr="001B0435" w:rsidRDefault="001B0435" w:rsidP="001B0435">
      <w:pPr>
        <w:spacing w:after="160" w:line="259" w:lineRule="auto"/>
        <w:rPr>
          <w:rFonts w:cs="Arial"/>
          <w:lang w:val="en-US"/>
        </w:rPr>
      </w:pPr>
      <w:r w:rsidRPr="001B0435">
        <w:rPr>
          <w:rFonts w:cs="Arial"/>
          <w:lang w:val="en-US"/>
        </w:rPr>
        <w:t xml:space="preserve">Australia’s workforce is continuing to shift towards a greater share of higher skilled roles. Employment projections produced by Victoria University for JSA show the long-term structural shift in employment towards services-related industries is projected to continue over the next decade. </w:t>
      </w:r>
    </w:p>
    <w:p w14:paraId="4478F4B4" w14:textId="1DAB38A1" w:rsidR="00AC2606" w:rsidRPr="00AC0957" w:rsidRDefault="001B0435" w:rsidP="001B0435">
      <w:pPr>
        <w:spacing w:after="160" w:line="259" w:lineRule="auto"/>
        <w:rPr>
          <w:rFonts w:cs="Arial"/>
          <w:kern w:val="2"/>
          <w:lang w:val="en-US"/>
          <w14:ligatures w14:val="standardContextual"/>
        </w:rPr>
      </w:pPr>
      <w:r w:rsidRPr="001B0435">
        <w:rPr>
          <w:rFonts w:cs="Arial"/>
          <w:lang w:val="en-US"/>
        </w:rPr>
        <w:t xml:space="preserve">An alternative employment projections scenario was also explored, where post-secondary training and education is responsive to market signals, diverting the supply of labour into occupations where demand is strong. In general, we found that when skill supply responds to market demand, there is increased employment in occupations with a VET pathway relative to the baseline, with lower growth in employment in </w:t>
      </w:r>
      <w:r w:rsidR="006601F8">
        <w:rPr>
          <w:rFonts w:cs="Arial"/>
          <w:lang w:val="en-US"/>
        </w:rPr>
        <w:t>occupations requiring higher education qualifications</w:t>
      </w:r>
      <w:r w:rsidRPr="001B0435">
        <w:rPr>
          <w:rFonts w:cs="Arial"/>
          <w:lang w:val="en-US"/>
        </w:rPr>
        <w:t>. The cost of labour associated with occupations that require VET or higher education qualifications is impacted as a result, and we also observe increases in projected employment for all Community and Personal Service occupations, but also for Sales Assistants, General Clerks, Registered Nurses, and Electricians</w:t>
      </w:r>
      <w:r w:rsidR="00AC2606" w:rsidRPr="00AC0957">
        <w:rPr>
          <w:rFonts w:cs="Arial"/>
          <w:lang w:val="en-US"/>
        </w:rPr>
        <w:t xml:space="preserve">. </w:t>
      </w:r>
    </w:p>
    <w:p w14:paraId="6F5076DA" w14:textId="101940C5" w:rsidR="00AC2606" w:rsidRPr="00AC0957" w:rsidRDefault="00AC2606" w:rsidP="00761118">
      <w:pPr>
        <w:pStyle w:val="Heading3"/>
        <w:rPr>
          <w:sz w:val="18"/>
          <w:szCs w:val="18"/>
          <w:lang w:eastAsia="en-AU"/>
        </w:rPr>
      </w:pPr>
      <w:bookmarkStart w:id="16" w:name="_Toc181371549"/>
      <w:r w:rsidRPr="00AC0957">
        <w:rPr>
          <w:lang w:eastAsia="en-AU"/>
        </w:rPr>
        <w:t>Emerging roles</w:t>
      </w:r>
      <w:r w:rsidR="00246B4C">
        <w:rPr>
          <w:lang w:eastAsia="en-AU"/>
        </w:rPr>
        <w:t xml:space="preserve"> in the Australian labour market</w:t>
      </w:r>
      <w:bookmarkEnd w:id="16"/>
    </w:p>
    <w:p w14:paraId="3FB7A561" w14:textId="2193CC36" w:rsidR="00317FA6" w:rsidRDefault="00317FA6" w:rsidP="00317FA6">
      <w:pPr>
        <w:rPr>
          <w:lang w:eastAsia="en-AU"/>
        </w:rPr>
      </w:pPr>
      <w:r>
        <w:rPr>
          <w:lang w:eastAsia="en-AU"/>
        </w:rPr>
        <w:t>The way we work changes over time. While new skills and ways of working are often incorporated into existing roles in response to new technology, innovation, and changing consumer preferences – sometimes entirely new roles are created. JSA has conducted research to identify new insights on emerging roles in the labour market, taking a broad approach, both qualitatively and quantitatively, as well as through stakeholder consultation, to help industry and education and training providers better prepare to deliver the skills requirements of these new roles.</w:t>
      </w:r>
      <w:r w:rsidR="008C52B1">
        <w:rPr>
          <w:lang w:eastAsia="en-AU"/>
        </w:rPr>
        <w:t xml:space="preserve"> </w:t>
      </w:r>
    </w:p>
    <w:p w14:paraId="3B0377C8" w14:textId="39F8C8FC" w:rsidR="00AC2606" w:rsidRPr="00761118" w:rsidRDefault="00317FA6" w:rsidP="00317FA6">
      <w:pPr>
        <w:rPr>
          <w:lang w:eastAsia="en-AU"/>
        </w:rPr>
      </w:pPr>
      <w:r>
        <w:rPr>
          <w:lang w:eastAsia="en-AU"/>
        </w:rPr>
        <w:t>Thirty-seven emerging roles have been identified across 4 key themes that align broadly with the major forces shaping our economy – Health, Care and Medical, Data and Technologies, Net Zero, and Science and Engineering. The largest number of roles were identified in Health, Care, and Medical, although this was closely followed by Data and Technology. By continuing to monitor shifts in the landscape of Australian jobs and providing detailed skills analysis (supported by initiatives such as a National Skills Taxonomy – outlined later in this report), we can help prepare Australia to adapt to economic change and meet the demand for specific skills</w:t>
      </w:r>
      <w:r w:rsidR="00AC2606" w:rsidRPr="00AC0957">
        <w:rPr>
          <w:lang w:eastAsia="en-AU"/>
        </w:rPr>
        <w:t>. </w:t>
      </w:r>
    </w:p>
    <w:p w14:paraId="0F171631" w14:textId="7DBD2B53" w:rsidR="00AC2606" w:rsidRPr="00AC0957" w:rsidRDefault="00AC2606" w:rsidP="00761118">
      <w:pPr>
        <w:pStyle w:val="Heading3"/>
        <w:rPr>
          <w:sz w:val="18"/>
          <w:szCs w:val="18"/>
          <w:lang w:eastAsia="en-AU"/>
        </w:rPr>
      </w:pPr>
      <w:bookmarkStart w:id="17" w:name="_Toc181371550"/>
      <w:r w:rsidRPr="00AC0957">
        <w:rPr>
          <w:lang w:eastAsia="en-AU"/>
        </w:rPr>
        <w:t xml:space="preserve">Capacity studies – </w:t>
      </w:r>
      <w:r w:rsidR="00610317">
        <w:rPr>
          <w:lang w:eastAsia="en-AU"/>
        </w:rPr>
        <w:t>understanding the forces of change</w:t>
      </w:r>
      <w:bookmarkEnd w:id="17"/>
      <w:r w:rsidRPr="00AC0957">
        <w:rPr>
          <w:lang w:eastAsia="en-AU"/>
        </w:rPr>
        <w:t> </w:t>
      </w:r>
    </w:p>
    <w:p w14:paraId="422109AC" w14:textId="77777777" w:rsidR="00EA522B" w:rsidRDefault="00EA522B" w:rsidP="00EA522B">
      <w:pPr>
        <w:rPr>
          <w:lang w:eastAsia="en-AU"/>
        </w:rPr>
      </w:pPr>
      <w:r>
        <w:rPr>
          <w:lang w:eastAsia="en-AU"/>
        </w:rPr>
        <w:t xml:space="preserve">Adapting to change will take effective coordination across skills, education, migration and employment systems as well as time and proper planning to invest in skills development. Targeted capacity studies can help us make informed decisions about how to prepare for a future shaped by the major global forces of change. They help us to better understand how these forces may shape industries and workforces – and equip workers with the right skills to benefit from change. </w:t>
      </w:r>
    </w:p>
    <w:p w14:paraId="3CE356E4" w14:textId="344B8E19" w:rsidR="00EA522B" w:rsidRDefault="00EA522B" w:rsidP="00EA522B">
      <w:pPr>
        <w:rPr>
          <w:lang w:eastAsia="en-AU"/>
        </w:rPr>
      </w:pPr>
      <w:r>
        <w:rPr>
          <w:lang w:eastAsia="en-AU"/>
        </w:rPr>
        <w:t xml:space="preserve">The 2023 Jobs and Skills report included findings from </w:t>
      </w:r>
      <w:r w:rsidRPr="00EA522B">
        <w:rPr>
          <w:i/>
          <w:iCs/>
          <w:lang w:eastAsia="en-AU"/>
        </w:rPr>
        <w:t>The Clean Energy Generation: Workforce needs for a net zero economy</w:t>
      </w:r>
      <w:r>
        <w:rPr>
          <w:lang w:eastAsia="en-AU"/>
        </w:rPr>
        <w:t xml:space="preserve">. Findings from the report have already supported a range of government and industry measures. Since the report’s release, JSA has </w:t>
      </w:r>
      <w:r w:rsidR="00C5235F">
        <w:rPr>
          <w:lang w:eastAsia="en-AU"/>
        </w:rPr>
        <w:t>finalised</w:t>
      </w:r>
      <w:r>
        <w:rPr>
          <w:lang w:eastAsia="en-AU"/>
        </w:rPr>
        <w:t xml:space="preserve"> the findings of two capacity studies into the Early Childhood Education and Care (ECEC) sector, and Australia’s food supply chain workforce. </w:t>
      </w:r>
    </w:p>
    <w:p w14:paraId="78893A6C" w14:textId="77777777" w:rsidR="00EA522B" w:rsidRDefault="00EA522B" w:rsidP="00EA522B">
      <w:pPr>
        <w:rPr>
          <w:lang w:eastAsia="en-AU"/>
        </w:rPr>
      </w:pPr>
      <w:r>
        <w:rPr>
          <w:lang w:eastAsia="en-AU"/>
        </w:rPr>
        <w:t>Australia’s food supply chain will be shaped by multiple interacting changes, including climate change and net zero, technological advances, and demographic changes. Concerns around sovereign capability, industry viability and cost of living will also have an impact. In the midst of these developments, a resilient workforce will be essential to Australia’s food security and strong export industries.</w:t>
      </w:r>
    </w:p>
    <w:p w14:paraId="4D98D4FA" w14:textId="77BAFC90" w:rsidR="00AC2606" w:rsidRPr="00AC0957" w:rsidRDefault="00EA522B" w:rsidP="001848CB">
      <w:pPr>
        <w:keepLines/>
        <w:rPr>
          <w:lang w:eastAsia="en-AU"/>
        </w:rPr>
      </w:pPr>
      <w:r>
        <w:rPr>
          <w:lang w:eastAsia="en-AU"/>
        </w:rPr>
        <w:t xml:space="preserve">Ambitious policies are being implemented by governments to expand access to early childhood education and care, but shortages mean the workforce is already unable to meet existing demand. Improvements must also be made to ensure ECEC services can more appropriately support First Nations educators, families and communities. JSA’s report </w:t>
      </w:r>
      <w:r w:rsidRPr="008C52B1">
        <w:rPr>
          <w:i/>
          <w:iCs/>
          <w:lang w:eastAsia="en-AU"/>
        </w:rPr>
        <w:t>The Childhood Education Profession: Early Childhood Education and Care Workforce Capacity Study</w:t>
      </w:r>
      <w:r>
        <w:rPr>
          <w:lang w:eastAsia="en-AU"/>
        </w:rPr>
        <w:t xml:space="preserve"> (undertaken in partnership with HumanAbility) contains a total of 28 findings and 41 recommendations to address the critical needs of the industry.</w:t>
      </w:r>
      <w:r w:rsidR="00AC2606" w:rsidRPr="00AC0957">
        <w:rPr>
          <w:lang w:eastAsia="en-AU"/>
        </w:rPr>
        <w:t xml:space="preserve"> </w:t>
      </w:r>
    </w:p>
    <w:p w14:paraId="7B2F69B6" w14:textId="77777777" w:rsidR="00AC2606" w:rsidRPr="00AC0957" w:rsidRDefault="00AC2606" w:rsidP="00761118">
      <w:pPr>
        <w:pStyle w:val="Heading2"/>
        <w:rPr>
          <w:lang w:eastAsia="en-AU"/>
        </w:rPr>
      </w:pPr>
      <w:bookmarkStart w:id="18" w:name="_Toc181371551"/>
      <w:r w:rsidRPr="00AC0957">
        <w:rPr>
          <w:lang w:eastAsia="en-AU"/>
        </w:rPr>
        <w:t>4. Optimising pathways and system architecture</w:t>
      </w:r>
      <w:bookmarkEnd w:id="18"/>
      <w:r w:rsidRPr="00AC0957">
        <w:rPr>
          <w:lang w:eastAsia="en-AU"/>
        </w:rPr>
        <w:t> </w:t>
      </w:r>
    </w:p>
    <w:p w14:paraId="101C301C" w14:textId="599A7411" w:rsidR="00E61AF2" w:rsidRDefault="00E61AF2" w:rsidP="00E61AF2">
      <w:pPr>
        <w:rPr>
          <w:lang w:eastAsia="en-AU"/>
        </w:rPr>
      </w:pPr>
      <w:r>
        <w:rPr>
          <w:lang w:eastAsia="en-AU"/>
        </w:rPr>
        <w:t>An understanding of our current and future skills needs cannot help us to realise our vision of a productive, inclusive economy without the pathways and system architecture to equip workers with those skills. We must ensure that our pathways and system architecture are strong and well-equipped to provide Australians with the skills, knowledge, capabilities and understanding they need to thrive in the jobs of today and tomorrow. Our education, skills and training, and migration systems must also work in concert to deliver quality outcomes for both workers and businesses, and to help us address skills shortages and needs.</w:t>
      </w:r>
      <w:r w:rsidR="008C52B1">
        <w:rPr>
          <w:lang w:eastAsia="en-AU"/>
        </w:rPr>
        <w:t xml:space="preserve"> </w:t>
      </w:r>
    </w:p>
    <w:p w14:paraId="360F878A" w14:textId="77777777" w:rsidR="00E61AF2" w:rsidRDefault="00E61AF2" w:rsidP="00E61AF2">
      <w:pPr>
        <w:rPr>
          <w:lang w:eastAsia="en-AU"/>
        </w:rPr>
      </w:pPr>
      <w:r>
        <w:rPr>
          <w:lang w:eastAsia="en-AU"/>
        </w:rPr>
        <w:t xml:space="preserve">Employment projections produced by Victoria University for JSA show employment growth will continue to be greatest in higher skilled roles, with more than 90% of employment growth in roles that require post-secondary qualifications. Over the past decade, the growth in educational attainment has been heavily skewed towards the higher education system. If this pattern continues, labour market mismatches and skills shortages will worsen. </w:t>
      </w:r>
    </w:p>
    <w:p w14:paraId="73E27BD7" w14:textId="274EEF62" w:rsidR="00AC2606" w:rsidRPr="00761118" w:rsidRDefault="00E61AF2" w:rsidP="00E61AF2">
      <w:pPr>
        <w:rPr>
          <w:lang w:eastAsia="en-AU"/>
        </w:rPr>
      </w:pPr>
      <w:r>
        <w:rPr>
          <w:lang w:eastAsia="en-AU"/>
        </w:rPr>
        <w:t>Our education and training systems do not only serve to supply skills to the labour market. Education helps people to participate in society and live the kind of lives they want. Evidence shows that attaining post-secondary qualifications contributes to higher full-time weekly earnings, and the higher the qualification, the higher the median weekly earnings. Increasing not only the number of skilled workers, but ensuring they have access to lifelong learning will be important to ensure our future success</w:t>
      </w:r>
      <w:r w:rsidR="00AC2606" w:rsidRPr="00AC0957">
        <w:rPr>
          <w:lang w:eastAsia="en-AU"/>
        </w:rPr>
        <w:t>.</w:t>
      </w:r>
      <w:r w:rsidR="008C52B1">
        <w:rPr>
          <w:lang w:val="en-US" w:eastAsia="en-AU"/>
        </w:rPr>
        <w:t xml:space="preserve"> </w:t>
      </w:r>
    </w:p>
    <w:p w14:paraId="52B5E3BF" w14:textId="674D8A1A" w:rsidR="00AC2606" w:rsidRPr="00AC0957" w:rsidRDefault="00AC2606" w:rsidP="00761118">
      <w:pPr>
        <w:pStyle w:val="Heading3"/>
        <w:rPr>
          <w:sz w:val="18"/>
          <w:szCs w:val="18"/>
          <w:lang w:eastAsia="en-AU"/>
        </w:rPr>
      </w:pPr>
      <w:bookmarkStart w:id="19" w:name="_Toc181371552"/>
      <w:r w:rsidRPr="00AC0957">
        <w:rPr>
          <w:lang w:val="en-US" w:eastAsia="en-AU"/>
        </w:rPr>
        <w:t>The case for a</w:t>
      </w:r>
      <w:r w:rsidR="00B11887">
        <w:rPr>
          <w:lang w:val="en-US" w:eastAsia="en-AU"/>
        </w:rPr>
        <w:t xml:space="preserve"> more</w:t>
      </w:r>
      <w:r w:rsidRPr="00AC0957">
        <w:rPr>
          <w:lang w:val="en-US" w:eastAsia="en-AU"/>
        </w:rPr>
        <w:t xml:space="preserve"> </w:t>
      </w:r>
      <w:r w:rsidR="00B32618">
        <w:rPr>
          <w:lang w:val="en-US" w:eastAsia="en-AU"/>
        </w:rPr>
        <w:t>harmonised</w:t>
      </w:r>
      <w:r w:rsidRPr="00AC0957">
        <w:rPr>
          <w:lang w:val="en-US" w:eastAsia="en-AU"/>
        </w:rPr>
        <w:t xml:space="preserve"> tertiary education system</w:t>
      </w:r>
      <w:bookmarkEnd w:id="19"/>
    </w:p>
    <w:p w14:paraId="2826B14C" w14:textId="14902615" w:rsidR="00B60DFF" w:rsidRPr="00B60DFF" w:rsidRDefault="00B60DFF" w:rsidP="00B60DFF">
      <w:pPr>
        <w:rPr>
          <w:rFonts w:cs="Arial"/>
        </w:rPr>
      </w:pPr>
      <w:r w:rsidRPr="00B60DFF">
        <w:rPr>
          <w:rFonts w:cs="Arial"/>
        </w:rPr>
        <w:t>Australia’s national skills challenges are complex, with inter-connected issues that cannot be addressed by one sector alone. Successfully addressing challenges such as the transition to clean energy technologies, leveraging the opportunities of digital innovation, and strengthening the health and wellbeing of people and communities, requires a connected tertiary system, where both sectors can collaborate to improve the timeliness and industry relevance of workforce supply.</w:t>
      </w:r>
      <w:r w:rsidR="008C52B1">
        <w:rPr>
          <w:rFonts w:cs="Arial"/>
        </w:rPr>
        <w:t xml:space="preserve"> </w:t>
      </w:r>
    </w:p>
    <w:p w14:paraId="6F6C6DE6" w14:textId="77777777" w:rsidR="00B60DFF" w:rsidRPr="00B60DFF" w:rsidRDefault="00B60DFF" w:rsidP="00B60DFF">
      <w:pPr>
        <w:rPr>
          <w:rFonts w:cs="Arial"/>
        </w:rPr>
      </w:pPr>
      <w:r w:rsidRPr="00B60DFF">
        <w:rPr>
          <w:rFonts w:cs="Arial"/>
        </w:rPr>
        <w:t>A more harmonised and better-connected tertiary system, where both sectors can collaborate to improve the timeliness and industry relevance of workforce supply, will play a key role in addressing national challenges by increasing the supply of industry-ready graduates, helping to facilitate major workforce transitions in response to industry changes, and improving access and mobility across both sectors by improving recognition of existing skills and knowledge.</w:t>
      </w:r>
    </w:p>
    <w:p w14:paraId="4507CB75" w14:textId="2DC100B9" w:rsidR="00AC2606" w:rsidRPr="00AC0957" w:rsidRDefault="00B60DFF" w:rsidP="00B60DFF">
      <w:pPr>
        <w:rPr>
          <w:rFonts w:cs="Arial"/>
        </w:rPr>
      </w:pPr>
      <w:r w:rsidRPr="00B60DFF">
        <w:rPr>
          <w:rFonts w:cs="Arial"/>
        </w:rPr>
        <w:t>There are a range of examples of attempts at tertiary harmonisation by different institutions which give some insight into the proposed benefits of greater tertiary harmonisation. These examples have arisen organically despite known barriers in the system including regulation, funding and financing arrangements, legislative and support settings, qualifications frameworks, curriculum and pedagogy including assessment and recognition. This pattern of bespoke examples is not scalable without change to address barriers. Further work needs to be undertaken to achieve a wide-scale harmonised and effective system</w:t>
      </w:r>
      <w:r w:rsidR="00AC2606" w:rsidRPr="00AC0957">
        <w:rPr>
          <w:rFonts w:cs="Arial"/>
        </w:rPr>
        <w:t>.</w:t>
      </w:r>
    </w:p>
    <w:p w14:paraId="57152144" w14:textId="02EB5E85" w:rsidR="00AC2606" w:rsidRPr="00AC0957" w:rsidRDefault="00B11887" w:rsidP="00761118">
      <w:pPr>
        <w:pStyle w:val="Heading3"/>
        <w:rPr>
          <w:sz w:val="18"/>
          <w:szCs w:val="18"/>
          <w:lang w:eastAsia="en-AU"/>
        </w:rPr>
      </w:pPr>
      <w:bookmarkStart w:id="20" w:name="_Toc181371553"/>
      <w:r>
        <w:rPr>
          <w:lang w:eastAsia="en-AU"/>
        </w:rPr>
        <w:t>The role for a</w:t>
      </w:r>
      <w:r w:rsidR="00AC2606" w:rsidRPr="00AC0957">
        <w:rPr>
          <w:lang w:eastAsia="en-AU"/>
        </w:rPr>
        <w:t xml:space="preserve"> National Skills Taxonomy</w:t>
      </w:r>
      <w:bookmarkEnd w:id="20"/>
      <w:r w:rsidR="00AC2606" w:rsidRPr="00AC0957">
        <w:rPr>
          <w:lang w:eastAsia="en-AU"/>
        </w:rPr>
        <w:t> </w:t>
      </w:r>
    </w:p>
    <w:p w14:paraId="271DBBA0" w14:textId="28B8EC22" w:rsidR="00401C07" w:rsidRPr="00761118" w:rsidRDefault="00F92821" w:rsidP="002E5472">
      <w:pPr>
        <w:rPr>
          <w:rFonts w:eastAsia="Times New Roman"/>
          <w:lang w:eastAsia="en-AU"/>
        </w:rPr>
      </w:pPr>
      <w:r w:rsidRPr="00F92821">
        <w:t>The term ‘skill’ is widely used across education, training, and workforce contexts. However, its definition varies significantly across different stakeholders, use cases and formal frameworks. The absence of a common interpretation and understanding of skills represents a major challenge in the Australian skills landscape, with each actor speaking a different skills language. This fragmentation creates friction and provides challenges when attempting to find alignment between VET, higher education and employment. The primary objective of developing a National Skills Taxonomy (NST) is to establish a common language of skills to support effective collaboration among educators, employers, unions, governments, and individuals</w:t>
      </w:r>
      <w:r w:rsidR="00E82E2B" w:rsidRPr="00AC0957">
        <w:t>.</w:t>
      </w:r>
    </w:p>
    <w:p w14:paraId="23DF521E" w14:textId="77777777" w:rsidR="00AC2606" w:rsidRPr="00AC0957" w:rsidRDefault="00AC2606" w:rsidP="00761118">
      <w:pPr>
        <w:pStyle w:val="Heading3"/>
        <w:rPr>
          <w:sz w:val="18"/>
          <w:szCs w:val="18"/>
          <w:lang w:eastAsia="en-AU"/>
        </w:rPr>
      </w:pPr>
      <w:bookmarkStart w:id="21" w:name="_Toc181371554"/>
      <w:r w:rsidRPr="00AC0957">
        <w:rPr>
          <w:lang w:eastAsia="en-AU"/>
        </w:rPr>
        <w:t>Combining work and study</w:t>
      </w:r>
      <w:bookmarkEnd w:id="21"/>
    </w:p>
    <w:p w14:paraId="6E3B2D08" w14:textId="77777777" w:rsidR="008F2175" w:rsidRDefault="008F2175" w:rsidP="008F2175">
      <w:pPr>
        <w:rPr>
          <w:lang w:eastAsia="en-AU"/>
        </w:rPr>
      </w:pPr>
      <w:r>
        <w:rPr>
          <w:lang w:eastAsia="en-AU"/>
        </w:rPr>
        <w:t>The benefits of combining work with learning are clear. Any work undertaken while studying has a positive impact on employment outcomes, but the type of work also makes a difference, with more beneficial outcomes for those working in ‘career’ as compared with ‘non-career’ jobs.</w:t>
      </w:r>
    </w:p>
    <w:p w14:paraId="6F3B7434" w14:textId="77777777" w:rsidR="008F2175" w:rsidRDefault="008F2175" w:rsidP="008F2175">
      <w:pPr>
        <w:rPr>
          <w:lang w:eastAsia="en-AU"/>
        </w:rPr>
      </w:pPr>
      <w:r>
        <w:rPr>
          <w:lang w:eastAsia="en-AU"/>
        </w:rPr>
        <w:t xml:space="preserve">Structured work-based learning also has clear positive benefits for individuals. Overall, analysis shows that students who complete a VET qualification via an apprenticeship pathway tend to experience better employment outcomes, including a higher income uplift and increased likelihood of working in occupations relevant to their qualifications, compared to those who complete the same qualification via a non-apprenticeship pathway. </w:t>
      </w:r>
    </w:p>
    <w:p w14:paraId="0032B4E9" w14:textId="391E906F" w:rsidR="00AC2606" w:rsidRPr="00AC0957" w:rsidRDefault="008F2175" w:rsidP="008F2175">
      <w:pPr>
        <w:rPr>
          <w:lang w:eastAsia="en-AU"/>
        </w:rPr>
      </w:pPr>
      <w:r>
        <w:rPr>
          <w:lang w:eastAsia="en-AU"/>
        </w:rPr>
        <w:t>Further modelling and analysis are needed to confirm the causal relationship between apprenticeship pathways and employment outcomes, as well as to assess the impact of other contributing factors. Early evidence is promising, however, as to the benefits of work integrated learning as a pathway to addressing skills needs, ensuring success in the workplace, and as a pathway to inclusion for more Australians</w:t>
      </w:r>
      <w:r w:rsidR="00AC2606" w:rsidRPr="00AC0957">
        <w:rPr>
          <w:lang w:eastAsia="en-AU"/>
        </w:rPr>
        <w:t>.</w:t>
      </w:r>
    </w:p>
    <w:p w14:paraId="3452EE57" w14:textId="77777777" w:rsidR="00AC2606" w:rsidRPr="00AC0957" w:rsidRDefault="00AC2606" w:rsidP="00761118">
      <w:pPr>
        <w:pStyle w:val="Heading3"/>
        <w:rPr>
          <w:sz w:val="18"/>
          <w:szCs w:val="18"/>
          <w:lang w:eastAsia="en-AU"/>
        </w:rPr>
      </w:pPr>
      <w:bookmarkStart w:id="22" w:name="_Toc181371555"/>
      <w:r w:rsidRPr="00AC0957">
        <w:rPr>
          <w:lang w:eastAsia="en-AU"/>
        </w:rPr>
        <w:t>VET workforce development</w:t>
      </w:r>
      <w:bookmarkEnd w:id="22"/>
      <w:r w:rsidRPr="00AC0957">
        <w:rPr>
          <w:lang w:eastAsia="en-AU"/>
        </w:rPr>
        <w:t> </w:t>
      </w:r>
    </w:p>
    <w:p w14:paraId="630D95C3" w14:textId="0F9E44BF" w:rsidR="007E49FD" w:rsidRDefault="007E49FD" w:rsidP="007E49FD">
      <w:pPr>
        <w:rPr>
          <w:lang w:eastAsia="en-AU"/>
        </w:rPr>
      </w:pPr>
      <w:r>
        <w:rPr>
          <w:lang w:eastAsia="en-AU"/>
        </w:rPr>
        <w:t>VET is a key pathway for skills development, including for occupations in skills shortage. VET teachers and trainers are key to the success of the sector. Challenges in the VET sector include difficulties attracting applicants to fill teacher vacancies, a mismatch between the diversity of students and the diversity of the VET workforce, an older and ageing workforce, casualisation of the workforce, and loss of employees to other occupations.</w:t>
      </w:r>
      <w:r w:rsidR="008C52B1">
        <w:rPr>
          <w:lang w:eastAsia="en-AU"/>
        </w:rPr>
        <w:t xml:space="preserve"> </w:t>
      </w:r>
    </w:p>
    <w:p w14:paraId="31617964" w14:textId="77777777" w:rsidR="007E49FD" w:rsidRDefault="007E49FD" w:rsidP="007E49FD">
      <w:pPr>
        <w:rPr>
          <w:lang w:eastAsia="en-AU"/>
        </w:rPr>
      </w:pPr>
      <w:r>
        <w:rPr>
          <w:lang w:eastAsia="en-AU"/>
        </w:rPr>
        <w:t xml:space="preserve">Targeted improvements in workforce data collection will help manage future risk to Australia’s economy, society and VET system by ensuring a sustainable and high-quality supply of teachers and trainers, particularly in industry sectors experiencing skills shortages and high employment demand. Findings from the VET workforce study have added to our understanding of the characteristics of the VET workforce but building a complete workforce profile will require filling current data gaps in 4 key areas. Considerations in relation to data about or relating to First Nations people in the VET workforce will need to engage meaningfully with the principles outlined in the Framework for Governance of Indigenous Data. </w:t>
      </w:r>
    </w:p>
    <w:p w14:paraId="164A1B8D" w14:textId="75B7106B" w:rsidR="00AC2606" w:rsidRPr="00AC0957" w:rsidRDefault="007E49FD" w:rsidP="007E49FD">
      <w:pPr>
        <w:rPr>
          <w:lang w:eastAsia="en-AU"/>
        </w:rPr>
      </w:pPr>
      <w:r>
        <w:rPr>
          <w:lang w:eastAsia="en-AU"/>
        </w:rPr>
        <w:t>JSA is undertaking research to identify opportunities for improvements for the recruitment, retention, and cultural safety of the First Nations VET workforce as well as support for the Aboriginal Community Controlled and First Nations owned sector. This includes analysing institutional and systematic barriers and enablers for First Nations people joining, staying and progressing in the VET workforce, and identifying promising practices that address barriers and support enablers</w:t>
      </w:r>
      <w:r w:rsidR="00AC2606" w:rsidRPr="00AC0957">
        <w:rPr>
          <w:lang w:eastAsia="en-AU"/>
        </w:rPr>
        <w:t>.</w:t>
      </w:r>
      <w:r w:rsidR="008C52B1">
        <w:rPr>
          <w:lang w:eastAsia="en-AU"/>
        </w:rPr>
        <w:t xml:space="preserve"> </w:t>
      </w:r>
    </w:p>
    <w:p w14:paraId="340F9CA8" w14:textId="7430428A" w:rsidR="00AC2606" w:rsidRPr="00AC0957" w:rsidRDefault="00AC2606" w:rsidP="00761118">
      <w:pPr>
        <w:pStyle w:val="Heading3"/>
        <w:rPr>
          <w:sz w:val="18"/>
          <w:szCs w:val="18"/>
          <w:lang w:eastAsia="en-AU"/>
        </w:rPr>
      </w:pPr>
      <w:bookmarkStart w:id="23" w:name="_Toc181371556"/>
      <w:r w:rsidRPr="00AC0957">
        <w:rPr>
          <w:lang w:eastAsia="en-AU"/>
        </w:rPr>
        <w:t>Skilled migration</w:t>
      </w:r>
      <w:bookmarkEnd w:id="23"/>
      <w:r w:rsidR="008C52B1">
        <w:rPr>
          <w:lang w:eastAsia="en-AU"/>
        </w:rPr>
        <w:t xml:space="preserve"> </w:t>
      </w:r>
    </w:p>
    <w:p w14:paraId="05826868" w14:textId="77777777" w:rsidR="00344677" w:rsidRDefault="00344677" w:rsidP="00344677">
      <w:pPr>
        <w:rPr>
          <w:lang w:eastAsia="en-AU"/>
        </w:rPr>
      </w:pPr>
      <w:r>
        <w:rPr>
          <w:lang w:eastAsia="en-AU"/>
        </w:rPr>
        <w:t xml:space="preserve">Permanent skilled migration should aim to maximise Australia’s long-term prosperity. This goal is distinct from meeting genuine labour shortages, which is a purpose of temporary skilled migration. </w:t>
      </w:r>
    </w:p>
    <w:p w14:paraId="76EBFF32" w14:textId="77777777" w:rsidR="00344677" w:rsidRDefault="00344677" w:rsidP="00344677">
      <w:pPr>
        <w:rPr>
          <w:lang w:eastAsia="en-AU"/>
        </w:rPr>
      </w:pPr>
      <w:r>
        <w:rPr>
          <w:lang w:eastAsia="en-AU"/>
        </w:rPr>
        <w:t xml:space="preserve">The Migration Review was critical of the approach to identifying skills needs, including the limited coordination between elements of the national skills system (education, training, and migration) and the lack of a whole-of-government and tripartite mechanism for assessing Australia’s skills needs. </w:t>
      </w:r>
    </w:p>
    <w:p w14:paraId="2D2B6484" w14:textId="0176E1CC" w:rsidR="00AC2606" w:rsidRPr="00761118" w:rsidRDefault="00344677" w:rsidP="00344677">
      <w:pPr>
        <w:rPr>
          <w:lang w:eastAsia="en-AU"/>
        </w:rPr>
      </w:pPr>
      <w:r>
        <w:rPr>
          <w:lang w:eastAsia="en-AU"/>
        </w:rPr>
        <w:t>As a response, the Migration Strategy establishes a formal role for JSA in defining skills needs using evidence, helping to ensure local workers’ skills and job opportunities are prioritised, and that the migration system complements the domestic skills and training system</w:t>
      </w:r>
      <w:r w:rsidR="00AC2606" w:rsidRPr="00AC0957">
        <w:rPr>
          <w:lang w:eastAsia="en-AU"/>
        </w:rPr>
        <w:t>.</w:t>
      </w:r>
      <w:r w:rsidR="008C52B1">
        <w:rPr>
          <w:lang w:eastAsia="en-AU"/>
        </w:rPr>
        <w:t xml:space="preserve"> </w:t>
      </w:r>
    </w:p>
    <w:p w14:paraId="74BBE634" w14:textId="77777777" w:rsidR="00AC2606" w:rsidRPr="00AC0957" w:rsidRDefault="00AC2606" w:rsidP="00761118">
      <w:pPr>
        <w:pStyle w:val="Heading2"/>
        <w:rPr>
          <w:lang w:eastAsia="en-AU"/>
        </w:rPr>
      </w:pPr>
      <w:bookmarkStart w:id="24" w:name="_Toc181371557"/>
      <w:r w:rsidRPr="00AC0957">
        <w:rPr>
          <w:lang w:eastAsia="en-AU"/>
        </w:rPr>
        <w:t>5. Activating an informed dialogue</w:t>
      </w:r>
      <w:bookmarkEnd w:id="24"/>
      <w:r w:rsidRPr="00AC0957">
        <w:rPr>
          <w:lang w:eastAsia="en-AU"/>
        </w:rPr>
        <w:t> </w:t>
      </w:r>
    </w:p>
    <w:p w14:paraId="34C05277" w14:textId="77777777" w:rsidR="00CF11AE" w:rsidRDefault="00CF11AE" w:rsidP="00CF11AE">
      <w:pPr>
        <w:rPr>
          <w:lang w:eastAsia="en-AU"/>
        </w:rPr>
      </w:pPr>
      <w:r>
        <w:rPr>
          <w:lang w:eastAsia="en-AU"/>
        </w:rPr>
        <w:t xml:space="preserve">Critical to the realisation of a more inclusive, productive Australia is that all participants in the skills system must work together. The evidence presented in this report, across our strategic pillars, has been generated with the Australian people and our stakeholders in mind. This means we have considered how our outputs, products and advice can have an impact in the real world and this has been built into project design. We seek to ensure that our work has the intended impact and reach by communicating in a way that enables broad understanding and meets stakeholder and user needs for our insights.  </w:t>
      </w:r>
    </w:p>
    <w:p w14:paraId="17EA8E07" w14:textId="77777777" w:rsidR="00CF11AE" w:rsidRDefault="00CF11AE" w:rsidP="00CF11AE">
      <w:pPr>
        <w:rPr>
          <w:lang w:eastAsia="en-AU"/>
        </w:rPr>
      </w:pPr>
      <w:r>
        <w:rPr>
          <w:lang w:eastAsia="en-AU"/>
        </w:rPr>
        <w:t xml:space="preserve">We understand that the best advice considers a range of evidence and perspectives to reach a more holistic understanding of the issues, as well as better solutions. We value the unique experiences, opinions, skills, and qualities of all participants in the system, and how these can enrich our work, and consider the full suite of evidence to formulate the best advice. We identify important connections between the work we do and the work of others, and how working together can improve outcomes and drive better results.  </w:t>
      </w:r>
    </w:p>
    <w:p w14:paraId="5E2428A2" w14:textId="77777777" w:rsidR="00CF11AE" w:rsidRDefault="00CF11AE" w:rsidP="00CF11AE">
      <w:pPr>
        <w:rPr>
          <w:lang w:eastAsia="en-AU"/>
        </w:rPr>
      </w:pPr>
      <w:r>
        <w:rPr>
          <w:lang w:eastAsia="en-AU"/>
        </w:rPr>
        <w:t xml:space="preserve">We have worked closely with our key partners and stakeholders – the Ministerial Advisory Board, Commonwealth and state and territory governments, Jobs and Skills Councils, and education and training providers – to shape our work throughout the year and formulate the evidence and insights within this report. We thank them for their hard work and contributions. </w:t>
      </w:r>
    </w:p>
    <w:p w14:paraId="176999B4" w14:textId="26487720" w:rsidR="00AC2606" w:rsidRPr="00761118" w:rsidRDefault="00CF11AE" w:rsidP="00CF11AE">
      <w:pPr>
        <w:rPr>
          <w:sz w:val="18"/>
          <w:szCs w:val="18"/>
          <w:lang w:eastAsia="en-AU"/>
        </w:rPr>
      </w:pPr>
      <w:r>
        <w:rPr>
          <w:lang w:eastAsia="en-AU"/>
        </w:rPr>
        <w:t>We are committed to continuing to activate an informed dialogue about Australia’s current and future workforce and skills needs and opportunities, because we recognise that it is only together that we can achieve a truly dynamic and inclusive future</w:t>
      </w:r>
      <w:r w:rsidR="00AC2606" w:rsidRPr="00AC0957">
        <w:rPr>
          <w:lang w:eastAsia="en-AU"/>
        </w:rPr>
        <w:t>.</w:t>
      </w:r>
      <w:r w:rsidR="008C52B1">
        <w:rPr>
          <w:lang w:eastAsia="en-AU"/>
        </w:rPr>
        <w:t xml:space="preserve"> </w:t>
      </w:r>
    </w:p>
    <w:p w14:paraId="61A78985" w14:textId="77777777" w:rsidR="001925C2" w:rsidRDefault="001925C2" w:rsidP="00A06692">
      <w:pPr>
        <w:pStyle w:val="Chaptergap"/>
        <w:sectPr w:rsidR="001925C2" w:rsidSect="00934658">
          <w:footerReference w:type="even" r:id="rId24"/>
          <w:footerReference w:type="first" r:id="rId25"/>
          <w:pgSz w:w="11906" w:h="16838" w:code="9"/>
          <w:pgMar w:top="1276" w:right="1440" w:bottom="1134" w:left="1440" w:header="709" w:footer="709" w:gutter="0"/>
          <w:pgNumType w:start="1"/>
          <w:cols w:space="708"/>
          <w:titlePg/>
          <w:docGrid w:linePitch="360"/>
        </w:sectPr>
      </w:pPr>
      <w:bookmarkStart w:id="25" w:name="_Toc179887364"/>
    </w:p>
    <w:p w14:paraId="778A42F3" w14:textId="77777777" w:rsidR="00A06692" w:rsidRDefault="00A06692" w:rsidP="00A06692">
      <w:pPr>
        <w:pStyle w:val="Chaptergap"/>
      </w:pPr>
    </w:p>
    <w:p w14:paraId="5F3682B1" w14:textId="2D74DE8B" w:rsidR="00AC2606" w:rsidRPr="00AC0957" w:rsidRDefault="00AC2606" w:rsidP="00AC2606">
      <w:pPr>
        <w:pStyle w:val="Heading1"/>
        <w:rPr>
          <w:rFonts w:cs="Arial"/>
        </w:rPr>
      </w:pPr>
      <w:bookmarkStart w:id="26" w:name="_Toc181371558"/>
      <w:r w:rsidRPr="00AC0957">
        <w:rPr>
          <w:rFonts w:cs="Arial"/>
        </w:rPr>
        <w:t xml:space="preserve">Chapter </w:t>
      </w:r>
      <w:r w:rsidR="00CB060C">
        <w:rPr>
          <w:rFonts w:cs="Arial"/>
        </w:rPr>
        <w:t>1:</w:t>
      </w:r>
      <w:r w:rsidRPr="00AC0957">
        <w:rPr>
          <w:rFonts w:cs="Arial"/>
        </w:rPr>
        <w:t xml:space="preserve"> Fostering inclusive participation</w:t>
      </w:r>
      <w:bookmarkEnd w:id="25"/>
      <w:bookmarkEnd w:id="26"/>
    </w:p>
    <w:p w14:paraId="68966CDE" w14:textId="77777777" w:rsidR="00A56337" w:rsidRPr="00A56337" w:rsidRDefault="00A56337" w:rsidP="00A56337">
      <w:pPr>
        <w:rPr>
          <w:rFonts w:cs="Arial"/>
        </w:rPr>
      </w:pPr>
      <w:r w:rsidRPr="00A56337">
        <w:rPr>
          <w:rFonts w:cs="Arial"/>
        </w:rPr>
        <w:t xml:space="preserve">With the unemployment rate historically low but rising, and with persistent skills shortages across industries and occupations, we have an opportunity and a responsibility to do more work across sectors to improve access to skills and training and employment opportunities, and to remove barriers to participation. This is why JSA has a legislative remit to: </w:t>
      </w:r>
    </w:p>
    <w:p w14:paraId="6DDB7AB5" w14:textId="0E3433C8" w:rsidR="00A56337" w:rsidRPr="00A56337" w:rsidRDefault="00A56337" w:rsidP="00A56337">
      <w:pPr>
        <w:pStyle w:val="ListBullet"/>
      </w:pPr>
      <w:r w:rsidRPr="00A56337">
        <w:t>provide advice on opportunities to remove barriers to achieving gender equality in the provision of training and in the labour market, and opportunities to improve gender equality outcomes</w:t>
      </w:r>
    </w:p>
    <w:p w14:paraId="3DA33636" w14:textId="77777777" w:rsidR="00A56337" w:rsidRDefault="00A56337" w:rsidP="00A56337">
      <w:pPr>
        <w:pStyle w:val="ListBullet"/>
      </w:pPr>
      <w:r w:rsidRPr="00A56337">
        <w:t>provide advice on the impact of workplace arrangements, including insecure work, on economic and social outcomes</w:t>
      </w:r>
    </w:p>
    <w:p w14:paraId="3970E79E" w14:textId="69A6C367" w:rsidR="00A56337" w:rsidRPr="00A56337" w:rsidRDefault="00A56337" w:rsidP="00A56337">
      <w:pPr>
        <w:pStyle w:val="ListBullet"/>
      </w:pPr>
      <w:r w:rsidRPr="00A56337">
        <w:t>analyse skills needs and workforce needs, including in regional, rural and remote Australia, and in relation to migration</w:t>
      </w:r>
    </w:p>
    <w:p w14:paraId="3B726713" w14:textId="3BC78B0E" w:rsidR="00A56337" w:rsidRPr="00A56337" w:rsidRDefault="00A56337" w:rsidP="00A56337">
      <w:pPr>
        <w:pStyle w:val="ListBullet"/>
      </w:pPr>
      <w:r w:rsidRPr="00A56337">
        <w:t>undertake studies, including on opportunities to improve employment, VET and higher education outcomes for cohorts of individuals that have historically experienced labour market disadvantage and exclusion, and support, where appropriate, the evaluation of outcomes of relevant programs and the measurement of targets for these cohorts.</w:t>
      </w:r>
    </w:p>
    <w:p w14:paraId="33E10507" w14:textId="2EE9131A" w:rsidR="00AC2606" w:rsidRDefault="00A56337" w:rsidP="00A56337">
      <w:pPr>
        <w:rPr>
          <w:rFonts w:cs="Arial"/>
        </w:rPr>
      </w:pPr>
      <w:r w:rsidRPr="00A56337">
        <w:rPr>
          <w:rFonts w:cs="Arial"/>
        </w:rPr>
        <w:t>While we have a legislative remit to consider certain aspects of inclusion, JSA’s work across the board has a strong focus on equity, access, and inclusion across education and employment. Our insights aim to help increase understanding of the barriers to, and enablers of, success – and how to empower more people with opportunities to participate to their full potential</w:t>
      </w:r>
      <w:r w:rsidR="00AC2606" w:rsidRPr="00AC0957">
        <w:rPr>
          <w:rFonts w:cs="Arial"/>
        </w:rPr>
        <w:t>.</w:t>
      </w:r>
    </w:p>
    <w:p w14:paraId="267D16AB" w14:textId="36CD312D" w:rsidR="00A06692" w:rsidRDefault="00A06692">
      <w:pPr>
        <w:spacing w:after="160" w:line="259" w:lineRule="auto"/>
        <w:rPr>
          <w:rFonts w:cs="Arial"/>
        </w:rPr>
      </w:pPr>
      <w:r>
        <w:rPr>
          <w:rFonts w:cs="Arial"/>
        </w:rPr>
        <w:br w:type="page"/>
      </w:r>
    </w:p>
    <w:p w14:paraId="78E4567F" w14:textId="77777777" w:rsidR="008C1832" w:rsidRPr="00AC0957" w:rsidRDefault="008C1832" w:rsidP="00761118">
      <w:pPr>
        <w:pBdr>
          <w:bottom w:val="single" w:sz="12" w:space="1" w:color="auto"/>
        </w:pBdr>
        <w:rPr>
          <w:rFonts w:cs="Arial"/>
        </w:rPr>
      </w:pPr>
      <w:bookmarkStart w:id="27" w:name="_Hlk180591153"/>
    </w:p>
    <w:bookmarkEnd w:id="27"/>
    <w:p w14:paraId="5A8AA0D4" w14:textId="77777777" w:rsidR="00AC2606" w:rsidRPr="00AC0957" w:rsidRDefault="00AC2606" w:rsidP="00761118">
      <w:pPr>
        <w:pStyle w:val="Keythemes"/>
      </w:pPr>
      <w:r w:rsidRPr="00AC0957">
        <w:t>Key themes in this chapter:</w:t>
      </w:r>
    </w:p>
    <w:p w14:paraId="338F38B4" w14:textId="53AA055B" w:rsidR="00E35800" w:rsidRPr="00E35800" w:rsidRDefault="00E35800" w:rsidP="003A428A">
      <w:pPr>
        <w:pStyle w:val="ListBullet"/>
      </w:pPr>
      <w:r w:rsidRPr="00E35800">
        <w:t xml:space="preserve">The </w:t>
      </w:r>
      <w:r w:rsidR="00BA64D1">
        <w:t>Australian G</w:t>
      </w:r>
      <w:r w:rsidRPr="00E35800">
        <w:t xml:space="preserve">overnment has an objective to deliver sustained and inclusive full employment, as outlined in its White Paper on Jobs and Opportunities, </w:t>
      </w:r>
      <w:r w:rsidRPr="008C52B1">
        <w:rPr>
          <w:i/>
          <w:iCs/>
        </w:rPr>
        <w:t>Working Future</w:t>
      </w:r>
      <w:r w:rsidRPr="00E35800">
        <w:t xml:space="preserve">, released in September 2023. </w:t>
      </w:r>
    </w:p>
    <w:p w14:paraId="187F1ECB" w14:textId="77777777" w:rsidR="00E35800" w:rsidRPr="00E35800" w:rsidRDefault="00E35800" w:rsidP="003A428A">
      <w:pPr>
        <w:pStyle w:val="ListBullet"/>
      </w:pPr>
      <w:r w:rsidRPr="00E35800">
        <w:t xml:space="preserve">In measuring progress towards this objective, the White Paper brought together a range of full employment indicators that go beyond just a headline measure of spare capacity and help track government advancement towards its broader full employment goal. </w:t>
      </w:r>
    </w:p>
    <w:p w14:paraId="5FCD1D92" w14:textId="77777777" w:rsidR="00E35800" w:rsidRPr="00E35800" w:rsidRDefault="00E35800" w:rsidP="003A428A">
      <w:pPr>
        <w:pStyle w:val="ListBullet"/>
      </w:pPr>
      <w:r w:rsidRPr="00E35800">
        <w:t>This chapter monitors developments in those indicators that have occurred over the past year, in what has been a resilient though softening labour market. As could be expected, some indicators have weakened slightly over the period. Encouragingly, however, a number of inclusive full employment indicators have continued to improve.</w:t>
      </w:r>
    </w:p>
    <w:p w14:paraId="5AF46359" w14:textId="77777777" w:rsidR="00E35800" w:rsidRPr="00E35800" w:rsidRDefault="00E35800" w:rsidP="003A428A">
      <w:pPr>
        <w:pStyle w:val="ListBullet"/>
      </w:pPr>
      <w:r w:rsidRPr="00E35800">
        <w:t xml:space="preserve">First Nations workers account for a lower share of higher-skilled occupations and a larger share of lower-skilled occupations, which may indicate the presence of persisting barriers to full participation. </w:t>
      </w:r>
    </w:p>
    <w:p w14:paraId="0B1FAF9E" w14:textId="77777777" w:rsidR="00E35800" w:rsidRPr="00E35800" w:rsidRDefault="00E35800" w:rsidP="003A428A">
      <w:pPr>
        <w:pStyle w:val="ListBullet"/>
      </w:pPr>
      <w:r w:rsidRPr="00E35800">
        <w:t xml:space="preserve">Part-time employment is still more common for female workers across industries, skill levels, and occupations; and gender-imbalanced occupations are more likely to be in shortage. </w:t>
      </w:r>
    </w:p>
    <w:p w14:paraId="0D93773E" w14:textId="77777777" w:rsidR="00E35800" w:rsidRPr="00E35800" w:rsidRDefault="00E35800" w:rsidP="003A428A">
      <w:pPr>
        <w:pStyle w:val="ListBullet"/>
      </w:pPr>
      <w:r w:rsidRPr="00E35800">
        <w:t>Income volatility can be a measure of insecure work. Employees in jobs who experienced less income volatility, on average, earned a higher annual income and remained in that job for longer. Those who have more than one job experienced higher volatility in additional jobs outside of their main job and remained in these jobs for shorter periods.</w:t>
      </w:r>
    </w:p>
    <w:p w14:paraId="06110A4C" w14:textId="77777777" w:rsidR="00E35800" w:rsidRPr="00E35800" w:rsidRDefault="00E35800" w:rsidP="003A428A">
      <w:pPr>
        <w:pStyle w:val="ListBullet"/>
      </w:pPr>
      <w:r w:rsidRPr="00E35800">
        <w:t>International students enrich Australia’s campuses, communities, and economy – but many of those who remain in Australia after graduation face barriers transitioning into the skilled workforce. The changing demography of the student population, a complex visa environment, and challenges in achieving relevant work outcomes are shaping the international education experience in Australia.</w:t>
      </w:r>
    </w:p>
    <w:p w14:paraId="53FD52AA" w14:textId="5F6A731B" w:rsidR="00E35800" w:rsidRPr="00E35800" w:rsidRDefault="00E35800" w:rsidP="003A428A">
      <w:pPr>
        <w:pStyle w:val="ListBullet"/>
      </w:pPr>
      <w:r w:rsidRPr="00E35800">
        <w:t xml:space="preserve">Foundation Skills are critical for effective participation in communities, training, and the workplace. The most recent national data suggests that around one in 5 Australians have low literacy and/or numeracy skills </w:t>
      </w:r>
      <w:sdt>
        <w:sdtPr>
          <w:id w:val="901562100"/>
          <w:citation/>
        </w:sdtPr>
        <w:sdtEndPr/>
        <w:sdtContent>
          <w:r w:rsidR="004543B0">
            <w:fldChar w:fldCharType="begin"/>
          </w:r>
          <w:r w:rsidR="004543B0">
            <w:rPr>
              <w:lang w:val="en-AU"/>
            </w:rPr>
            <w:instrText xml:space="preserve"> CITATION OEC171 \l 3081 </w:instrText>
          </w:r>
          <w:r w:rsidR="004543B0">
            <w:fldChar w:fldCharType="separate"/>
          </w:r>
          <w:r w:rsidR="00CA3587" w:rsidRPr="00CA3587">
            <w:rPr>
              <w:noProof/>
              <w:lang w:val="en-AU"/>
            </w:rPr>
            <w:t>(OECD, 2017)</w:t>
          </w:r>
          <w:r w:rsidR="004543B0">
            <w:fldChar w:fldCharType="end"/>
          </w:r>
        </w:sdtContent>
      </w:sdt>
      <w:r w:rsidRPr="00E35800">
        <w:t>, but this data is from the Organisation for Economic Co-operation and Development (OECD)’s Programme for the International Assessment of Adult Competencies (PIAAC) survey which was last run in Australia in 2011/12. This is why JSA is undertaking 3</w:t>
      </w:r>
      <w:r w:rsidR="008C52B1">
        <w:t xml:space="preserve"> </w:t>
      </w:r>
      <w:r w:rsidRPr="00E35800">
        <w:t xml:space="preserve">studies to better understand the foundation skills levels of Australian adults. </w:t>
      </w:r>
    </w:p>
    <w:p w14:paraId="3FF66691" w14:textId="7DA53CC5" w:rsidR="00AC2606" w:rsidRPr="00E35800" w:rsidRDefault="00E35800" w:rsidP="003A428A">
      <w:pPr>
        <w:pStyle w:val="ListBullet"/>
      </w:pPr>
      <w:r w:rsidRPr="00E35800">
        <w:t>Vocational Education and Training pathways may be attractive options for groups that have historically experienced labour market and other disadvantage given the barriers to access can be lower. Completion of VET training may contribute to higher levels of employment, income uplift, and higher chance of undertaking further training at a higher level</w:t>
      </w:r>
      <w:r w:rsidR="00AC2606" w:rsidRPr="00E35800">
        <w:t xml:space="preserve">. </w:t>
      </w:r>
    </w:p>
    <w:p w14:paraId="2C467F20" w14:textId="77777777" w:rsidR="009D6A0C" w:rsidRDefault="009D6A0C" w:rsidP="00AC2606">
      <w:pPr>
        <w:pStyle w:val="Heading2"/>
        <w:rPr>
          <w:rFonts w:cs="Arial"/>
        </w:rPr>
        <w:sectPr w:rsidR="009D6A0C" w:rsidSect="00934658">
          <w:headerReference w:type="even" r:id="rId26"/>
          <w:footerReference w:type="even" r:id="rId27"/>
          <w:headerReference w:type="first" r:id="rId28"/>
          <w:footerReference w:type="first" r:id="rId29"/>
          <w:pgSz w:w="11906" w:h="16838" w:code="9"/>
          <w:pgMar w:top="1276" w:right="1440" w:bottom="1134" w:left="1440" w:header="709" w:footer="709" w:gutter="0"/>
          <w:cols w:space="708"/>
          <w:titlePg/>
          <w:docGrid w:linePitch="360"/>
        </w:sectPr>
      </w:pPr>
      <w:bookmarkStart w:id="28" w:name="_Toc179887365"/>
    </w:p>
    <w:p w14:paraId="52C306C4" w14:textId="77777777" w:rsidR="00AC2606" w:rsidRPr="00AC0957" w:rsidRDefault="00AC2606" w:rsidP="00AC2606">
      <w:pPr>
        <w:pStyle w:val="Heading2"/>
        <w:rPr>
          <w:rFonts w:cs="Arial"/>
        </w:rPr>
      </w:pPr>
      <w:bookmarkStart w:id="29" w:name="_Toc181371559"/>
      <w:r w:rsidRPr="00AC0957">
        <w:rPr>
          <w:rFonts w:cs="Arial"/>
        </w:rPr>
        <w:t>Measuring movements in full employment indicators since the White Paper</w:t>
      </w:r>
      <w:bookmarkEnd w:id="28"/>
      <w:bookmarkEnd w:id="29"/>
      <w:r w:rsidRPr="00AC0957">
        <w:rPr>
          <w:rFonts w:cs="Arial"/>
        </w:rPr>
        <w:t xml:space="preserve"> </w:t>
      </w:r>
    </w:p>
    <w:p w14:paraId="1EE762D9" w14:textId="77777777" w:rsidR="00AC2606" w:rsidRPr="00AC0957" w:rsidRDefault="00AC2606" w:rsidP="00AC2606">
      <w:pPr>
        <w:rPr>
          <w:rFonts w:cs="Arial"/>
        </w:rPr>
      </w:pPr>
      <w:r w:rsidRPr="00AC0957">
        <w:rPr>
          <w:rFonts w:cs="Arial"/>
        </w:rPr>
        <w:t xml:space="preserve">The Australian Government’s White Paper on Jobs and Opportunities, </w:t>
      </w:r>
      <w:r w:rsidRPr="00AC0957">
        <w:rPr>
          <w:rFonts w:cs="Arial"/>
          <w:i/>
          <w:iCs/>
        </w:rPr>
        <w:t>Working Future</w:t>
      </w:r>
      <w:r w:rsidRPr="00AC0957">
        <w:rPr>
          <w:rFonts w:cs="Arial"/>
        </w:rPr>
        <w:t xml:space="preserve">, outlines the Government’s vision for: </w:t>
      </w:r>
    </w:p>
    <w:p w14:paraId="2DC7E9E9" w14:textId="2A8C970E" w:rsidR="00AC2606" w:rsidRPr="00AC0957" w:rsidRDefault="00AC2606" w:rsidP="00AC2606">
      <w:pPr>
        <w:ind w:left="720"/>
        <w:rPr>
          <w:rFonts w:cs="Arial"/>
        </w:rPr>
      </w:pPr>
      <w:r w:rsidRPr="00AC0957">
        <w:rPr>
          <w:rFonts w:cs="Arial"/>
          <w:i/>
          <w:iCs/>
        </w:rPr>
        <w:t>sustained and inclusive full employment, which means everyone who wants a job should be able to find one without having to search for too long. This recognises that decent jobs and opportunities are central to a strong economy and a prosperous and inclusive society</w:t>
      </w:r>
      <w:r w:rsidRPr="00AC0957">
        <w:rPr>
          <w:rFonts w:cs="Arial"/>
        </w:rPr>
        <w:t xml:space="preserve"> </w:t>
      </w:r>
      <w:sdt>
        <w:sdtPr>
          <w:rPr>
            <w:rFonts w:cs="Arial"/>
          </w:rPr>
          <w:id w:val="1237131533"/>
          <w:citation/>
        </w:sdtPr>
        <w:sdtEndPr/>
        <w:sdtContent>
          <w:r w:rsidRPr="00AC0957">
            <w:rPr>
              <w:rFonts w:cs="Arial"/>
            </w:rPr>
            <w:fldChar w:fldCharType="begin"/>
          </w:r>
          <w:r w:rsidR="009C17CB">
            <w:rPr>
              <w:rFonts w:cs="Arial"/>
            </w:rPr>
            <w:instrText xml:space="preserve">CITATION Aus23 \t  \l 3081 </w:instrText>
          </w:r>
          <w:r w:rsidRPr="00AC0957">
            <w:rPr>
              <w:rFonts w:cs="Arial"/>
            </w:rPr>
            <w:fldChar w:fldCharType="separate"/>
          </w:r>
          <w:r w:rsidR="00CA3587" w:rsidRPr="00CA3587">
            <w:rPr>
              <w:rFonts w:cs="Arial"/>
              <w:noProof/>
            </w:rPr>
            <w:t>(Commonwealth of Australia, 2023a)</w:t>
          </w:r>
          <w:r w:rsidRPr="00AC0957">
            <w:rPr>
              <w:rFonts w:cs="Arial"/>
            </w:rPr>
            <w:fldChar w:fldCharType="end"/>
          </w:r>
        </w:sdtContent>
      </w:sdt>
      <w:r w:rsidRPr="00AC0957">
        <w:rPr>
          <w:rFonts w:cs="Arial"/>
        </w:rPr>
        <w:t xml:space="preserve">. </w:t>
      </w:r>
    </w:p>
    <w:p w14:paraId="696569A2" w14:textId="0579116E" w:rsidR="00AC2606" w:rsidRPr="00AC0957" w:rsidRDefault="00AE4DB6" w:rsidP="00AC2606">
      <w:pPr>
        <w:rPr>
          <w:rFonts w:cs="Arial"/>
        </w:rPr>
      </w:pPr>
      <w:r w:rsidRPr="00AE4DB6">
        <w:rPr>
          <w:rFonts w:cs="Arial"/>
        </w:rPr>
        <w:t>The White Paper notes that understanding and tracking progress towards a sustained and inclusive full employment objective requires the consideration of a broad suite of measures. The Australian Government monitors measures of labour market health at the aggregate level, as well as indicators associated with increasing opportunity for specific cohorts who are more likely to face barriers to work. In addition, indicators that shed light on issues such as the disparity in unemployment across Australia’s regions, as well as the duration of unemployment, also contribute to an understanding of the inclusivity of full employment</w:t>
      </w:r>
      <w:sdt>
        <w:sdtPr>
          <w:rPr>
            <w:rFonts w:cs="Arial"/>
          </w:rPr>
          <w:id w:val="-1329436894"/>
          <w:citation/>
        </w:sdtPr>
        <w:sdtEndPr/>
        <w:sdtContent>
          <w:r w:rsidR="00AC2606" w:rsidRPr="00AC0957">
            <w:rPr>
              <w:rFonts w:cs="Arial"/>
            </w:rPr>
            <w:fldChar w:fldCharType="begin"/>
          </w:r>
          <w:r w:rsidR="009C17CB">
            <w:rPr>
              <w:rFonts w:cs="Arial"/>
            </w:rPr>
            <w:instrText xml:space="preserve">CITATION Aus23 \t  \l 3081 </w:instrText>
          </w:r>
          <w:r w:rsidR="00AC2606" w:rsidRPr="00AC0957">
            <w:rPr>
              <w:rFonts w:cs="Arial"/>
            </w:rPr>
            <w:fldChar w:fldCharType="separate"/>
          </w:r>
          <w:r w:rsidR="00CA3587">
            <w:rPr>
              <w:rFonts w:cs="Arial"/>
              <w:noProof/>
            </w:rPr>
            <w:t xml:space="preserve"> </w:t>
          </w:r>
          <w:r w:rsidR="00CA3587" w:rsidRPr="00CA3587">
            <w:rPr>
              <w:rFonts w:cs="Arial"/>
              <w:noProof/>
            </w:rPr>
            <w:t>(Commonwealth of Australia, 2023a)</w:t>
          </w:r>
          <w:r w:rsidR="00AC2606" w:rsidRPr="00AC0957">
            <w:rPr>
              <w:rFonts w:cs="Arial"/>
            </w:rPr>
            <w:fldChar w:fldCharType="end"/>
          </w:r>
        </w:sdtContent>
      </w:sdt>
      <w:r w:rsidR="00AC2606" w:rsidRPr="00AC0957">
        <w:rPr>
          <w:rFonts w:cs="Arial"/>
        </w:rPr>
        <w:t xml:space="preserve">. </w:t>
      </w:r>
    </w:p>
    <w:p w14:paraId="72924B75" w14:textId="704ED861" w:rsidR="00AC2606" w:rsidRPr="00AC0957" w:rsidRDefault="000D6FA1" w:rsidP="00AC2606">
      <w:pPr>
        <w:rPr>
          <w:rFonts w:cs="Arial"/>
        </w:rPr>
      </w:pPr>
      <w:r w:rsidRPr="000D6FA1">
        <w:rPr>
          <w:rFonts w:cs="Arial"/>
        </w:rPr>
        <w:t>The broad suite of sustained and inclusive full employment indicators illustrated in the White Paper is outlined below and has been updated (where possible) with the latest available data</w:t>
      </w:r>
      <w:r>
        <w:rPr>
          <w:rStyle w:val="FootnoteReference"/>
          <w:rFonts w:cs="Arial"/>
        </w:rPr>
        <w:footnoteReference w:id="4"/>
      </w:r>
      <w:r w:rsidRPr="000D6FA1">
        <w:rPr>
          <w:rFonts w:cs="Arial"/>
        </w:rPr>
        <w:t>, to highlight how the indicators have progressed since the time of writing of the White Paper. These indicators also help to inform the research and analysis that JSA undertakes, around empowering more people with opportunities to participate to their full potential and we will continue to monitor the progress of these measures</w:t>
      </w:r>
      <w:r w:rsidR="00AC2606" w:rsidRPr="00AC0957">
        <w:rPr>
          <w:rFonts w:cs="Arial"/>
        </w:rPr>
        <w:t>.</w:t>
      </w:r>
      <w:r w:rsidR="008C52B1">
        <w:rPr>
          <w:rFonts w:cs="Arial"/>
        </w:rPr>
        <w:t xml:space="preserve"> </w:t>
      </w:r>
    </w:p>
    <w:p w14:paraId="7165BF03" w14:textId="77777777" w:rsidR="00AC2606" w:rsidRPr="00AC0957" w:rsidRDefault="00AC2606" w:rsidP="00AC2606">
      <w:pPr>
        <w:pStyle w:val="Heading3"/>
        <w:rPr>
          <w:rFonts w:cs="Arial"/>
        </w:rPr>
      </w:pPr>
      <w:bookmarkStart w:id="30" w:name="_Toc179887366"/>
      <w:bookmarkStart w:id="31" w:name="_Toc181371560"/>
      <w:r w:rsidRPr="00AC0957">
        <w:rPr>
          <w:rFonts w:cs="Arial"/>
        </w:rPr>
        <w:t>Indicators of sustained and inclusive full employment</w:t>
      </w:r>
      <w:bookmarkEnd w:id="30"/>
      <w:bookmarkEnd w:id="31"/>
    </w:p>
    <w:p w14:paraId="3E308422" w14:textId="20172D0A" w:rsidR="00E01BE8" w:rsidRPr="00E01BE8" w:rsidRDefault="00E01BE8" w:rsidP="00E01BE8">
      <w:pPr>
        <w:rPr>
          <w:rFonts w:cs="Arial"/>
        </w:rPr>
      </w:pPr>
      <w:r w:rsidRPr="00E01BE8">
        <w:rPr>
          <w:rFonts w:cs="Arial"/>
        </w:rPr>
        <w:t xml:space="preserve">The </w:t>
      </w:r>
      <w:r w:rsidRPr="00E01BE8">
        <w:rPr>
          <w:rFonts w:cs="Arial"/>
          <w:i/>
          <w:iCs/>
        </w:rPr>
        <w:t>national unemployment rate</w:t>
      </w:r>
      <w:r w:rsidRPr="00E01BE8">
        <w:rPr>
          <w:rFonts w:cs="Arial"/>
        </w:rPr>
        <w:t xml:space="preserve"> is an important headline measure of spare capacity and refers to the number of people who are looking for, and are available to start, work (but who are not currently working) expressed as a share of the labour force. As illustrated in </w:t>
      </w:r>
      <w:r w:rsidR="00015581">
        <w:rPr>
          <w:rFonts w:cs="Arial"/>
        </w:rPr>
        <w:fldChar w:fldCharType="begin"/>
      </w:r>
      <w:r w:rsidR="00015581">
        <w:rPr>
          <w:rFonts w:cs="Arial"/>
        </w:rPr>
        <w:instrText xml:space="preserve"> REF _Ref179895129 \h </w:instrText>
      </w:r>
      <w:r w:rsidR="00015581">
        <w:rPr>
          <w:rFonts w:cs="Arial"/>
        </w:rPr>
      </w:r>
      <w:r w:rsidR="00015581">
        <w:rPr>
          <w:rFonts w:cs="Arial"/>
        </w:rPr>
        <w:fldChar w:fldCharType="separate"/>
      </w:r>
      <w:r w:rsidR="00C47A81">
        <w:t xml:space="preserve">Figure </w:t>
      </w:r>
      <w:r w:rsidR="00C47A81">
        <w:rPr>
          <w:noProof/>
        </w:rPr>
        <w:t>1</w:t>
      </w:r>
      <w:r w:rsidR="00015581">
        <w:rPr>
          <w:rFonts w:cs="Arial"/>
        </w:rPr>
        <w:fldChar w:fldCharType="end"/>
      </w:r>
      <w:r w:rsidRPr="00E01BE8">
        <w:rPr>
          <w:rFonts w:cs="Arial"/>
        </w:rPr>
        <w:t xml:space="preserve">, the unemployment rate has drifted up, from 3.7% in August 2023, to 4.2% in August 2024, although it remains reasonably close to historical lows. While the unemployment rate is a crucial headline measure, it is also important to consider other aspects of underutilisation, such as underemployed workers (i.e., those who are employed but want to work more hours). </w:t>
      </w:r>
    </w:p>
    <w:p w14:paraId="6649F207" w14:textId="0CA901DB" w:rsidR="00E01BE8" w:rsidRPr="00E01BE8" w:rsidRDefault="00E01BE8" w:rsidP="00E01BE8">
      <w:pPr>
        <w:rPr>
          <w:rFonts w:cs="Arial"/>
        </w:rPr>
      </w:pPr>
      <w:r w:rsidRPr="00E01BE8">
        <w:rPr>
          <w:rFonts w:cs="Arial"/>
        </w:rPr>
        <w:t xml:space="preserve">The </w:t>
      </w:r>
      <w:r w:rsidRPr="00E01BE8">
        <w:rPr>
          <w:rFonts w:cs="Arial"/>
          <w:i/>
          <w:iCs/>
        </w:rPr>
        <w:t>hours-based underutilisation rate</w:t>
      </w:r>
      <w:r w:rsidRPr="00E01BE8">
        <w:rPr>
          <w:rFonts w:cs="Arial"/>
        </w:rPr>
        <w:t xml:space="preserve"> is a broader measure of spare capacity in the labour market and refers to how many additional hours are sought, but not worked, by underemployed workers and the unemployed. As outlined in </w:t>
      </w:r>
      <w:r w:rsidR="00015581">
        <w:rPr>
          <w:rFonts w:cs="Arial"/>
        </w:rPr>
        <w:fldChar w:fldCharType="begin"/>
      </w:r>
      <w:r w:rsidR="00015581">
        <w:rPr>
          <w:rFonts w:cs="Arial"/>
        </w:rPr>
        <w:instrText xml:space="preserve"> REF _Ref179895137 \h </w:instrText>
      </w:r>
      <w:r w:rsidR="00015581">
        <w:rPr>
          <w:rFonts w:cs="Arial"/>
        </w:rPr>
      </w:r>
      <w:r w:rsidR="00015581">
        <w:rPr>
          <w:rFonts w:cs="Arial"/>
        </w:rPr>
        <w:fldChar w:fldCharType="separate"/>
      </w:r>
      <w:r w:rsidR="00C47A81">
        <w:t xml:space="preserve">Figure </w:t>
      </w:r>
      <w:r w:rsidR="00C47A81">
        <w:rPr>
          <w:noProof/>
        </w:rPr>
        <w:t>2</w:t>
      </w:r>
      <w:r w:rsidR="00015581">
        <w:rPr>
          <w:rFonts w:cs="Arial"/>
        </w:rPr>
        <w:fldChar w:fldCharType="end"/>
      </w:r>
      <w:r w:rsidRPr="00E01BE8">
        <w:rPr>
          <w:rFonts w:cs="Arial"/>
        </w:rPr>
        <w:t>, latest available data show that the hours-based underutilisation rate has increased by 0.6 percentage points over the year, to stand at 6.0% in the June quarter 2024 (latest available data). This is above the equal lowest rate in the series, of 5.2% in the September quarter 2023, but remains well below the 10.4% recorded at the beginning of the series in the September quarter 1994.</w:t>
      </w:r>
    </w:p>
    <w:p w14:paraId="17137C61" w14:textId="13783B46" w:rsidR="00AC2606" w:rsidRPr="00AC0957" w:rsidRDefault="00E01BE8" w:rsidP="00E01BE8">
      <w:pPr>
        <w:rPr>
          <w:rFonts w:cs="Arial"/>
        </w:rPr>
      </w:pPr>
      <w:r w:rsidRPr="00E01BE8">
        <w:rPr>
          <w:rFonts w:cs="Arial"/>
        </w:rPr>
        <w:t xml:space="preserve">The </w:t>
      </w:r>
      <w:r w:rsidRPr="00015581">
        <w:rPr>
          <w:rFonts w:cs="Arial"/>
          <w:i/>
          <w:iCs/>
        </w:rPr>
        <w:t>rates of</w:t>
      </w:r>
      <w:r w:rsidRPr="00E01BE8">
        <w:rPr>
          <w:rFonts w:cs="Arial"/>
        </w:rPr>
        <w:t xml:space="preserve"> </w:t>
      </w:r>
      <w:r w:rsidRPr="00015581">
        <w:rPr>
          <w:rFonts w:cs="Arial"/>
          <w:i/>
          <w:iCs/>
        </w:rPr>
        <w:t>voluntary and involuntary job separation</w:t>
      </w:r>
      <w:r w:rsidRPr="00E01BE8">
        <w:rPr>
          <w:rFonts w:cs="Arial"/>
        </w:rPr>
        <w:t xml:space="preserve"> provide some indication of the economy’s position in the business cycle. Downturns are typically associated with an increase in employment terminations, while strong economic and labour market conditions tend to result in more people leaving their jobs voluntarily to move to better job opportunities (see </w:t>
      </w:r>
      <w:r w:rsidR="007E0595">
        <w:rPr>
          <w:rFonts w:cs="Arial"/>
        </w:rPr>
        <w:fldChar w:fldCharType="begin"/>
      </w:r>
      <w:r w:rsidR="007E0595">
        <w:rPr>
          <w:rFonts w:cs="Arial"/>
        </w:rPr>
        <w:instrText xml:space="preserve"> REF _Ref179895137 \h </w:instrText>
      </w:r>
      <w:r w:rsidR="007E0595">
        <w:rPr>
          <w:rFonts w:cs="Arial"/>
        </w:rPr>
      </w:r>
      <w:r w:rsidR="007E0595">
        <w:rPr>
          <w:rFonts w:cs="Arial"/>
        </w:rPr>
        <w:fldChar w:fldCharType="separate"/>
      </w:r>
      <w:r w:rsidR="00C47A81">
        <w:t xml:space="preserve">Figure </w:t>
      </w:r>
      <w:r w:rsidR="00C47A81">
        <w:rPr>
          <w:noProof/>
        </w:rPr>
        <w:t>2</w:t>
      </w:r>
      <w:r w:rsidR="007E0595">
        <w:rPr>
          <w:rFonts w:cs="Arial"/>
        </w:rPr>
        <w:fldChar w:fldCharType="end"/>
      </w:r>
      <w:r w:rsidRPr="00E01BE8">
        <w:rPr>
          <w:rFonts w:cs="Arial"/>
        </w:rPr>
        <w:t xml:space="preserve">). While the Australian labour market remains tight, the recent easing in labour market conditions has coincided with an increase in the rate of involuntary separation over the year – although it remains reasonably low by historical </w:t>
      </w:r>
      <w:r w:rsidRPr="00D01FD0">
        <w:rPr>
          <w:rFonts w:cs="Arial"/>
        </w:rPr>
        <w:t>standards</w:t>
      </w:r>
      <w:r w:rsidR="00AC2606" w:rsidRPr="00D01FD0">
        <w:rPr>
          <w:rFonts w:cs="Arial"/>
        </w:rPr>
        <w:t>.</w:t>
      </w:r>
      <w:r w:rsidR="00AC2606" w:rsidRPr="00AC0957">
        <w:rPr>
          <w:rFonts w:cs="Arial"/>
        </w:rPr>
        <w:t xml:space="preserve"> </w:t>
      </w:r>
    </w:p>
    <w:tbl>
      <w:tblPr>
        <w:tblW w:w="5000" w:type="pct"/>
        <w:tblBorders>
          <w:top w:val="single" w:sz="8" w:space="0" w:color="auto"/>
          <w:bottom w:val="single" w:sz="8" w:space="0" w:color="auto"/>
        </w:tblBorders>
        <w:tblLayout w:type="fixed"/>
        <w:tblCellMar>
          <w:left w:w="0" w:type="dxa"/>
          <w:right w:w="0" w:type="dxa"/>
        </w:tblCellMar>
        <w:tblLook w:val="0020" w:firstRow="1" w:lastRow="0" w:firstColumn="0" w:lastColumn="0" w:noHBand="0" w:noVBand="0"/>
      </w:tblPr>
      <w:tblGrid>
        <w:gridCol w:w="4513"/>
        <w:gridCol w:w="4513"/>
      </w:tblGrid>
      <w:tr w:rsidR="00AC2606" w:rsidRPr="00AC0957" w14:paraId="348761F0" w14:textId="77777777" w:rsidTr="00594BD6">
        <w:trPr>
          <w:cantSplit/>
          <w:tblHeader/>
        </w:trPr>
        <w:tc>
          <w:tcPr>
            <w:tcW w:w="4513" w:type="dxa"/>
            <w:tcBorders>
              <w:top w:val="nil"/>
              <w:bottom w:val="nil"/>
            </w:tcBorders>
          </w:tcPr>
          <w:p w14:paraId="38A901A9" w14:textId="208AF0B3" w:rsidR="003F02BF" w:rsidRDefault="003F02BF" w:rsidP="003F02BF">
            <w:pPr>
              <w:pStyle w:val="Caption"/>
            </w:pPr>
            <w:bookmarkStart w:id="32" w:name="_Ref179895129"/>
            <w:bookmarkStart w:id="33" w:name="_Toc181370303"/>
            <w:r>
              <w:t xml:space="preserve">Figure </w:t>
            </w:r>
            <w:r>
              <w:fldChar w:fldCharType="begin"/>
            </w:r>
            <w:r>
              <w:instrText xml:space="preserve"> SEQ Figure \* ARABIC </w:instrText>
            </w:r>
            <w:r>
              <w:fldChar w:fldCharType="separate"/>
            </w:r>
            <w:r w:rsidR="00C47A81">
              <w:rPr>
                <w:noProof/>
              </w:rPr>
              <w:t>1</w:t>
            </w:r>
            <w:r>
              <w:fldChar w:fldCharType="end"/>
            </w:r>
            <w:bookmarkEnd w:id="32"/>
            <w:r>
              <w:t>: Unemployment rate and hours-based underutilisation rate</w:t>
            </w:r>
            <w:bookmarkEnd w:id="33"/>
          </w:p>
          <w:p w14:paraId="70E9037B" w14:textId="47565426" w:rsidR="00387DCE" w:rsidRPr="00387DCE" w:rsidRDefault="00387DCE" w:rsidP="00387DCE">
            <w:r>
              <w:rPr>
                <w:noProof/>
              </w:rPr>
              <w:drawing>
                <wp:inline distT="0" distB="0" distL="0" distR="0" wp14:anchorId="7CDD9A42" wp14:editId="259D4D11">
                  <wp:extent cx="2860696" cy="2704699"/>
                  <wp:effectExtent l="0" t="0" r="0" b="635"/>
                  <wp:docPr id="996544890" name="Picture 1" descr="This figure is a line chart showing the unemployment rate from February 1978 to June 2024 and the hours-based underutilisation rate from September 1994 to June 2024. The chart shows that both measures have drifted up recently but remain below pre-pandemic ra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544890" name="Picture 1" descr="This figure is a line chart showing the unemployment rate from February 1978 to June 2024 and the hours-based underutilisation rate from September 1994 to June 2024. The chart shows that both measures have drifted up recently but remain below pre-pandemic rates.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75932" cy="2719104"/>
                          </a:xfrm>
                          <a:prstGeom prst="rect">
                            <a:avLst/>
                          </a:prstGeom>
                          <a:noFill/>
                        </pic:spPr>
                      </pic:pic>
                    </a:graphicData>
                  </a:graphic>
                </wp:inline>
              </w:drawing>
            </w:r>
          </w:p>
          <w:p w14:paraId="04DB9A00" w14:textId="44B61845" w:rsidR="00AC2606" w:rsidRPr="00AC0957" w:rsidRDefault="00AC2606">
            <w:pPr>
              <w:spacing w:after="120"/>
              <w:rPr>
                <w:rFonts w:cs="Arial"/>
              </w:rPr>
            </w:pPr>
          </w:p>
        </w:tc>
        <w:tc>
          <w:tcPr>
            <w:tcW w:w="4513" w:type="dxa"/>
            <w:tcBorders>
              <w:top w:val="nil"/>
              <w:bottom w:val="nil"/>
            </w:tcBorders>
          </w:tcPr>
          <w:p w14:paraId="68CA9B6B" w14:textId="4727B179" w:rsidR="003F02BF" w:rsidRDefault="003F02BF" w:rsidP="003F02BF">
            <w:pPr>
              <w:pStyle w:val="Caption"/>
            </w:pPr>
            <w:bookmarkStart w:id="34" w:name="_Ref179895137"/>
            <w:bookmarkStart w:id="35" w:name="_Toc181370304"/>
            <w:r>
              <w:t xml:space="preserve">Figure </w:t>
            </w:r>
            <w:r>
              <w:fldChar w:fldCharType="begin"/>
            </w:r>
            <w:r>
              <w:instrText xml:space="preserve"> SEQ Figure \* ARABIC </w:instrText>
            </w:r>
            <w:r>
              <w:fldChar w:fldCharType="separate"/>
            </w:r>
            <w:r w:rsidR="00C47A81">
              <w:rPr>
                <w:noProof/>
              </w:rPr>
              <w:t>2</w:t>
            </w:r>
            <w:r>
              <w:fldChar w:fldCharType="end"/>
            </w:r>
            <w:bookmarkEnd w:id="34"/>
            <w:r>
              <w:t xml:space="preserve">: </w:t>
            </w:r>
            <w:r w:rsidRPr="002E0F34">
              <w:t>Voluntary and involuntary separation</w:t>
            </w:r>
            <w:bookmarkEnd w:id="35"/>
          </w:p>
          <w:p w14:paraId="72DF4F92" w14:textId="77777777" w:rsidR="00C8407C" w:rsidRPr="00C8407C" w:rsidRDefault="00C8407C" w:rsidP="00C8407C"/>
          <w:p w14:paraId="6F8B9182" w14:textId="252EB05D" w:rsidR="00DC2F0A" w:rsidRPr="00DC2F0A" w:rsidRDefault="00B84A80" w:rsidP="00DC2F0A">
            <w:r>
              <w:rPr>
                <w:noProof/>
              </w:rPr>
              <w:drawing>
                <wp:inline distT="0" distB="0" distL="0" distR="0" wp14:anchorId="1D997CCC" wp14:editId="4BA8C0C8">
                  <wp:extent cx="2843203" cy="2527540"/>
                  <wp:effectExtent l="0" t="0" r="0" b="6350"/>
                  <wp:docPr id="1395335478" name="Picture 26" descr="This figure is a line chart showing four categories of unemployed people as a proportion of the labour force from August 2002 to August 2024. The categories include those who have left their job for voluntary reasons, those who have left their job for involuntary reasons, those who are former workers, and those who have never worked before. The chart shows that the proportion of the labour force that have left their job involuntarily is elevated during economic downtu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335478" name="Picture 26" descr="This figure is a line chart showing four categories of unemployed people as a proportion of the labour force from August 2002 to August 2024. The categories include those who have left their job for voluntary reasons, those who have left their job for involuntary reasons, those who are former workers, and those who have never worked before. The chart shows that the proportion of the labour force that have left their job involuntarily is elevated during economic downturn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58571" cy="2541201"/>
                          </a:xfrm>
                          <a:prstGeom prst="rect">
                            <a:avLst/>
                          </a:prstGeom>
                          <a:noFill/>
                        </pic:spPr>
                      </pic:pic>
                    </a:graphicData>
                  </a:graphic>
                </wp:inline>
              </w:drawing>
            </w:r>
          </w:p>
          <w:p w14:paraId="27CB123C" w14:textId="047F4009" w:rsidR="00AC2606" w:rsidRPr="00AC0957" w:rsidRDefault="00AC2606">
            <w:pPr>
              <w:spacing w:after="120"/>
              <w:rPr>
                <w:rFonts w:cs="Arial"/>
              </w:rPr>
            </w:pPr>
          </w:p>
        </w:tc>
      </w:tr>
      <w:tr w:rsidR="00AC2606" w:rsidRPr="00AC0957" w14:paraId="4BA3BC98" w14:textId="77777777" w:rsidTr="00594BD6">
        <w:trPr>
          <w:cantSplit/>
          <w:tblHeader/>
        </w:trPr>
        <w:tc>
          <w:tcPr>
            <w:tcW w:w="4513" w:type="dxa"/>
            <w:tcBorders>
              <w:top w:val="nil"/>
              <w:bottom w:val="nil"/>
            </w:tcBorders>
          </w:tcPr>
          <w:p w14:paraId="48C4FB5F" w14:textId="2615D146" w:rsidR="00AC2606" w:rsidRPr="00AC0957" w:rsidRDefault="00AC2606" w:rsidP="008C1832">
            <w:pPr>
              <w:pStyle w:val="ChartorTableNote"/>
            </w:pPr>
            <w:r w:rsidRPr="00AC0957">
              <w:t>Source:</w:t>
            </w:r>
            <w:r w:rsidR="008C52B1">
              <w:t xml:space="preserve"> </w:t>
            </w:r>
            <w:r w:rsidR="007E73D0" w:rsidRPr="007E73D0">
              <w:t xml:space="preserve">ABS Labour Account Australia, June 2024; ABS Labour Force, Australia, August 2024. Seasonally adjusted. The </w:t>
            </w:r>
            <w:r w:rsidR="00487355" w:rsidRPr="007E73D0">
              <w:t>hours-based</w:t>
            </w:r>
            <w:r w:rsidR="007E73D0" w:rsidRPr="007E73D0">
              <w:t xml:space="preserve"> underutilisation rate is calculated as the ratio of ‘Hours sought but not worked’ to ‘Available hours of labour supply’ and has been sourced from the ABS Labour Account publication (earliest available data are for September 1994).</w:t>
            </w:r>
          </w:p>
        </w:tc>
        <w:tc>
          <w:tcPr>
            <w:tcW w:w="4513" w:type="dxa"/>
            <w:tcBorders>
              <w:top w:val="nil"/>
              <w:bottom w:val="nil"/>
            </w:tcBorders>
          </w:tcPr>
          <w:p w14:paraId="158ECF5F" w14:textId="3204AC6A" w:rsidR="00AC2606" w:rsidRDefault="00AC2606" w:rsidP="008C1832">
            <w:pPr>
              <w:pStyle w:val="ChartorTableNote"/>
            </w:pPr>
            <w:r w:rsidRPr="00AC0957">
              <w:t xml:space="preserve">Source: </w:t>
            </w:r>
            <w:r w:rsidR="009E42C4" w:rsidRPr="009E42C4">
              <w:t>ABS Labour Force, Australia, Detailed, August 2024. Four-quarter average of original estimates</w:t>
            </w:r>
            <w:r w:rsidRPr="00AC0957">
              <w:t>.</w:t>
            </w:r>
          </w:p>
          <w:p w14:paraId="47EC346B" w14:textId="5DA4DB3B" w:rsidR="00CE7F3D" w:rsidRPr="00AC0957" w:rsidRDefault="00CE7F3D" w:rsidP="008C1832">
            <w:pPr>
              <w:pStyle w:val="ChartorTableNote"/>
            </w:pPr>
            <w:r w:rsidRPr="00CE7F3D">
              <w:t>Note:</w:t>
            </w:r>
            <w:r w:rsidR="00EA4A1A">
              <w:t xml:space="preserve"> </w:t>
            </w:r>
            <w:r w:rsidR="001B0661" w:rsidRPr="001B0661">
              <w:t>This chart refers to unemployed people as a proportion of the labour force. The ABS classifies unemployed people who have worked in the last 2 years by whether they left their job for voluntary or involuntary reasons. Unemployed people who have not worked in the last 2 years are classified as either former workers who last worked 2 or more years ago or those who have never worked before (and are looking for their first job).</w:t>
            </w:r>
          </w:p>
        </w:tc>
      </w:tr>
    </w:tbl>
    <w:p w14:paraId="3DA53FDE" w14:textId="6CA4877F" w:rsidR="002F62D8" w:rsidRPr="002F62D8" w:rsidRDefault="002F62D8" w:rsidP="002F62D8">
      <w:pPr>
        <w:keepLines/>
        <w:rPr>
          <w:rFonts w:cs="Arial"/>
        </w:rPr>
      </w:pPr>
      <w:r w:rsidRPr="002F62D8">
        <w:rPr>
          <w:rFonts w:cs="Arial"/>
        </w:rPr>
        <w:t xml:space="preserve">The </w:t>
      </w:r>
      <w:r w:rsidRPr="00024878">
        <w:rPr>
          <w:rFonts w:cs="Arial"/>
          <w:i/>
          <w:iCs/>
        </w:rPr>
        <w:t>long-term unemployment (LTU) rate</w:t>
      </w:r>
      <w:r w:rsidRPr="002F62D8">
        <w:rPr>
          <w:rFonts w:cs="Arial"/>
        </w:rPr>
        <w:t xml:space="preserve"> refers to the share of the labour force that has been unemployed for 52 weeks or more. As shown in </w:t>
      </w:r>
      <w:r w:rsidR="004E1332">
        <w:rPr>
          <w:rFonts w:cs="Arial"/>
        </w:rPr>
        <w:fldChar w:fldCharType="begin"/>
      </w:r>
      <w:r w:rsidR="004E1332">
        <w:rPr>
          <w:rFonts w:cs="Arial"/>
        </w:rPr>
        <w:instrText xml:space="preserve"> REF _Ref179895181 \h </w:instrText>
      </w:r>
      <w:r w:rsidR="004E1332">
        <w:rPr>
          <w:rFonts w:cs="Arial"/>
        </w:rPr>
      </w:r>
      <w:r w:rsidR="004E1332">
        <w:rPr>
          <w:rFonts w:cs="Arial"/>
        </w:rPr>
        <w:fldChar w:fldCharType="separate"/>
      </w:r>
      <w:r w:rsidR="00C47A81" w:rsidRPr="001E1080">
        <w:t xml:space="preserve">Figure </w:t>
      </w:r>
      <w:r w:rsidR="00C47A81">
        <w:rPr>
          <w:noProof/>
        </w:rPr>
        <w:t>3</w:t>
      </w:r>
      <w:r w:rsidR="004E1332">
        <w:rPr>
          <w:rFonts w:cs="Arial"/>
        </w:rPr>
        <w:fldChar w:fldCharType="end"/>
      </w:r>
      <w:r w:rsidRPr="002F62D8">
        <w:rPr>
          <w:rFonts w:cs="Arial"/>
        </w:rPr>
        <w:t>, there has been an increase in the LTU rate over the last year, from 0.7% in August 2023, to 0.9% in August 2024 (the equal highest rate recorded since May 2022), reflecting the recent softening in the labour market.</w:t>
      </w:r>
    </w:p>
    <w:p w14:paraId="078FEAF0" w14:textId="156A9719" w:rsidR="002F62D8" w:rsidRPr="002F62D8" w:rsidRDefault="002F62D8" w:rsidP="002F62D8">
      <w:pPr>
        <w:keepLines/>
        <w:rPr>
          <w:rFonts w:cs="Arial"/>
        </w:rPr>
      </w:pPr>
      <w:r w:rsidRPr="002F62D8">
        <w:rPr>
          <w:rFonts w:cs="Arial"/>
        </w:rPr>
        <w:t xml:space="preserve">The LTU rate is important to our understanding around the inclusivity of full employment because it can indicate structural barriers to finding work encountered by some groups, marginalisation from the labour market and entrenched disadvantage. The long-term unemployed can also suffer skill atrophy during their time away from work, discrimination and discouragement. In addition, they are more likely to report poor health, a physical disability, or age discrimination as their main difficulty in finding work </w:t>
      </w:r>
      <w:sdt>
        <w:sdtPr>
          <w:rPr>
            <w:rFonts w:cs="Arial"/>
          </w:rPr>
          <w:id w:val="-1275245377"/>
          <w:citation/>
        </w:sdtPr>
        <w:sdtEndPr/>
        <w:sdtContent>
          <w:r w:rsidR="004E1332">
            <w:rPr>
              <w:rFonts w:cs="Arial"/>
            </w:rPr>
            <w:fldChar w:fldCharType="begin"/>
          </w:r>
          <w:r w:rsidR="004E1332">
            <w:rPr>
              <w:rFonts w:cs="Arial"/>
            </w:rPr>
            <w:instrText xml:space="preserve"> CITATION Nat20 \l 3081 </w:instrText>
          </w:r>
          <w:r w:rsidR="004E1332">
            <w:rPr>
              <w:rFonts w:cs="Arial"/>
            </w:rPr>
            <w:fldChar w:fldCharType="separate"/>
          </w:r>
          <w:r w:rsidR="00CA3587" w:rsidRPr="00CA3587">
            <w:rPr>
              <w:rFonts w:cs="Arial"/>
              <w:noProof/>
            </w:rPr>
            <w:t>(Cassidy, Chan, Gao, &amp; Penrose, 2020)</w:t>
          </w:r>
          <w:r w:rsidR="004E1332">
            <w:rPr>
              <w:rFonts w:cs="Arial"/>
            </w:rPr>
            <w:fldChar w:fldCharType="end"/>
          </w:r>
        </w:sdtContent>
      </w:sdt>
      <w:r w:rsidRPr="002F62D8">
        <w:rPr>
          <w:rFonts w:cs="Arial"/>
        </w:rPr>
        <w:t xml:space="preserve">. </w:t>
      </w:r>
    </w:p>
    <w:p w14:paraId="08EB3079" w14:textId="19AEF1D3" w:rsidR="00AC2606" w:rsidRPr="00AC0957" w:rsidRDefault="002F62D8" w:rsidP="002F62D8">
      <w:pPr>
        <w:keepLines/>
        <w:rPr>
          <w:rFonts w:cs="Arial"/>
        </w:rPr>
      </w:pPr>
      <w:r w:rsidRPr="002F62D8">
        <w:rPr>
          <w:rFonts w:cs="Arial"/>
        </w:rPr>
        <w:t xml:space="preserve">The </w:t>
      </w:r>
      <w:r w:rsidRPr="00024878">
        <w:rPr>
          <w:rFonts w:cs="Arial"/>
          <w:i/>
          <w:iCs/>
        </w:rPr>
        <w:t>median duration of unemployment</w:t>
      </w:r>
      <w:r w:rsidRPr="002F62D8">
        <w:rPr>
          <w:rFonts w:cs="Arial"/>
        </w:rPr>
        <w:t xml:space="preserve"> indicates how many weeks it tends to take for someone looking for work to find a job. It is relevant because the probability of finding work decreases, the longer someone remains unemployed. As shown in </w:t>
      </w:r>
      <w:r w:rsidR="004E1332">
        <w:rPr>
          <w:rFonts w:cs="Arial"/>
        </w:rPr>
        <w:fldChar w:fldCharType="begin"/>
      </w:r>
      <w:r w:rsidR="004E1332">
        <w:rPr>
          <w:rFonts w:cs="Arial"/>
        </w:rPr>
        <w:instrText xml:space="preserve"> REF _Ref179895194 \h </w:instrText>
      </w:r>
      <w:r w:rsidR="004E1332">
        <w:rPr>
          <w:rFonts w:cs="Arial"/>
        </w:rPr>
      </w:r>
      <w:r w:rsidR="004E1332">
        <w:rPr>
          <w:rFonts w:cs="Arial"/>
        </w:rPr>
        <w:fldChar w:fldCharType="separate"/>
      </w:r>
      <w:r w:rsidR="00C47A81" w:rsidRPr="001E1080">
        <w:t xml:space="preserve">Figure </w:t>
      </w:r>
      <w:r w:rsidR="00C47A81">
        <w:rPr>
          <w:noProof/>
        </w:rPr>
        <w:t>4</w:t>
      </w:r>
      <w:r w:rsidR="004E1332">
        <w:rPr>
          <w:rFonts w:cs="Arial"/>
        </w:rPr>
        <w:fldChar w:fldCharType="end"/>
      </w:r>
      <w:r w:rsidRPr="002F62D8">
        <w:rPr>
          <w:rFonts w:cs="Arial"/>
        </w:rPr>
        <w:t xml:space="preserve">, the median duration of unemployment (in </w:t>
      </w:r>
      <w:r w:rsidR="004E1332" w:rsidRPr="002F62D8">
        <w:rPr>
          <w:rFonts w:cs="Arial"/>
        </w:rPr>
        <w:t>12-month</w:t>
      </w:r>
      <w:r w:rsidRPr="002F62D8">
        <w:rPr>
          <w:rFonts w:cs="Arial"/>
        </w:rPr>
        <w:t xml:space="preserve"> average terms) has increased slightly over the year to August 2024, from 11 weeks to 12 weeks, although it remains well below the recent peak of 22 weeks in July 2021 and is reasonably low by historical standards</w:t>
      </w:r>
      <w:r w:rsidR="00AC2606" w:rsidRPr="00AC0957">
        <w:rPr>
          <w:rFonts w:cs="Arial"/>
        </w:rPr>
        <w:t>.</w:t>
      </w:r>
    </w:p>
    <w:tbl>
      <w:tblPr>
        <w:tblW w:w="5000" w:type="pct"/>
        <w:tblBorders>
          <w:top w:val="single" w:sz="8" w:space="0" w:color="auto"/>
          <w:bottom w:val="single" w:sz="8" w:space="0" w:color="auto"/>
        </w:tblBorders>
        <w:tblLayout w:type="fixed"/>
        <w:tblCellMar>
          <w:left w:w="0" w:type="dxa"/>
          <w:right w:w="0" w:type="dxa"/>
        </w:tblCellMar>
        <w:tblLook w:val="0020" w:firstRow="1" w:lastRow="0" w:firstColumn="0" w:lastColumn="0" w:noHBand="0" w:noVBand="0"/>
      </w:tblPr>
      <w:tblGrid>
        <w:gridCol w:w="4513"/>
        <w:gridCol w:w="4513"/>
      </w:tblGrid>
      <w:tr w:rsidR="00AC2606" w:rsidRPr="00AC0957" w14:paraId="046D73B8" w14:textId="77777777" w:rsidTr="00594BD6">
        <w:trPr>
          <w:cantSplit/>
          <w:tblHeader/>
        </w:trPr>
        <w:tc>
          <w:tcPr>
            <w:tcW w:w="4536" w:type="dxa"/>
            <w:tcBorders>
              <w:top w:val="nil"/>
              <w:bottom w:val="nil"/>
            </w:tcBorders>
          </w:tcPr>
          <w:p w14:paraId="41AF4B21" w14:textId="6A178F40" w:rsidR="00AC2606" w:rsidRPr="00AC0957" w:rsidDel="00D81668" w:rsidRDefault="00AC2606">
            <w:pPr>
              <w:pStyle w:val="ChartGraphic"/>
              <w:spacing w:after="120"/>
              <w:jc w:val="left"/>
              <w:rPr>
                <w:rFonts w:ascii="Arial" w:hAnsi="Arial" w:cs="Arial"/>
                <w:b/>
                <w:bCs/>
                <w:noProof/>
                <w:sz w:val="22"/>
                <w:szCs w:val="22"/>
              </w:rPr>
            </w:pPr>
          </w:p>
        </w:tc>
        <w:tc>
          <w:tcPr>
            <w:tcW w:w="4536" w:type="dxa"/>
            <w:tcBorders>
              <w:top w:val="nil"/>
              <w:bottom w:val="nil"/>
            </w:tcBorders>
          </w:tcPr>
          <w:p w14:paraId="7CE1FB2A" w14:textId="274621BB" w:rsidR="00AC2606" w:rsidRPr="00AC0957" w:rsidDel="00D81668" w:rsidRDefault="00AC2606">
            <w:pPr>
              <w:pStyle w:val="ChartGraphic"/>
              <w:spacing w:after="120"/>
              <w:jc w:val="left"/>
              <w:rPr>
                <w:rFonts w:ascii="Arial" w:hAnsi="Arial" w:cs="Arial"/>
                <w:noProof/>
                <w:sz w:val="22"/>
                <w:szCs w:val="22"/>
              </w:rPr>
            </w:pPr>
          </w:p>
        </w:tc>
      </w:tr>
      <w:tr w:rsidR="00AC2606" w:rsidRPr="00AC0957" w14:paraId="30B1078C" w14:textId="77777777" w:rsidTr="00594BD6">
        <w:trPr>
          <w:cantSplit/>
          <w:tblHeader/>
        </w:trPr>
        <w:tc>
          <w:tcPr>
            <w:tcW w:w="4536" w:type="dxa"/>
            <w:tcBorders>
              <w:top w:val="nil"/>
              <w:bottom w:val="nil"/>
            </w:tcBorders>
          </w:tcPr>
          <w:p w14:paraId="6205F98A" w14:textId="29E2C481" w:rsidR="00C56D4D" w:rsidRPr="001E1080" w:rsidRDefault="00C56D4D" w:rsidP="001E1080">
            <w:pPr>
              <w:pStyle w:val="Caption"/>
            </w:pPr>
            <w:bookmarkStart w:id="36" w:name="_Ref179895181"/>
            <w:bookmarkStart w:id="37" w:name="_Toc181370305"/>
            <w:r w:rsidRPr="001E1080">
              <w:t xml:space="preserve">Figure </w:t>
            </w:r>
            <w:r w:rsidRPr="001E1080">
              <w:fldChar w:fldCharType="begin"/>
            </w:r>
            <w:r w:rsidRPr="001E1080">
              <w:instrText xml:space="preserve"> SEQ Figure \* ARABIC </w:instrText>
            </w:r>
            <w:r w:rsidRPr="001E1080">
              <w:fldChar w:fldCharType="separate"/>
            </w:r>
            <w:r w:rsidR="00C47A81">
              <w:rPr>
                <w:noProof/>
              </w:rPr>
              <w:t>3</w:t>
            </w:r>
            <w:r w:rsidRPr="001E1080">
              <w:fldChar w:fldCharType="end"/>
            </w:r>
            <w:bookmarkEnd w:id="36"/>
            <w:r w:rsidRPr="001E1080">
              <w:t>: Long term unemployment rate</w:t>
            </w:r>
            <w:bookmarkEnd w:id="37"/>
          </w:p>
          <w:p w14:paraId="75FD1E40" w14:textId="5EA3FCF2" w:rsidR="00AC2606" w:rsidRPr="00AC0957" w:rsidRDefault="00B63E8B" w:rsidP="001E1080">
            <w:r>
              <w:rPr>
                <w:noProof/>
              </w:rPr>
              <w:drawing>
                <wp:inline distT="0" distB="0" distL="0" distR="0" wp14:anchorId="4E1DB4C6" wp14:editId="7F048BDE">
                  <wp:extent cx="2819975" cy="2666198"/>
                  <wp:effectExtent l="0" t="0" r="0" b="1270"/>
                  <wp:docPr id="1807149953" name="Picture 3" descr="This figure is a line chart showing the long-term unemployment rate from August 1992 to August 2024. The chart shows that the long-term unemployment rate has increased slightly since its post-pandemic trough but remains well below the rate recorded in the years leading up to the pandem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149953" name="Picture 3" descr="This figure is a line chart showing the long-term unemployment rate from August 1992 to August 2024. The chart shows that the long-term unemployment rate has increased slightly since its post-pandemic trough but remains well below the rate recorded in the years leading up to the pandemic.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28042" cy="2673825"/>
                          </a:xfrm>
                          <a:prstGeom prst="rect">
                            <a:avLst/>
                          </a:prstGeom>
                          <a:noFill/>
                        </pic:spPr>
                      </pic:pic>
                    </a:graphicData>
                  </a:graphic>
                </wp:inline>
              </w:drawing>
            </w:r>
          </w:p>
        </w:tc>
        <w:tc>
          <w:tcPr>
            <w:tcW w:w="4536" w:type="dxa"/>
            <w:tcBorders>
              <w:top w:val="nil"/>
              <w:bottom w:val="nil"/>
            </w:tcBorders>
          </w:tcPr>
          <w:p w14:paraId="43E5047C" w14:textId="0AF95C20" w:rsidR="00C56D4D" w:rsidRPr="001E1080" w:rsidRDefault="00C56D4D" w:rsidP="001E1080">
            <w:pPr>
              <w:pStyle w:val="Caption"/>
            </w:pPr>
            <w:bookmarkStart w:id="38" w:name="_Ref179895194"/>
            <w:bookmarkStart w:id="39" w:name="_Toc181370306"/>
            <w:r w:rsidRPr="001E1080">
              <w:t xml:space="preserve">Figure </w:t>
            </w:r>
            <w:r w:rsidRPr="001E1080">
              <w:fldChar w:fldCharType="begin"/>
            </w:r>
            <w:r w:rsidRPr="001E1080">
              <w:instrText xml:space="preserve"> SEQ Figure \* ARABIC </w:instrText>
            </w:r>
            <w:r w:rsidRPr="001E1080">
              <w:fldChar w:fldCharType="separate"/>
            </w:r>
            <w:r w:rsidR="00C47A81">
              <w:rPr>
                <w:noProof/>
              </w:rPr>
              <w:t>4</w:t>
            </w:r>
            <w:r w:rsidRPr="001E1080">
              <w:fldChar w:fldCharType="end"/>
            </w:r>
            <w:bookmarkEnd w:id="38"/>
            <w:r w:rsidRPr="001E1080">
              <w:t>: Median duration of unemployment</w:t>
            </w:r>
            <w:bookmarkEnd w:id="39"/>
          </w:p>
          <w:p w14:paraId="0A7E773D" w14:textId="2BACABBB" w:rsidR="00AC2606" w:rsidRPr="00AC0957" w:rsidRDefault="00653855" w:rsidP="001E1080">
            <w:r>
              <w:rPr>
                <w:noProof/>
              </w:rPr>
              <w:drawing>
                <wp:inline distT="0" distB="0" distL="0" distR="0" wp14:anchorId="31E5699C" wp14:editId="7C398904">
                  <wp:extent cx="2825010" cy="2665730"/>
                  <wp:effectExtent l="0" t="0" r="0" b="1270"/>
                  <wp:docPr id="1054309198" name="Picture 4" descr="This figure is a line chart showing the median duration of unemployment (expressed in number of weeks) from August 1992 to August 2024. The median duration of unemployment has been trending upwards recently but remains low by historical standa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309198" name="Picture 4" descr="This figure is a line chart showing the median duration of unemployment (expressed in number of weeks) from August 1992 to August 2024. The median duration of unemployment has been trending upwards recently but remains low by historical standards.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43403" cy="2683086"/>
                          </a:xfrm>
                          <a:prstGeom prst="rect">
                            <a:avLst/>
                          </a:prstGeom>
                          <a:noFill/>
                        </pic:spPr>
                      </pic:pic>
                    </a:graphicData>
                  </a:graphic>
                </wp:inline>
              </w:drawing>
            </w:r>
          </w:p>
        </w:tc>
      </w:tr>
      <w:tr w:rsidR="00AC2606" w:rsidRPr="00AC0957" w14:paraId="38479829" w14:textId="77777777" w:rsidTr="00594BD6">
        <w:trPr>
          <w:cantSplit/>
          <w:tblHeader/>
        </w:trPr>
        <w:tc>
          <w:tcPr>
            <w:tcW w:w="4536" w:type="dxa"/>
            <w:tcBorders>
              <w:top w:val="nil"/>
              <w:bottom w:val="nil"/>
            </w:tcBorders>
          </w:tcPr>
          <w:p w14:paraId="127B5C08" w14:textId="5B2F2FFD" w:rsidR="00AC2606" w:rsidRPr="00AC0957" w:rsidRDefault="00AC2606" w:rsidP="008C1832">
            <w:pPr>
              <w:pStyle w:val="ChartorTableNote"/>
            </w:pPr>
            <w:r w:rsidRPr="00AC0957">
              <w:t>Source:</w:t>
            </w:r>
            <w:r w:rsidR="001D7286">
              <w:t xml:space="preserve"> </w:t>
            </w:r>
            <w:r w:rsidR="00184371" w:rsidRPr="00184371">
              <w:t>ABS Labour Force, Australia, August 2024; ABS Labour Force, Australia, Detailed, August 2024. Seasonally adjusted data</w:t>
            </w:r>
            <w:r w:rsidRPr="00AC0957">
              <w:t>.</w:t>
            </w:r>
          </w:p>
          <w:p w14:paraId="21864E0A" w14:textId="38979200" w:rsidR="00AC2606" w:rsidRPr="00AC0957" w:rsidRDefault="00AC2606" w:rsidP="008C1832">
            <w:pPr>
              <w:pStyle w:val="ChartorTableNote"/>
            </w:pPr>
            <w:r w:rsidRPr="00AC0957">
              <w:t xml:space="preserve">Note: </w:t>
            </w:r>
            <w:r w:rsidR="001D7286" w:rsidRPr="001D7286">
              <w:t xml:space="preserve">The </w:t>
            </w:r>
            <w:r w:rsidR="00487355" w:rsidRPr="001D7286">
              <w:t>long-term</w:t>
            </w:r>
            <w:r w:rsidR="001D7286" w:rsidRPr="001D7286">
              <w:t xml:space="preserve"> unemployment rate refers to the number of </w:t>
            </w:r>
            <w:r w:rsidR="002150E8" w:rsidRPr="001D7286">
              <w:t>long-term</w:t>
            </w:r>
            <w:r w:rsidR="001D7286" w:rsidRPr="001D7286">
              <w:t xml:space="preserve"> unemployed people (52 weeks or more) expressed as a percentage of the labour force</w:t>
            </w:r>
            <w:r w:rsidRPr="00AC0957">
              <w:t xml:space="preserve">. </w:t>
            </w:r>
          </w:p>
        </w:tc>
        <w:tc>
          <w:tcPr>
            <w:tcW w:w="4536" w:type="dxa"/>
            <w:tcBorders>
              <w:top w:val="nil"/>
              <w:bottom w:val="nil"/>
            </w:tcBorders>
          </w:tcPr>
          <w:p w14:paraId="386C92C6" w14:textId="5A805BA5" w:rsidR="00AC2606" w:rsidRPr="00AC0957" w:rsidRDefault="00AC2606" w:rsidP="008C1832">
            <w:pPr>
              <w:pStyle w:val="ChartorTableNote"/>
            </w:pPr>
            <w:r w:rsidRPr="00AC0957">
              <w:t>Source:</w:t>
            </w:r>
            <w:r w:rsidR="00734126">
              <w:t xml:space="preserve"> </w:t>
            </w:r>
            <w:r w:rsidR="00734126" w:rsidRPr="00734126">
              <w:t>ABS Labour Force, Australia, Detailed, August 2024, 12-month averages of original data</w:t>
            </w:r>
            <w:r w:rsidRPr="00AC0957">
              <w:t>.</w:t>
            </w:r>
          </w:p>
        </w:tc>
      </w:tr>
    </w:tbl>
    <w:p w14:paraId="2DA53BC1" w14:textId="77777777" w:rsidR="00AC2606" w:rsidRPr="00AC0957" w:rsidRDefault="00AC2606" w:rsidP="00AC2606">
      <w:pPr>
        <w:rPr>
          <w:rFonts w:cs="Arial"/>
        </w:rPr>
      </w:pPr>
    </w:p>
    <w:p w14:paraId="04A70929" w14:textId="1D945048" w:rsidR="00AC2606" w:rsidRPr="008C1832" w:rsidRDefault="00C006A4" w:rsidP="00AC2606">
      <w:pPr>
        <w:rPr>
          <w:rFonts w:cs="Arial"/>
          <w:lang w:val="en-US"/>
        </w:rPr>
      </w:pPr>
      <w:r w:rsidRPr="00C006A4">
        <w:rPr>
          <w:rFonts w:cs="Arial"/>
          <w:lang w:val="en-US"/>
        </w:rPr>
        <w:t xml:space="preserve">Women are participating in the labour market at higher rates than ever before and, as noted in the White Paper, the gap between men’s and women’s labour force participation rates has been decreasing over time – as shown in </w:t>
      </w:r>
      <w:r>
        <w:rPr>
          <w:rFonts w:cs="Arial"/>
          <w:lang w:val="en-US"/>
        </w:rPr>
        <w:fldChar w:fldCharType="begin"/>
      </w:r>
      <w:r>
        <w:rPr>
          <w:rFonts w:cs="Arial"/>
          <w:lang w:val="en-US"/>
        </w:rPr>
        <w:instrText xml:space="preserve"> REF _Ref179895207 \h </w:instrText>
      </w:r>
      <w:r>
        <w:rPr>
          <w:rFonts w:cs="Arial"/>
          <w:lang w:val="en-US"/>
        </w:rPr>
      </w:r>
      <w:r>
        <w:rPr>
          <w:rFonts w:cs="Arial"/>
          <w:lang w:val="en-US"/>
        </w:rPr>
        <w:fldChar w:fldCharType="separate"/>
      </w:r>
      <w:r w:rsidR="00C47A81">
        <w:t xml:space="preserve">Figure </w:t>
      </w:r>
      <w:r w:rsidR="00C47A81">
        <w:rPr>
          <w:noProof/>
        </w:rPr>
        <w:t>5</w:t>
      </w:r>
      <w:r>
        <w:rPr>
          <w:rFonts w:cs="Arial"/>
          <w:lang w:val="en-US"/>
        </w:rPr>
        <w:fldChar w:fldCharType="end"/>
      </w:r>
      <w:r>
        <w:rPr>
          <w:rFonts w:cs="Arial"/>
          <w:lang w:val="en-US"/>
        </w:rPr>
        <w:t xml:space="preserve"> </w:t>
      </w:r>
      <w:r w:rsidRPr="00C006A4">
        <w:rPr>
          <w:rFonts w:cs="Arial"/>
          <w:lang w:val="en-US"/>
        </w:rPr>
        <w:t xml:space="preserve">and </w:t>
      </w:r>
      <w:r>
        <w:rPr>
          <w:rFonts w:cs="Arial"/>
          <w:lang w:val="en-US"/>
        </w:rPr>
        <w:fldChar w:fldCharType="begin"/>
      </w:r>
      <w:r>
        <w:rPr>
          <w:rFonts w:cs="Arial"/>
          <w:lang w:val="en-US"/>
        </w:rPr>
        <w:instrText xml:space="preserve"> REF _Ref179895212 \h </w:instrText>
      </w:r>
      <w:r>
        <w:rPr>
          <w:rFonts w:cs="Arial"/>
          <w:lang w:val="en-US"/>
        </w:rPr>
      </w:r>
      <w:r>
        <w:rPr>
          <w:rFonts w:cs="Arial"/>
          <w:lang w:val="en-US"/>
        </w:rPr>
        <w:fldChar w:fldCharType="separate"/>
      </w:r>
      <w:r w:rsidR="00C47A81">
        <w:t xml:space="preserve">Figure </w:t>
      </w:r>
      <w:r w:rsidR="00C47A81">
        <w:rPr>
          <w:noProof/>
        </w:rPr>
        <w:t>6</w:t>
      </w:r>
      <w:r>
        <w:rPr>
          <w:rFonts w:cs="Arial"/>
          <w:lang w:val="en-US"/>
        </w:rPr>
        <w:fldChar w:fldCharType="end"/>
      </w:r>
      <w:r w:rsidRPr="00C006A4">
        <w:rPr>
          <w:rFonts w:cs="Arial"/>
          <w:lang w:val="en-US"/>
        </w:rPr>
        <w:t xml:space="preserve">. Indeed, the </w:t>
      </w:r>
      <w:r w:rsidRPr="00C006A4">
        <w:rPr>
          <w:rFonts w:cs="Arial"/>
          <w:i/>
          <w:iCs/>
          <w:lang w:val="en-US"/>
        </w:rPr>
        <w:t>gender participation gap</w:t>
      </w:r>
      <w:r w:rsidRPr="00C006A4">
        <w:rPr>
          <w:rFonts w:cs="Arial"/>
          <w:lang w:val="en-US"/>
        </w:rPr>
        <w:t xml:space="preserve">, which is an important measure of the inclusiveness of the labour force, has continued to narrow over the last year, from 8.5 percentage points in August 2023, to 8.1 percentage points in August 2024. While this reflects fewer barriers to women’s labour force participation over time, there is more work to be done around closing the gender participation </w:t>
      </w:r>
      <w:r w:rsidRPr="005604B5">
        <w:rPr>
          <w:rFonts w:cs="Arial"/>
          <w:lang w:val="en-US"/>
        </w:rPr>
        <w:t>ga</w:t>
      </w:r>
      <w:r w:rsidRPr="00C006A4">
        <w:rPr>
          <w:rFonts w:cs="Arial"/>
          <w:lang w:val="en-US"/>
        </w:rPr>
        <w:t xml:space="preserve">p </w:t>
      </w:r>
      <w:sdt>
        <w:sdtPr>
          <w:rPr>
            <w:rFonts w:cs="Arial"/>
            <w:lang w:val="en-US"/>
          </w:rPr>
          <w:id w:val="-1691522380"/>
          <w:citation/>
        </w:sdtPr>
        <w:sdtEndPr/>
        <w:sdtContent>
          <w:r w:rsidR="00E23048">
            <w:rPr>
              <w:rFonts w:cs="Arial"/>
              <w:lang w:val="en-US"/>
            </w:rPr>
            <w:fldChar w:fldCharType="begin"/>
          </w:r>
          <w:r w:rsidR="00E23048">
            <w:rPr>
              <w:rFonts w:cs="Arial"/>
            </w:rPr>
            <w:instrText xml:space="preserve">CITATION Aus23 \t  \l 3081 </w:instrText>
          </w:r>
          <w:r w:rsidR="00E23048">
            <w:rPr>
              <w:rFonts w:cs="Arial"/>
              <w:lang w:val="en-US"/>
            </w:rPr>
            <w:fldChar w:fldCharType="separate"/>
          </w:r>
          <w:r w:rsidR="00CA3587" w:rsidRPr="00CA3587">
            <w:rPr>
              <w:rFonts w:cs="Arial"/>
              <w:noProof/>
            </w:rPr>
            <w:t>(Commonwealth of Australia, 2023a)</w:t>
          </w:r>
          <w:r w:rsidR="00E23048">
            <w:rPr>
              <w:rFonts w:cs="Arial"/>
              <w:lang w:val="en-US"/>
            </w:rPr>
            <w:fldChar w:fldCharType="end"/>
          </w:r>
        </w:sdtContent>
      </w:sdt>
      <w:r w:rsidR="00AC2606" w:rsidRPr="00AC0957">
        <w:rPr>
          <w:rFonts w:cs="Arial"/>
          <w:lang w:val="en-US"/>
        </w:rPr>
        <w:t>.</w:t>
      </w:r>
    </w:p>
    <w:tbl>
      <w:tblPr>
        <w:tblStyle w:val="TableGrid"/>
        <w:tblW w:w="9502"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751"/>
      </w:tblGrid>
      <w:tr w:rsidR="00AC2606" w:rsidRPr="00AC0957" w14:paraId="23135F02" w14:textId="77777777" w:rsidTr="008C1832">
        <w:tc>
          <w:tcPr>
            <w:tcW w:w="4751" w:type="dxa"/>
            <w:tcBorders>
              <w:top w:val="nil"/>
              <w:bottom w:val="nil"/>
            </w:tcBorders>
          </w:tcPr>
          <w:p w14:paraId="337D7325" w14:textId="4DBA0BD6" w:rsidR="00C56D4D" w:rsidRDefault="00C56D4D" w:rsidP="00C56D4D">
            <w:pPr>
              <w:pStyle w:val="Caption"/>
            </w:pPr>
            <w:bookmarkStart w:id="40" w:name="_Ref179895207"/>
            <w:bookmarkStart w:id="41" w:name="_Toc181370307"/>
            <w:r>
              <w:t xml:space="preserve">Figure </w:t>
            </w:r>
            <w:r>
              <w:fldChar w:fldCharType="begin"/>
            </w:r>
            <w:r>
              <w:instrText>SEQ Figure \* ARABIC</w:instrText>
            </w:r>
            <w:r>
              <w:fldChar w:fldCharType="separate"/>
            </w:r>
            <w:r w:rsidR="00C47A81">
              <w:rPr>
                <w:noProof/>
              </w:rPr>
              <w:t>5</w:t>
            </w:r>
            <w:r>
              <w:fldChar w:fldCharType="end"/>
            </w:r>
            <w:bookmarkEnd w:id="40"/>
            <w:r>
              <w:t>: Participation rates</w:t>
            </w:r>
            <w:bookmarkEnd w:id="41"/>
          </w:p>
          <w:p w14:paraId="5773B740" w14:textId="26B0F0C9" w:rsidR="00072BB6" w:rsidRDefault="006F47AA" w:rsidP="00BC3582">
            <w:pPr>
              <w:rPr>
                <w:lang w:val="en-US"/>
              </w:rPr>
            </w:pPr>
            <w:r>
              <w:rPr>
                <w:noProof/>
                <w:lang w:val="en-US"/>
              </w:rPr>
              <w:drawing>
                <wp:inline distT="0" distB="0" distL="0" distR="0" wp14:anchorId="6CA2C65F" wp14:editId="7EE3FE83">
                  <wp:extent cx="2848610" cy="2623820"/>
                  <wp:effectExtent l="0" t="0" r="8890" b="5080"/>
                  <wp:docPr id="1790820254" name="Picture 5" descr="This figure is a line chart showing male and female participation rates from February 1978 to August 2024. The male participation rate has been trending downwards slightly over time, while the female participation rate has been steadily increasing over the same period. That said, the male participation rate remains above the female participation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820254" name="Picture 5" descr="This figure is a line chart showing male and female participation rates from February 1978 to August 2024. The male participation rate has been trending downwards slightly over time, while the female participation rate has been steadily increasing over the same period. That said, the male participation rate remains above the female participation rate."/>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9264"/>
                          <a:stretch/>
                        </pic:blipFill>
                        <pic:spPr bwMode="auto">
                          <a:xfrm>
                            <a:off x="0" y="0"/>
                            <a:ext cx="2857013" cy="2631560"/>
                          </a:xfrm>
                          <a:prstGeom prst="rect">
                            <a:avLst/>
                          </a:prstGeom>
                          <a:noFill/>
                          <a:ln>
                            <a:noFill/>
                          </a:ln>
                          <a:extLst>
                            <a:ext uri="{53640926-AAD7-44D8-BBD7-CCE9431645EC}">
                              <a14:shadowObscured xmlns:a14="http://schemas.microsoft.com/office/drawing/2010/main"/>
                            </a:ext>
                          </a:extLst>
                        </pic:spPr>
                      </pic:pic>
                    </a:graphicData>
                  </a:graphic>
                </wp:inline>
              </w:drawing>
            </w:r>
          </w:p>
          <w:p w14:paraId="44635B55" w14:textId="77777777" w:rsidR="00D56767" w:rsidRPr="00AC0957" w:rsidRDefault="00D56767" w:rsidP="00D56767">
            <w:pPr>
              <w:pStyle w:val="ChartorTableNote"/>
            </w:pPr>
            <w:r w:rsidRPr="00AC0957">
              <w:t>Source: ABS Labour Force, Australia, August 2024, seasonally adjusted data.</w:t>
            </w:r>
          </w:p>
          <w:p w14:paraId="53886B07" w14:textId="32B39DED" w:rsidR="00AC2606" w:rsidRPr="00AC0957" w:rsidRDefault="00D56767" w:rsidP="00D56767">
            <w:pPr>
              <w:pStyle w:val="ChartorTableNote"/>
            </w:pPr>
            <w:r w:rsidRPr="00AC0957">
              <w:t>Note: Participation rate is the number of people participating in the labour force as a share of the civilian population aged 15 years and over.</w:t>
            </w:r>
          </w:p>
        </w:tc>
        <w:tc>
          <w:tcPr>
            <w:tcW w:w="4751" w:type="dxa"/>
            <w:tcBorders>
              <w:top w:val="nil"/>
              <w:bottom w:val="nil"/>
            </w:tcBorders>
          </w:tcPr>
          <w:p w14:paraId="1FEC55CB" w14:textId="2F95270E" w:rsidR="00C56D4D" w:rsidRDefault="00C56D4D" w:rsidP="00C56D4D">
            <w:pPr>
              <w:pStyle w:val="Caption"/>
            </w:pPr>
            <w:bookmarkStart w:id="42" w:name="_Ref179895212"/>
            <w:bookmarkStart w:id="43" w:name="_Toc181370308"/>
            <w:r>
              <w:t xml:space="preserve">Figure </w:t>
            </w:r>
            <w:r>
              <w:fldChar w:fldCharType="begin"/>
            </w:r>
            <w:r>
              <w:instrText>SEQ Figure \* ARABIC</w:instrText>
            </w:r>
            <w:r>
              <w:fldChar w:fldCharType="separate"/>
            </w:r>
            <w:r w:rsidR="00C47A81">
              <w:rPr>
                <w:noProof/>
              </w:rPr>
              <w:t>6</w:t>
            </w:r>
            <w:r>
              <w:fldChar w:fldCharType="end"/>
            </w:r>
            <w:bookmarkEnd w:id="42"/>
            <w:r>
              <w:t xml:space="preserve">: </w:t>
            </w:r>
            <w:r w:rsidRPr="0047164F">
              <w:t>The gender participation gap</w:t>
            </w:r>
            <w:bookmarkEnd w:id="43"/>
          </w:p>
          <w:p w14:paraId="6110F776" w14:textId="3F3D329F" w:rsidR="00D56767" w:rsidRDefault="00C5235F" w:rsidP="00D56767">
            <w:r>
              <w:rPr>
                <w:noProof/>
              </w:rPr>
              <w:drawing>
                <wp:inline distT="0" distB="0" distL="0" distR="0" wp14:anchorId="77025849" wp14:editId="3D1AE871">
                  <wp:extent cx="2735050" cy="2624446"/>
                  <wp:effectExtent l="0" t="0" r="8255" b="5080"/>
                  <wp:docPr id="254040688" name="Picture 3" descr="This figure is a line graph showing the gender participation gap from February 1978 to August 2024. Over the past few decades, the participation gap has trended down continuously and is now around its lowest point in the ser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040688" name="Picture 3" descr="This figure is a line graph showing the gender participation gap from February 1978 to August 2024. Over the past few decades, the participation gap has trended down continuously and is now around its lowest point in the series. "/>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9754"/>
                          <a:stretch/>
                        </pic:blipFill>
                        <pic:spPr bwMode="auto">
                          <a:xfrm>
                            <a:off x="0" y="0"/>
                            <a:ext cx="2736843" cy="2626166"/>
                          </a:xfrm>
                          <a:prstGeom prst="rect">
                            <a:avLst/>
                          </a:prstGeom>
                          <a:noFill/>
                          <a:ln>
                            <a:noFill/>
                          </a:ln>
                          <a:extLst>
                            <a:ext uri="{53640926-AAD7-44D8-BBD7-CCE9431645EC}">
                              <a14:shadowObscured xmlns:a14="http://schemas.microsoft.com/office/drawing/2010/main"/>
                            </a:ext>
                          </a:extLst>
                        </pic:spPr>
                      </pic:pic>
                    </a:graphicData>
                  </a:graphic>
                </wp:inline>
              </w:drawing>
            </w:r>
          </w:p>
          <w:p w14:paraId="1E2609AB" w14:textId="77777777" w:rsidR="00D56767" w:rsidRDefault="00D56767" w:rsidP="00D56767">
            <w:pPr>
              <w:pStyle w:val="ChartorTableNote"/>
            </w:pPr>
            <w:r>
              <w:t>Source: ABS Labour Force, Australia, August 2024, seasonally adjusted data.</w:t>
            </w:r>
          </w:p>
          <w:p w14:paraId="337ED08C" w14:textId="344D9BF8" w:rsidR="00AC2606" w:rsidRPr="00AC0957" w:rsidRDefault="00D56767" w:rsidP="00D56767">
            <w:pPr>
              <w:pStyle w:val="ChartorTableNote"/>
            </w:pPr>
            <w:r>
              <w:t xml:space="preserve"> Note: Gender participation gap is the male participation rate minus female participation rate.</w:t>
            </w:r>
          </w:p>
        </w:tc>
      </w:tr>
    </w:tbl>
    <w:p w14:paraId="455F41FD" w14:textId="77777777" w:rsidR="00AC2606" w:rsidRPr="00AC0957" w:rsidRDefault="00AC2606" w:rsidP="008C1832">
      <w:pPr>
        <w:pStyle w:val="ChartorTableNote"/>
      </w:pPr>
    </w:p>
    <w:p w14:paraId="4FD10736" w14:textId="0FA01B5B" w:rsidR="0075342A" w:rsidRPr="0075342A" w:rsidRDefault="0075342A" w:rsidP="0075342A">
      <w:pPr>
        <w:rPr>
          <w:rFonts w:cs="Arial"/>
        </w:rPr>
      </w:pPr>
      <w:r w:rsidRPr="0075342A">
        <w:rPr>
          <w:rFonts w:cs="Arial"/>
        </w:rPr>
        <w:t xml:space="preserve">Historically, the </w:t>
      </w:r>
      <w:r w:rsidRPr="009D2279">
        <w:rPr>
          <w:rFonts w:cs="Arial"/>
          <w:i/>
          <w:iCs/>
        </w:rPr>
        <w:t>youth unemployment rate</w:t>
      </w:r>
      <w:r w:rsidRPr="0075342A">
        <w:rPr>
          <w:rFonts w:cs="Arial"/>
        </w:rPr>
        <w:t xml:space="preserve"> (people aged 15 to 24 years) has remained persistently higher than the unemployment rate for other age cohorts (</w:t>
      </w:r>
      <w:r w:rsidR="00067993">
        <w:rPr>
          <w:rFonts w:cs="Arial"/>
        </w:rPr>
        <w:fldChar w:fldCharType="begin"/>
      </w:r>
      <w:r w:rsidR="00067993">
        <w:rPr>
          <w:rFonts w:cs="Arial"/>
        </w:rPr>
        <w:instrText xml:space="preserve"> REF _Ref179895244 \h </w:instrText>
      </w:r>
      <w:r w:rsidR="00067993">
        <w:rPr>
          <w:rFonts w:cs="Arial"/>
        </w:rPr>
      </w:r>
      <w:r w:rsidR="00067993">
        <w:rPr>
          <w:rFonts w:cs="Arial"/>
        </w:rPr>
        <w:fldChar w:fldCharType="separate"/>
      </w:r>
      <w:r w:rsidR="00C47A81">
        <w:t xml:space="preserve">Figure </w:t>
      </w:r>
      <w:r w:rsidR="00C47A81">
        <w:rPr>
          <w:noProof/>
        </w:rPr>
        <w:t>7</w:t>
      </w:r>
      <w:r w:rsidR="00067993">
        <w:rPr>
          <w:rFonts w:cs="Arial"/>
        </w:rPr>
        <w:fldChar w:fldCharType="end"/>
      </w:r>
      <w:r w:rsidRPr="0075342A">
        <w:rPr>
          <w:rFonts w:cs="Arial"/>
        </w:rPr>
        <w:t>). In line with the recent softening in the Australian labour market, the youth unemployment rate has increased over the last year, from 8.3% in August 2023, to 10.0% in August 2024 (its highest rate recorded since November 2021), highlighting the extent of underutilisation of this cohort.</w:t>
      </w:r>
    </w:p>
    <w:p w14:paraId="4DDDC83C" w14:textId="6E9E1D23" w:rsidR="00AC2606" w:rsidRPr="00AC0957" w:rsidRDefault="0075342A" w:rsidP="0075342A">
      <w:pPr>
        <w:rPr>
          <w:rFonts w:cs="Arial"/>
        </w:rPr>
      </w:pPr>
      <w:r w:rsidRPr="0075342A">
        <w:rPr>
          <w:rFonts w:cs="Arial"/>
        </w:rPr>
        <w:t>The rate of young people aged 20 to 24 years who are ‘</w:t>
      </w:r>
      <w:r w:rsidRPr="009D2279">
        <w:rPr>
          <w:rFonts w:cs="Arial"/>
          <w:i/>
          <w:iCs/>
        </w:rPr>
        <w:t>not in employment, education, or training’ (NEET)</w:t>
      </w:r>
      <w:r w:rsidRPr="0075342A">
        <w:rPr>
          <w:rFonts w:cs="Arial"/>
        </w:rPr>
        <w:t xml:space="preserve"> provides another measure of the potential for more young people to join the workforce. Reflecting the recent increase in the youth unemployment rate, the NEET rate has also risen over the past year, from 10.3% in August 2023, to 11.1% in August 2024 (</w:t>
      </w:r>
      <w:r w:rsidR="00067993">
        <w:rPr>
          <w:rFonts w:cs="Arial"/>
        </w:rPr>
        <w:fldChar w:fldCharType="begin"/>
      </w:r>
      <w:r w:rsidR="00067993">
        <w:rPr>
          <w:rFonts w:cs="Arial"/>
        </w:rPr>
        <w:instrText xml:space="preserve"> REF _Ref179895250 \h </w:instrText>
      </w:r>
      <w:r w:rsidR="00067993">
        <w:rPr>
          <w:rFonts w:cs="Arial"/>
        </w:rPr>
      </w:r>
      <w:r w:rsidR="00067993">
        <w:rPr>
          <w:rFonts w:cs="Arial"/>
        </w:rPr>
        <w:fldChar w:fldCharType="separate"/>
      </w:r>
      <w:r w:rsidR="00C47A81">
        <w:t xml:space="preserve">Figure </w:t>
      </w:r>
      <w:r w:rsidR="00C47A81">
        <w:rPr>
          <w:noProof/>
        </w:rPr>
        <w:t>8</w:t>
      </w:r>
      <w:r w:rsidR="00067993">
        <w:rPr>
          <w:rFonts w:cs="Arial"/>
        </w:rPr>
        <w:fldChar w:fldCharType="end"/>
      </w:r>
      <w:r w:rsidRPr="0075342A">
        <w:rPr>
          <w:rFonts w:cs="Arial"/>
        </w:rPr>
        <w:t>). The NEET rate can reflect entrenched disadvantage, with young people who are NEET being at risk of not developing the skills they need to secure employment</w:t>
      </w:r>
      <w:r w:rsidR="00AC2606" w:rsidRPr="00AC0957">
        <w:rPr>
          <w:rFonts w:cs="Arial"/>
        </w:rPr>
        <w:t xml:space="preserve">. </w:t>
      </w:r>
    </w:p>
    <w:tbl>
      <w:tblPr>
        <w:tblStyle w:val="TableGrid"/>
        <w:tblW w:w="9502"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751"/>
      </w:tblGrid>
      <w:tr w:rsidR="00AC2606" w:rsidRPr="00AC0957" w14:paraId="5A4C8D27" w14:textId="77777777" w:rsidTr="0044060C">
        <w:tc>
          <w:tcPr>
            <w:tcW w:w="4751" w:type="dxa"/>
            <w:tcBorders>
              <w:top w:val="nil"/>
              <w:bottom w:val="nil"/>
            </w:tcBorders>
          </w:tcPr>
          <w:p w14:paraId="35270934" w14:textId="0167DCF9" w:rsidR="00C56D4D" w:rsidRDefault="00C56D4D" w:rsidP="00C56D4D">
            <w:pPr>
              <w:pStyle w:val="Caption"/>
            </w:pPr>
            <w:bookmarkStart w:id="44" w:name="_Ref179895244"/>
            <w:bookmarkStart w:id="45" w:name="_Toc181370309"/>
            <w:r>
              <w:t xml:space="preserve">Figure </w:t>
            </w:r>
            <w:r>
              <w:fldChar w:fldCharType="begin"/>
            </w:r>
            <w:r>
              <w:instrText>SEQ Figure \* ARABIC</w:instrText>
            </w:r>
            <w:r>
              <w:fldChar w:fldCharType="separate"/>
            </w:r>
            <w:r w:rsidR="00C47A81">
              <w:rPr>
                <w:noProof/>
              </w:rPr>
              <w:t>7</w:t>
            </w:r>
            <w:r>
              <w:fldChar w:fldCharType="end"/>
            </w:r>
            <w:bookmarkEnd w:id="44"/>
            <w:r>
              <w:t xml:space="preserve">: </w:t>
            </w:r>
            <w:r w:rsidRPr="00F10D2C">
              <w:t>Unemployment rate by age group</w:t>
            </w:r>
            <w:bookmarkEnd w:id="45"/>
          </w:p>
          <w:p w14:paraId="4BCB8CEB" w14:textId="2BEFBEDB" w:rsidR="00AC2606" w:rsidRPr="00AC0957" w:rsidRDefault="003E7095" w:rsidP="00BC3582">
            <w:pPr>
              <w:rPr>
                <w:lang w:val="en-US"/>
              </w:rPr>
            </w:pPr>
            <w:r>
              <w:rPr>
                <w:noProof/>
                <w:lang w:val="en-US"/>
              </w:rPr>
              <w:drawing>
                <wp:inline distT="0" distB="0" distL="0" distR="0" wp14:anchorId="28C8162B" wp14:editId="08F7B284">
                  <wp:extent cx="2858703" cy="2697523"/>
                  <wp:effectExtent l="0" t="0" r="0" b="7620"/>
                  <wp:docPr id="948743518" name="Picture 7" descr="This figure is a line chart showing the unemployment rates for youth (15-24 years), prime age (25-54 years) and mature age (55 years and over) people from February 1978 to August 2024. The chart shows that youth have tended to have an unemployment rate around double that of the prime age and mature age coh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743518" name="Picture 7" descr="This figure is a line chart showing the unemployment rates for youth (15-24 years), prime age (25-54 years) and mature age (55 years and over) people from February 1978 to August 2024. The chart shows that youth have tended to have an unemployment rate around double that of the prime age and mature age cohort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66156" cy="2704556"/>
                          </a:xfrm>
                          <a:prstGeom prst="rect">
                            <a:avLst/>
                          </a:prstGeom>
                          <a:noFill/>
                        </pic:spPr>
                      </pic:pic>
                    </a:graphicData>
                  </a:graphic>
                </wp:inline>
              </w:drawing>
            </w:r>
          </w:p>
        </w:tc>
        <w:tc>
          <w:tcPr>
            <w:tcW w:w="4751" w:type="dxa"/>
            <w:tcBorders>
              <w:top w:val="nil"/>
              <w:bottom w:val="nil"/>
            </w:tcBorders>
          </w:tcPr>
          <w:p w14:paraId="6F16F82A" w14:textId="737B3D9E" w:rsidR="00C56D4D" w:rsidRDefault="00C56D4D" w:rsidP="00C56D4D">
            <w:pPr>
              <w:pStyle w:val="Caption"/>
            </w:pPr>
            <w:bookmarkStart w:id="46" w:name="_Ref179895250"/>
            <w:bookmarkStart w:id="47" w:name="_Toc181370310"/>
            <w:r>
              <w:t xml:space="preserve">Figure </w:t>
            </w:r>
            <w:r>
              <w:fldChar w:fldCharType="begin"/>
            </w:r>
            <w:r>
              <w:instrText>SEQ Figure \* ARABIC</w:instrText>
            </w:r>
            <w:r>
              <w:fldChar w:fldCharType="separate"/>
            </w:r>
            <w:r w:rsidR="00C47A81">
              <w:rPr>
                <w:noProof/>
              </w:rPr>
              <w:t>8</w:t>
            </w:r>
            <w:r>
              <w:fldChar w:fldCharType="end"/>
            </w:r>
            <w:bookmarkEnd w:id="46"/>
            <w:r>
              <w:t xml:space="preserve">: </w:t>
            </w:r>
            <w:r w:rsidRPr="009E31AF">
              <w:t>Youth (20 to 24 years) not in employment, education, or training</w:t>
            </w:r>
            <w:bookmarkEnd w:id="47"/>
          </w:p>
          <w:p w14:paraId="5AE9E6EA" w14:textId="7508D852" w:rsidR="00AC2606" w:rsidRPr="00AC0957" w:rsidRDefault="007761C8" w:rsidP="00BC3582">
            <w:r>
              <w:rPr>
                <w:noProof/>
              </w:rPr>
              <w:drawing>
                <wp:inline distT="0" distB="0" distL="0" distR="0" wp14:anchorId="325F1BCF" wp14:editId="5CA7EBEB">
                  <wp:extent cx="2772075" cy="2615779"/>
                  <wp:effectExtent l="0" t="0" r="9525" b="0"/>
                  <wp:docPr id="1025637393" name="Picture 8" descr="This figure is a line chart that shows the proportion of people aged 20-24 who were not in employment, education, or training over the period from August 2015 to August 2024. The chart shows that the proportion of young people not in employment, education, or training has declined slightly over the period, although it continues to remain above 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637393" name="Picture 8" descr="This figure is a line chart that shows the proportion of people aged 20-24 who were not in employment, education, or training over the period from August 2015 to August 2024. The chart shows that the proportion of young people not in employment, education, or training has declined slightly over the period, although it continues to remain above 10%.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78280" cy="2621634"/>
                          </a:xfrm>
                          <a:prstGeom prst="rect">
                            <a:avLst/>
                          </a:prstGeom>
                          <a:noFill/>
                        </pic:spPr>
                      </pic:pic>
                    </a:graphicData>
                  </a:graphic>
                </wp:inline>
              </w:drawing>
            </w:r>
          </w:p>
        </w:tc>
      </w:tr>
      <w:tr w:rsidR="00AC2606" w:rsidRPr="00AC0957" w14:paraId="1CB906CA" w14:textId="77777777" w:rsidTr="0044060C">
        <w:trPr>
          <w:cantSplit/>
        </w:trPr>
        <w:tc>
          <w:tcPr>
            <w:tcW w:w="4751" w:type="dxa"/>
            <w:tcBorders>
              <w:top w:val="nil"/>
              <w:bottom w:val="nil"/>
            </w:tcBorders>
          </w:tcPr>
          <w:p w14:paraId="45CFEB75" w14:textId="127EAEA4" w:rsidR="00AC2606" w:rsidRPr="00AC0957" w:rsidRDefault="00C15421" w:rsidP="008C1832">
            <w:pPr>
              <w:pStyle w:val="ChartorTableNote"/>
            </w:pPr>
            <w:r w:rsidRPr="00C15421">
              <w:t xml:space="preserve">Source: </w:t>
            </w:r>
            <w:r w:rsidRPr="00C15421">
              <w:tab/>
              <w:t>ABS Labour Force, Australia, August 2024, seasonally adjusted data.</w:t>
            </w:r>
          </w:p>
        </w:tc>
        <w:tc>
          <w:tcPr>
            <w:tcW w:w="4751" w:type="dxa"/>
            <w:tcBorders>
              <w:top w:val="nil"/>
              <w:bottom w:val="nil"/>
            </w:tcBorders>
          </w:tcPr>
          <w:p w14:paraId="5488BC9F" w14:textId="67851AF4" w:rsidR="00AC2606" w:rsidRPr="00AC0957" w:rsidRDefault="00F95FD5" w:rsidP="008C1832">
            <w:pPr>
              <w:pStyle w:val="ChartorTableNote"/>
              <w:rPr>
                <w:kern w:val="2"/>
                <w14:ligatures w14:val="standardContextual"/>
              </w:rPr>
            </w:pPr>
            <w:r w:rsidRPr="00F95FD5">
              <w:t xml:space="preserve">Source: </w:t>
            </w:r>
            <w:r w:rsidRPr="00F95FD5">
              <w:tab/>
              <w:t>ABS Labour Force, Australia, Detailed, August 2024, original data. Data are released on a quarterly basis.</w:t>
            </w:r>
          </w:p>
        </w:tc>
      </w:tr>
    </w:tbl>
    <w:p w14:paraId="014643DC" w14:textId="77777777" w:rsidR="00AC2606" w:rsidRPr="00AC0957" w:rsidRDefault="00AC2606" w:rsidP="00AC2606">
      <w:pPr>
        <w:rPr>
          <w:rFonts w:cs="Arial"/>
        </w:rPr>
      </w:pPr>
    </w:p>
    <w:p w14:paraId="6DE99329" w14:textId="450FD9B8" w:rsidR="00F13E8A" w:rsidRPr="00F13E8A" w:rsidRDefault="00F13E8A" w:rsidP="00F13E8A">
      <w:pPr>
        <w:rPr>
          <w:rFonts w:cs="Arial"/>
        </w:rPr>
      </w:pPr>
      <w:r w:rsidRPr="00F13E8A">
        <w:rPr>
          <w:rFonts w:cs="Arial"/>
        </w:rPr>
        <w:t xml:space="preserve">The </w:t>
      </w:r>
      <w:r w:rsidRPr="00015BDE">
        <w:rPr>
          <w:rFonts w:cs="Arial"/>
          <w:i/>
          <w:iCs/>
        </w:rPr>
        <w:t>employment rate for working-age people with disability</w:t>
      </w:r>
      <w:r w:rsidRPr="00F13E8A">
        <w:rPr>
          <w:rFonts w:cs="Arial"/>
        </w:rPr>
        <w:t xml:space="preserve"> has remained consistently lower than for those with no reported disability since 1998 (earliest available data) although the former has risen, from 47.8% in 2018, to 56.1% in 2022 (</w:t>
      </w:r>
      <w:r w:rsidR="00337637">
        <w:rPr>
          <w:rFonts w:cs="Arial"/>
        </w:rPr>
        <w:fldChar w:fldCharType="begin"/>
      </w:r>
      <w:r w:rsidR="00337637">
        <w:rPr>
          <w:rFonts w:cs="Arial"/>
        </w:rPr>
        <w:instrText xml:space="preserve"> REF _Ref179895269 \h </w:instrText>
      </w:r>
      <w:r w:rsidR="00337637">
        <w:rPr>
          <w:rFonts w:cs="Arial"/>
        </w:rPr>
      </w:r>
      <w:r w:rsidR="00337637">
        <w:rPr>
          <w:rFonts w:cs="Arial"/>
        </w:rPr>
        <w:fldChar w:fldCharType="separate"/>
      </w:r>
      <w:r w:rsidR="00C47A81">
        <w:t xml:space="preserve">Figure </w:t>
      </w:r>
      <w:r w:rsidR="00C47A81">
        <w:rPr>
          <w:noProof/>
        </w:rPr>
        <w:t>9</w:t>
      </w:r>
      <w:r w:rsidR="00337637">
        <w:rPr>
          <w:rFonts w:cs="Arial"/>
        </w:rPr>
        <w:fldChar w:fldCharType="end"/>
      </w:r>
      <w:r w:rsidRPr="00F13E8A">
        <w:rPr>
          <w:rFonts w:cs="Arial"/>
        </w:rPr>
        <w:t>). Illustrative of the data gaps for some cohorts, however, the latest available data on the employment rates for people with disability are from 2022. That said, more recent Workforce Australia survey data</w:t>
      </w:r>
      <w:r w:rsidR="00151AF6">
        <w:rPr>
          <w:rStyle w:val="FootnoteReference"/>
          <w:rFonts w:cs="Arial"/>
        </w:rPr>
        <w:footnoteReference w:id="5"/>
      </w:r>
      <w:r w:rsidRPr="00F13E8A">
        <w:rPr>
          <w:rFonts w:cs="Arial"/>
        </w:rPr>
        <w:t xml:space="preserve"> indicate that the employment rate for people with disability who have participated in employment services has remained lower than for those with no reported disability. </w:t>
      </w:r>
    </w:p>
    <w:p w14:paraId="7E9927E7" w14:textId="4521FB9C" w:rsidR="00AC2606" w:rsidRPr="00AC0957" w:rsidRDefault="00F13E8A" w:rsidP="00AC2606">
      <w:pPr>
        <w:rPr>
          <w:rFonts w:cs="Arial"/>
        </w:rPr>
      </w:pPr>
      <w:r w:rsidRPr="00F13E8A">
        <w:rPr>
          <w:rFonts w:cs="Arial"/>
        </w:rPr>
        <w:t xml:space="preserve">The </w:t>
      </w:r>
      <w:r w:rsidRPr="00015BDE">
        <w:rPr>
          <w:rFonts w:cs="Arial"/>
          <w:i/>
          <w:iCs/>
        </w:rPr>
        <w:t>First Nations employment rate</w:t>
      </w:r>
      <w:r w:rsidRPr="00F13E8A">
        <w:rPr>
          <w:rFonts w:cs="Arial"/>
        </w:rPr>
        <w:t xml:space="preserve"> is persistently lower than the rate for non-Indigenous people (</w:t>
      </w:r>
      <w:r w:rsidR="00337637">
        <w:rPr>
          <w:rFonts w:cs="Arial"/>
        </w:rPr>
        <w:fldChar w:fldCharType="begin"/>
      </w:r>
      <w:r w:rsidR="00337637">
        <w:rPr>
          <w:rFonts w:cs="Arial"/>
        </w:rPr>
        <w:instrText xml:space="preserve"> REF _Ref179895278 \h </w:instrText>
      </w:r>
      <w:r w:rsidR="00337637">
        <w:rPr>
          <w:rFonts w:cs="Arial"/>
        </w:rPr>
      </w:r>
      <w:r w:rsidR="00337637">
        <w:rPr>
          <w:rFonts w:cs="Arial"/>
        </w:rPr>
        <w:fldChar w:fldCharType="separate"/>
      </w:r>
      <w:r w:rsidR="00C47A81">
        <w:t xml:space="preserve">Figure </w:t>
      </w:r>
      <w:r w:rsidR="00C47A81">
        <w:rPr>
          <w:noProof/>
        </w:rPr>
        <w:t>10</w:t>
      </w:r>
      <w:r w:rsidR="00337637">
        <w:rPr>
          <w:rFonts w:cs="Arial"/>
        </w:rPr>
        <w:fldChar w:fldCharType="end"/>
      </w:r>
      <w:r w:rsidRPr="00F13E8A">
        <w:rPr>
          <w:rFonts w:cs="Arial"/>
        </w:rPr>
        <w:t xml:space="preserve">), with a small improvement in the gap between the employment rate for First Nations </w:t>
      </w:r>
      <w:r w:rsidR="00B3268C">
        <w:rPr>
          <w:rFonts w:cs="Arial"/>
        </w:rPr>
        <w:t xml:space="preserve">people </w:t>
      </w:r>
      <w:r w:rsidRPr="00F13E8A">
        <w:rPr>
          <w:rFonts w:cs="Arial"/>
        </w:rPr>
        <w:t>and non-Indigenous people over the past 30 years. The most reliable source of data is extracted from the five-yearly Census, which also highlights the data gaps for this cohort</w:t>
      </w:r>
      <w:r w:rsidR="00AC2606" w:rsidRPr="00AC0957">
        <w:rPr>
          <w:rFonts w:cs="Arial"/>
        </w:rPr>
        <w:t>.</w:t>
      </w:r>
    </w:p>
    <w:tbl>
      <w:tblPr>
        <w:tblStyle w:val="TableGrid"/>
        <w:tblW w:w="9502"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866"/>
        <w:gridCol w:w="4748"/>
      </w:tblGrid>
      <w:tr w:rsidR="00AC2606" w:rsidRPr="00AC0957" w14:paraId="00A7A1DF" w14:textId="77777777" w:rsidTr="0044060C">
        <w:tc>
          <w:tcPr>
            <w:tcW w:w="4751" w:type="dxa"/>
            <w:tcBorders>
              <w:top w:val="nil"/>
              <w:bottom w:val="nil"/>
            </w:tcBorders>
          </w:tcPr>
          <w:p w14:paraId="0C69AFFB" w14:textId="1FB9B070" w:rsidR="00F52D08" w:rsidRDefault="00F52D08" w:rsidP="00F52D08">
            <w:pPr>
              <w:pStyle w:val="Caption"/>
            </w:pPr>
            <w:bookmarkStart w:id="48" w:name="_Ref179895269"/>
            <w:bookmarkStart w:id="49" w:name="_Toc181370311"/>
            <w:r>
              <w:t xml:space="preserve">Figure </w:t>
            </w:r>
            <w:r>
              <w:fldChar w:fldCharType="begin"/>
            </w:r>
            <w:r>
              <w:instrText>SEQ Figure \* ARABIC</w:instrText>
            </w:r>
            <w:r>
              <w:fldChar w:fldCharType="separate"/>
            </w:r>
            <w:r w:rsidR="00C47A81">
              <w:rPr>
                <w:noProof/>
              </w:rPr>
              <w:t>9</w:t>
            </w:r>
            <w:r>
              <w:fldChar w:fldCharType="end"/>
            </w:r>
            <w:bookmarkEnd w:id="48"/>
            <w:r>
              <w:t xml:space="preserve">: </w:t>
            </w:r>
            <w:r w:rsidRPr="0003036F">
              <w:t xml:space="preserve">Employment rate for people </w:t>
            </w:r>
            <w:r w:rsidR="00CA3587">
              <w:t xml:space="preserve">living in households </w:t>
            </w:r>
            <w:r w:rsidRPr="0003036F">
              <w:t>with reported disability and no reported disability</w:t>
            </w:r>
            <w:bookmarkEnd w:id="49"/>
          </w:p>
          <w:p w14:paraId="3A233985" w14:textId="1A595AED" w:rsidR="00AC2606" w:rsidRPr="00AC0957" w:rsidRDefault="002E30A8" w:rsidP="00BC3582">
            <w:pPr>
              <w:rPr>
                <w:lang w:val="en-US"/>
              </w:rPr>
            </w:pPr>
            <w:r>
              <w:rPr>
                <w:noProof/>
                <w:lang w:val="en-US"/>
              </w:rPr>
              <w:drawing>
                <wp:inline distT="0" distB="0" distL="0" distR="0" wp14:anchorId="57C0C2FF" wp14:editId="7CE371ED">
                  <wp:extent cx="2947911" cy="2781701"/>
                  <wp:effectExtent l="0" t="0" r="5080" b="0"/>
                  <wp:docPr id="1530964270" name="Picture 9" descr="This figure is a line chart showing the employment rate for people living in households with reported disability and no reported disability from 1998 to 2022. The chart shows that the employment rate for people with disability has remained well below the employment rate for people with no reported disability over the period, although the former has increased from 2018 to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964270" name="Picture 9" descr="This figure is a line chart showing the employment rate for people living in households with reported disability and no reported disability from 1998 to 2022. The chart shows that the employment rate for people with disability has remained well below the employment rate for people with no reported disability over the period, although the former has increased from 2018 to 20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55913" cy="2789252"/>
                          </a:xfrm>
                          <a:prstGeom prst="rect">
                            <a:avLst/>
                          </a:prstGeom>
                          <a:noFill/>
                        </pic:spPr>
                      </pic:pic>
                    </a:graphicData>
                  </a:graphic>
                </wp:inline>
              </w:drawing>
            </w:r>
          </w:p>
        </w:tc>
        <w:tc>
          <w:tcPr>
            <w:tcW w:w="4751" w:type="dxa"/>
            <w:tcBorders>
              <w:top w:val="nil"/>
              <w:bottom w:val="nil"/>
            </w:tcBorders>
          </w:tcPr>
          <w:p w14:paraId="03A8433A" w14:textId="50B78EB3" w:rsidR="00F52D08" w:rsidRDefault="00F52D08" w:rsidP="00F52D08">
            <w:pPr>
              <w:pStyle w:val="Caption"/>
            </w:pPr>
            <w:bookmarkStart w:id="50" w:name="_Ref179895278"/>
            <w:bookmarkStart w:id="51" w:name="_Toc181370312"/>
            <w:r>
              <w:t xml:space="preserve">Figure </w:t>
            </w:r>
            <w:r>
              <w:fldChar w:fldCharType="begin"/>
            </w:r>
            <w:r>
              <w:instrText>SEQ Figure \* ARABIC</w:instrText>
            </w:r>
            <w:r>
              <w:fldChar w:fldCharType="separate"/>
            </w:r>
            <w:r w:rsidR="00C47A81">
              <w:rPr>
                <w:noProof/>
              </w:rPr>
              <w:t>10</w:t>
            </w:r>
            <w:r>
              <w:fldChar w:fldCharType="end"/>
            </w:r>
            <w:bookmarkEnd w:id="50"/>
            <w:r>
              <w:t xml:space="preserve">: </w:t>
            </w:r>
            <w:r w:rsidRPr="00221CBD">
              <w:t>Employment rates of Aboriginal and Torres Strait Islander people and non</w:t>
            </w:r>
            <w:r>
              <w:t>-</w:t>
            </w:r>
            <w:r w:rsidRPr="00221CBD">
              <w:t>Indigenous people</w:t>
            </w:r>
            <w:bookmarkEnd w:id="51"/>
          </w:p>
          <w:p w14:paraId="74627822" w14:textId="54BFA6E3" w:rsidR="00AC2606" w:rsidRPr="00AC0957" w:rsidRDefault="002E30A8" w:rsidP="00BC3582">
            <w:r>
              <w:rPr>
                <w:noProof/>
              </w:rPr>
              <w:drawing>
                <wp:inline distT="0" distB="0" distL="0" distR="0" wp14:anchorId="322F1007" wp14:editId="1EF34441">
                  <wp:extent cx="2878251" cy="2704699"/>
                  <wp:effectExtent l="0" t="0" r="0" b="635"/>
                  <wp:docPr id="671203732" name="Picture 10" descr="This figure is a line chart showing the employment rates of Aboriginal and Torress Strait Islander people and non-Indigenous people from 2001 to 2021. The chart shows that the employment rate for Aboriginal and Torres Strait Islander people has remained well below the employment rate for non-Indigenous people over the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03732" name="Picture 10" descr="This figure is a line chart showing the employment rates of Aboriginal and Torress Strait Islander people and non-Indigenous people from 2001 to 2021. The chart shows that the employment rate for Aboriginal and Torres Strait Islander people has remained well below the employment rate for non-Indigenous people over the perio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84067" cy="2710164"/>
                          </a:xfrm>
                          <a:prstGeom prst="rect">
                            <a:avLst/>
                          </a:prstGeom>
                          <a:noFill/>
                        </pic:spPr>
                      </pic:pic>
                    </a:graphicData>
                  </a:graphic>
                </wp:inline>
              </w:drawing>
            </w:r>
          </w:p>
        </w:tc>
      </w:tr>
      <w:tr w:rsidR="00AC2606" w:rsidRPr="00AC0957" w14:paraId="2D319785" w14:textId="77777777" w:rsidTr="0044060C">
        <w:trPr>
          <w:cantSplit/>
        </w:trPr>
        <w:tc>
          <w:tcPr>
            <w:tcW w:w="4751" w:type="dxa"/>
            <w:tcBorders>
              <w:top w:val="nil"/>
              <w:bottom w:val="nil"/>
            </w:tcBorders>
          </w:tcPr>
          <w:p w14:paraId="39F9A2AE" w14:textId="5B53738E" w:rsidR="00AC2606" w:rsidRPr="00AC0957" w:rsidRDefault="00AC2606" w:rsidP="008C1832">
            <w:pPr>
              <w:pStyle w:val="ChartorTableNote"/>
            </w:pPr>
            <w:r w:rsidRPr="00AC0957">
              <w:t>Source:</w:t>
            </w:r>
            <w:r w:rsidR="0080722D">
              <w:t xml:space="preserve"> </w:t>
            </w:r>
            <w:r w:rsidR="00C1603B" w:rsidRPr="00C1603B">
              <w:t>ABS Disability, Ageing and Carers, Australia, 1998-2022</w:t>
            </w:r>
            <w:r w:rsidRPr="00AC0957">
              <w:t>.</w:t>
            </w:r>
          </w:p>
          <w:p w14:paraId="38E2CFAB" w14:textId="48FAB3CF" w:rsidR="00AC2606" w:rsidRPr="00AC0957" w:rsidRDefault="00AC2606" w:rsidP="008C1832">
            <w:pPr>
              <w:pStyle w:val="ChartorTableNote"/>
            </w:pPr>
            <w:r w:rsidRPr="00AC0957">
              <w:t xml:space="preserve">Note: </w:t>
            </w:r>
            <w:r w:rsidR="0080722D" w:rsidRPr="0080722D">
              <w:t>The employment rate refers to the number of employed people as a percentage of the population aged 15–64 years in the same group</w:t>
            </w:r>
            <w:r w:rsidRPr="00AC0957">
              <w:t>.</w:t>
            </w:r>
          </w:p>
        </w:tc>
        <w:tc>
          <w:tcPr>
            <w:tcW w:w="4751" w:type="dxa"/>
            <w:tcBorders>
              <w:top w:val="nil"/>
              <w:bottom w:val="nil"/>
            </w:tcBorders>
          </w:tcPr>
          <w:p w14:paraId="7045ABFC" w14:textId="709D5271" w:rsidR="00AC2606" w:rsidRPr="00AC0957" w:rsidRDefault="00AC2606" w:rsidP="008C1832">
            <w:pPr>
              <w:pStyle w:val="ChartorTableNote"/>
            </w:pPr>
            <w:r w:rsidRPr="00AC0957">
              <w:t xml:space="preserve">Source: </w:t>
            </w:r>
            <w:r w:rsidR="004351EB" w:rsidRPr="004351EB">
              <w:t>ABS Census of Population and Housing, 2021. Aboriginal and Torres Strait Islander people aged 15–64</w:t>
            </w:r>
            <w:r w:rsidRPr="00AC0957">
              <w:t>.</w:t>
            </w:r>
          </w:p>
          <w:p w14:paraId="3BE3CCB9" w14:textId="00C12DF1" w:rsidR="00AC2606" w:rsidRPr="00AC0957" w:rsidRDefault="00AC2606" w:rsidP="008C1832">
            <w:pPr>
              <w:pStyle w:val="ChartorTableNote"/>
              <w:rPr>
                <w:kern w:val="2"/>
                <w14:ligatures w14:val="standardContextual"/>
              </w:rPr>
            </w:pPr>
            <w:r w:rsidRPr="00AC0957">
              <w:t xml:space="preserve">Note: </w:t>
            </w:r>
            <w:r w:rsidR="00215015" w:rsidRPr="00215015">
              <w:t>The employment rate refers to the number of employed people as a percentage of the population aged 15–64 years in the same group</w:t>
            </w:r>
            <w:r w:rsidRPr="00AC0957">
              <w:t>.</w:t>
            </w:r>
          </w:p>
        </w:tc>
      </w:tr>
    </w:tbl>
    <w:p w14:paraId="628E99A3" w14:textId="77777777" w:rsidR="00AC2606" w:rsidRPr="00AC0957" w:rsidRDefault="00AC2606" w:rsidP="00AC2606">
      <w:pPr>
        <w:rPr>
          <w:rFonts w:cs="Arial"/>
        </w:rPr>
      </w:pPr>
    </w:p>
    <w:p w14:paraId="13A8F7A1" w14:textId="7E470AC7" w:rsidR="00AC2606" w:rsidRPr="00AC0957" w:rsidRDefault="006F0119" w:rsidP="00AC2606">
      <w:pPr>
        <w:rPr>
          <w:rFonts w:cs="Arial"/>
        </w:rPr>
      </w:pPr>
      <w:r w:rsidRPr="006F0119">
        <w:rPr>
          <w:rFonts w:cs="Arial"/>
          <w:i/>
          <w:iCs/>
        </w:rPr>
        <w:t xml:space="preserve">Regional differences in the unemployment rate </w:t>
      </w:r>
      <w:r w:rsidRPr="006F0119">
        <w:rPr>
          <w:rFonts w:cs="Arial"/>
        </w:rPr>
        <w:t xml:space="preserve">are evident across Australia. For instance, as illustrated in </w:t>
      </w:r>
      <w:r w:rsidR="001255E6">
        <w:rPr>
          <w:rFonts w:cs="Arial"/>
        </w:rPr>
        <w:fldChar w:fldCharType="begin"/>
      </w:r>
      <w:r w:rsidR="001255E6">
        <w:rPr>
          <w:rFonts w:cs="Arial"/>
        </w:rPr>
        <w:instrText xml:space="preserve"> REF _Ref179895288 \h </w:instrText>
      </w:r>
      <w:r w:rsidR="001255E6">
        <w:rPr>
          <w:rFonts w:cs="Arial"/>
        </w:rPr>
      </w:r>
      <w:r w:rsidR="001255E6">
        <w:rPr>
          <w:rFonts w:cs="Arial"/>
        </w:rPr>
        <w:fldChar w:fldCharType="separate"/>
      </w:r>
      <w:r w:rsidR="00C47A81">
        <w:t xml:space="preserve">Figure </w:t>
      </w:r>
      <w:r w:rsidR="00C47A81">
        <w:rPr>
          <w:noProof/>
        </w:rPr>
        <w:t>11</w:t>
      </w:r>
      <w:r w:rsidR="001255E6">
        <w:rPr>
          <w:rFonts w:cs="Arial"/>
        </w:rPr>
        <w:fldChar w:fldCharType="end"/>
      </w:r>
      <w:r w:rsidRPr="006F0119">
        <w:rPr>
          <w:rFonts w:cs="Arial"/>
        </w:rPr>
        <w:t>, the difference between the ABS Statistical Area Level 4 (SA4</w:t>
      </w:r>
      <w:r w:rsidR="007725D5">
        <w:rPr>
          <w:rStyle w:val="FootnoteReference"/>
          <w:rFonts w:cs="Arial"/>
        </w:rPr>
        <w:footnoteReference w:id="6"/>
      </w:r>
      <w:r w:rsidRPr="006F0119">
        <w:rPr>
          <w:rFonts w:cs="Arial"/>
        </w:rPr>
        <w:t xml:space="preserve">) with the highest unemployment rate and the SA4 with the lowest unemployment rate has ranged from a low of 3.5 percentage points in September 2022, to a high of 7.1 percentage points in January 2020. As at August 2024, the difference stood at 3.9 percentage points, down from 4.2 percentage points in August 2023. This helps to shed some light on the diversity of labour market conditions across the country. There is clearly difficulty in accurately measuring labour market performance across regions in Australia. An alternative approach to measuring labour market disparity is explored in more detail in chapter </w:t>
      </w:r>
      <w:r w:rsidRPr="00EC0451">
        <w:rPr>
          <w:rFonts w:cs="Arial"/>
        </w:rPr>
        <w:t>2</w:t>
      </w:r>
      <w:r w:rsidR="00AC2606" w:rsidRPr="00AC0957">
        <w:rPr>
          <w:rFonts w:cs="Arial"/>
        </w:rPr>
        <w:t>.</w:t>
      </w:r>
    </w:p>
    <w:p w14:paraId="5430A72A" w14:textId="77777777" w:rsidR="00AC2606" w:rsidRPr="00AC0957" w:rsidRDefault="00AC2606" w:rsidP="00AC2606">
      <w:pPr>
        <w:rPr>
          <w:rFonts w:cs="Arial"/>
        </w:rPr>
      </w:pPr>
    </w:p>
    <w:tbl>
      <w:tblPr>
        <w:tblStyle w:val="TableGrid"/>
        <w:tblW w:w="9502"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9502"/>
      </w:tblGrid>
      <w:tr w:rsidR="00AC2606" w:rsidRPr="00AC0957" w14:paraId="44CE2389" w14:textId="77777777" w:rsidTr="00644DE9">
        <w:tc>
          <w:tcPr>
            <w:tcW w:w="9502" w:type="dxa"/>
            <w:tcBorders>
              <w:top w:val="nil"/>
              <w:bottom w:val="nil"/>
            </w:tcBorders>
          </w:tcPr>
          <w:p w14:paraId="4CCB0E22" w14:textId="7C165969" w:rsidR="00F52D08" w:rsidRDefault="00F52D08" w:rsidP="00F52D08">
            <w:pPr>
              <w:pStyle w:val="Caption"/>
            </w:pPr>
            <w:bookmarkStart w:id="52" w:name="_Ref179895288"/>
            <w:bookmarkStart w:id="53" w:name="_Toc181370313"/>
            <w:r>
              <w:t xml:space="preserve">Figure </w:t>
            </w:r>
            <w:r>
              <w:fldChar w:fldCharType="begin"/>
            </w:r>
            <w:r>
              <w:instrText>SEQ Figure \* ARABIC</w:instrText>
            </w:r>
            <w:r>
              <w:fldChar w:fldCharType="separate"/>
            </w:r>
            <w:r w:rsidR="00C47A81">
              <w:rPr>
                <w:noProof/>
              </w:rPr>
              <w:t>11</w:t>
            </w:r>
            <w:r>
              <w:fldChar w:fldCharType="end"/>
            </w:r>
            <w:bookmarkEnd w:id="52"/>
            <w:r>
              <w:t xml:space="preserve">: </w:t>
            </w:r>
            <w:r w:rsidRPr="00DC564D">
              <w:t>Regional differences in the unemployment rate</w:t>
            </w:r>
            <w:bookmarkEnd w:id="53"/>
          </w:p>
          <w:p w14:paraId="7DAF2FEA" w14:textId="6AB14500" w:rsidR="00AC2606" w:rsidRPr="00AC0957" w:rsidRDefault="00DF2C76" w:rsidP="006C3FB4">
            <w:r>
              <w:rPr>
                <w:noProof/>
              </w:rPr>
              <w:drawing>
                <wp:inline distT="0" distB="0" distL="0" distR="0" wp14:anchorId="53F5E795" wp14:editId="16FEF7F5">
                  <wp:extent cx="5711654" cy="2695073"/>
                  <wp:effectExtent l="0" t="0" r="3810" b="0"/>
                  <wp:docPr id="1874829781" name="Picture 11" descr="This figure is a line chart showing the national unemployment rate and the highest and lowest unemployment rates by Statistical Area Level 4 (SA4) from February 2020 to August 2024. The chart shows the difference between the highest and lowest SA4 unemployment rates and that the gap between these has narrowed somewhat over the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829781" name="Picture 11" descr="This figure is a line chart showing the national unemployment rate and the highest and lowest unemployment rates by Statistical Area Level 4 (SA4) from February 2020 to August 2024. The chart shows the difference between the highest and lowest SA4 unemployment rates and that the gap between these has narrowed somewhat over the perio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27694" cy="2702642"/>
                          </a:xfrm>
                          <a:prstGeom prst="rect">
                            <a:avLst/>
                          </a:prstGeom>
                          <a:noFill/>
                        </pic:spPr>
                      </pic:pic>
                    </a:graphicData>
                  </a:graphic>
                </wp:inline>
              </w:drawing>
            </w:r>
          </w:p>
        </w:tc>
      </w:tr>
      <w:tr w:rsidR="00AC2606" w:rsidRPr="00AC0957" w14:paraId="59DE229C" w14:textId="77777777" w:rsidTr="00644DE9">
        <w:trPr>
          <w:cantSplit/>
        </w:trPr>
        <w:tc>
          <w:tcPr>
            <w:tcW w:w="9502" w:type="dxa"/>
            <w:tcBorders>
              <w:top w:val="nil"/>
              <w:bottom w:val="nil"/>
            </w:tcBorders>
          </w:tcPr>
          <w:p w14:paraId="33361E9B" w14:textId="631B9CEB" w:rsidR="00AC2606" w:rsidRPr="00AC0957" w:rsidRDefault="00AC2606" w:rsidP="008C1832">
            <w:pPr>
              <w:pStyle w:val="ChartorTableNote"/>
            </w:pPr>
            <w:r w:rsidRPr="00AC0957">
              <w:t xml:space="preserve">Source: </w:t>
            </w:r>
            <w:r w:rsidR="0098154A" w:rsidRPr="0098154A">
              <w:t>ABS Labour Force, Australia, Detailed, August 2024, table MRM1 - Modelled estimates of labour force status, by SA4</w:t>
            </w:r>
            <w:r w:rsidRPr="00AC0957">
              <w:t>.</w:t>
            </w:r>
          </w:p>
          <w:p w14:paraId="3E40E000" w14:textId="34B25473" w:rsidR="00AC2606" w:rsidRPr="00AC0957" w:rsidRDefault="00AC2606" w:rsidP="008C1832">
            <w:pPr>
              <w:pStyle w:val="ChartorTableNote"/>
              <w:rPr>
                <w:kern w:val="2"/>
                <w14:ligatures w14:val="standardContextual"/>
              </w:rPr>
            </w:pPr>
            <w:r w:rsidRPr="00AC0957">
              <w:t xml:space="preserve">Note: </w:t>
            </w:r>
            <w:r w:rsidR="006A67F7" w:rsidRPr="006A67F7">
              <w:t>The minimum and maximum unemployment rate are the lowest and highest rate recorded for SA4s in each month. Earliest available modelled SA4 unemployment rate estimates are for January 2020</w:t>
            </w:r>
            <w:r w:rsidRPr="00AC0957">
              <w:t>.</w:t>
            </w:r>
          </w:p>
        </w:tc>
      </w:tr>
    </w:tbl>
    <w:p w14:paraId="39E2A6DE" w14:textId="77777777" w:rsidR="00AC2606" w:rsidRPr="00AC0957" w:rsidRDefault="00AC2606" w:rsidP="00AC2606">
      <w:pPr>
        <w:rPr>
          <w:rFonts w:cs="Arial"/>
        </w:rPr>
      </w:pPr>
    </w:p>
    <w:p w14:paraId="3BF7468F" w14:textId="77777777" w:rsidR="00A021AC" w:rsidRPr="00A021AC" w:rsidRDefault="00A021AC" w:rsidP="00A021AC">
      <w:pPr>
        <w:rPr>
          <w:rFonts w:cs="Arial"/>
        </w:rPr>
      </w:pPr>
      <w:r w:rsidRPr="00A021AC">
        <w:rPr>
          <w:rFonts w:cs="Arial"/>
        </w:rPr>
        <w:t xml:space="preserve">Reflecting an overall softening in economic and labour market conditions over the last year, it is not surprising that a number of full employment indicators have weakened slightly over the period – although they are still tracking well by historical standards. It is encouraging to note that some of the indicators of </w:t>
      </w:r>
      <w:r w:rsidRPr="00E821E0">
        <w:rPr>
          <w:rFonts w:cs="Arial"/>
          <w:i/>
          <w:iCs/>
        </w:rPr>
        <w:t>inclusive</w:t>
      </w:r>
      <w:r w:rsidRPr="00A021AC">
        <w:rPr>
          <w:rFonts w:cs="Arial"/>
        </w:rPr>
        <w:t xml:space="preserve"> full employment have improved over the last year. While this is welcome progress, it is clear that the improvement has not been widespread across all cohorts and that more work needs to be done. </w:t>
      </w:r>
    </w:p>
    <w:p w14:paraId="768035F0" w14:textId="5BE4E201" w:rsidR="00AC2606" w:rsidRPr="00AC0957" w:rsidRDefault="00A021AC" w:rsidP="00A021AC">
      <w:pPr>
        <w:rPr>
          <w:rFonts w:cs="Arial"/>
        </w:rPr>
      </w:pPr>
      <w:r w:rsidRPr="00A021AC">
        <w:rPr>
          <w:rFonts w:cs="Arial"/>
        </w:rPr>
        <w:t>Treasury forecasts are for labour market conditions to ease further, with the unemployment rate expected to rise gradually to 4</w:t>
      </w:r>
      <w:r w:rsidR="0060310C">
        <w:rPr>
          <w:rFonts w:cs="Arial"/>
        </w:rPr>
        <w:t>.5</w:t>
      </w:r>
      <w:r w:rsidRPr="00A021AC">
        <w:rPr>
          <w:rFonts w:cs="Arial"/>
        </w:rPr>
        <w:t xml:space="preserve">% by the June quarter 2025, while the participation rate is expected to decline modestly, as softening labour market conditions may discourage some workers from participating in the labour force </w:t>
      </w:r>
      <w:sdt>
        <w:sdtPr>
          <w:rPr>
            <w:rFonts w:cs="Arial"/>
          </w:rPr>
          <w:id w:val="630437407"/>
          <w:citation/>
        </w:sdtPr>
        <w:sdtEndPr/>
        <w:sdtContent>
          <w:r w:rsidR="00CD16FE">
            <w:rPr>
              <w:rFonts w:cs="Arial"/>
            </w:rPr>
            <w:fldChar w:fldCharType="begin"/>
          </w:r>
          <w:r w:rsidR="002737A2">
            <w:rPr>
              <w:rFonts w:cs="Arial"/>
            </w:rPr>
            <w:instrText xml:space="preserve">CITATION Com24 \t  \l 3081 </w:instrText>
          </w:r>
          <w:r w:rsidR="00CD16FE">
            <w:rPr>
              <w:rFonts w:cs="Arial"/>
            </w:rPr>
            <w:fldChar w:fldCharType="separate"/>
          </w:r>
          <w:r w:rsidR="00CA3587" w:rsidRPr="00CA3587">
            <w:rPr>
              <w:rFonts w:cs="Arial"/>
              <w:noProof/>
            </w:rPr>
            <w:t>(Commonwealth of Australia, 2024)</w:t>
          </w:r>
          <w:r w:rsidR="00CD16FE">
            <w:rPr>
              <w:rFonts w:cs="Arial"/>
            </w:rPr>
            <w:fldChar w:fldCharType="end"/>
          </w:r>
        </w:sdtContent>
      </w:sdt>
      <w:r w:rsidR="00CD16FE">
        <w:rPr>
          <w:rFonts w:cs="Arial"/>
        </w:rPr>
        <w:t xml:space="preserve">. </w:t>
      </w:r>
      <w:r w:rsidRPr="00A021AC">
        <w:rPr>
          <w:rFonts w:cs="Arial"/>
        </w:rPr>
        <w:t>As noted in the White Paper, however, the Government remains committed to supporting more people to work to their capacity and is providing targeted support to those who face barriers in the labour market, as part of pursuing sustained and inclusive full employment</w:t>
      </w:r>
      <w:r w:rsidR="00AC2606" w:rsidRPr="00AC0957">
        <w:rPr>
          <w:rFonts w:cs="Arial"/>
        </w:rPr>
        <w:t xml:space="preserve">. </w:t>
      </w:r>
    </w:p>
    <w:p w14:paraId="2FA23BD6" w14:textId="77777777" w:rsidR="00AC2606" w:rsidRPr="00AC0957" w:rsidRDefault="00AC2606" w:rsidP="00AC2606">
      <w:pPr>
        <w:pStyle w:val="Heading2"/>
        <w:rPr>
          <w:rFonts w:cs="Arial"/>
        </w:rPr>
      </w:pPr>
      <w:bookmarkStart w:id="54" w:name="_Toc179887367"/>
      <w:bookmarkStart w:id="55" w:name="_Toc181371561"/>
      <w:r w:rsidRPr="00AC0957">
        <w:rPr>
          <w:rFonts w:cs="Arial"/>
        </w:rPr>
        <w:t>Addressing barriers to inclusion</w:t>
      </w:r>
      <w:bookmarkEnd w:id="54"/>
      <w:bookmarkEnd w:id="55"/>
    </w:p>
    <w:p w14:paraId="2EA3DBA6" w14:textId="5191DB68" w:rsidR="00966C84" w:rsidRDefault="00FA0026" w:rsidP="00FA0026">
      <w:pPr>
        <w:rPr>
          <w:rFonts w:cs="Arial"/>
        </w:rPr>
      </w:pPr>
      <w:r w:rsidRPr="00FA0026">
        <w:rPr>
          <w:rFonts w:cs="Arial"/>
        </w:rPr>
        <w:t xml:space="preserve">Sharing the benefits of participation more broadly has benefits for the economy through greater economic activity, increased revenue, and reduced pressure on government spending. Importantly, it is also beneficial for individuals through increased financial independence, social connection, higher standards of living, and health and wellbeing </w:t>
      </w:r>
      <w:sdt>
        <w:sdtPr>
          <w:rPr>
            <w:rFonts w:cs="Arial"/>
          </w:rPr>
          <w:id w:val="-409549923"/>
          <w:citation/>
        </w:sdtPr>
        <w:sdtEndPr/>
        <w:sdtContent>
          <w:r w:rsidR="00114CD8">
            <w:rPr>
              <w:rFonts w:cs="Arial"/>
            </w:rPr>
            <w:fldChar w:fldCharType="begin"/>
          </w:r>
          <w:r w:rsidR="00114CD8">
            <w:rPr>
              <w:rFonts w:cs="Arial"/>
            </w:rPr>
            <w:instrText xml:space="preserve">CITATION Aus23 \t  \l 3081 </w:instrText>
          </w:r>
          <w:r w:rsidR="00114CD8">
            <w:rPr>
              <w:rFonts w:cs="Arial"/>
            </w:rPr>
            <w:fldChar w:fldCharType="separate"/>
          </w:r>
          <w:r w:rsidR="00CA3587" w:rsidRPr="00CA3587">
            <w:rPr>
              <w:rFonts w:cs="Arial"/>
              <w:noProof/>
            </w:rPr>
            <w:t>(Commonwealth of Australia, 2023a)</w:t>
          </w:r>
          <w:r w:rsidR="00114CD8">
            <w:rPr>
              <w:rFonts w:cs="Arial"/>
            </w:rPr>
            <w:fldChar w:fldCharType="end"/>
          </w:r>
        </w:sdtContent>
      </w:sdt>
      <w:r w:rsidRPr="00FA0026">
        <w:rPr>
          <w:rFonts w:cs="Arial"/>
        </w:rPr>
        <w:t>. In what is still a reasonably tight labour market, there continue to be opportunities for all Australians to be included in work or training and, while the White Paper outlines progress for some cohorts in the labour market, it is apparent that barriers to participation and inequalities in the labour market persist. Too many groups and communities still face barriers to education and employment or are unable to work the hours they want and need in order to access the full benefits of participation in the labour market.</w:t>
      </w:r>
    </w:p>
    <w:p w14:paraId="571A8E3B" w14:textId="5489342F" w:rsidR="00AC2606" w:rsidRDefault="00FA0026" w:rsidP="00FA0026">
      <w:pPr>
        <w:rPr>
          <w:rFonts w:cs="Arial"/>
        </w:rPr>
      </w:pPr>
      <w:r w:rsidRPr="00FA0026">
        <w:rPr>
          <w:rFonts w:cs="Arial"/>
        </w:rPr>
        <w:t>JSA has a focus on supporting national agendas aimed at enabling people who have traditionally faced barriers, to participate more fully in the labour market, including contributing to the national Closing the Gap targets and outcomes, supporting women’s economic equality and safety, and increasing access for people with disability. In undertaking our work, we actively seek out and include diverse perspectives, including those of First Nations people, people with disability, culturally and linguistically diverse groups, and others who have historically experienced labour market disadvantage and exclusion</w:t>
      </w:r>
      <w:r w:rsidR="00AC2606" w:rsidRPr="00AC0957">
        <w:rPr>
          <w:rFonts w:cs="Arial"/>
        </w:rPr>
        <w:t>.</w:t>
      </w:r>
    </w:p>
    <w:p w14:paraId="2D74F8B8" w14:textId="77777777" w:rsidR="00784BE8" w:rsidRPr="00AC0957" w:rsidRDefault="00784BE8" w:rsidP="00FA0026">
      <w:pPr>
        <w:rPr>
          <w:rFonts w:cs="Arial"/>
        </w:rPr>
      </w:pPr>
    </w:p>
    <w:tbl>
      <w:tblPr>
        <w:tblStyle w:val="TableGrid"/>
        <w:tblW w:w="0" w:type="auto"/>
        <w:tblLook w:val="04A0" w:firstRow="1" w:lastRow="0" w:firstColumn="1" w:lastColumn="0" w:noHBand="0" w:noVBand="1"/>
      </w:tblPr>
      <w:tblGrid>
        <w:gridCol w:w="9016"/>
      </w:tblGrid>
      <w:tr w:rsidR="00E843D9" w14:paraId="2036C207" w14:textId="77777777" w:rsidTr="00B930DD">
        <w:tc>
          <w:tcPr>
            <w:tcW w:w="9016" w:type="dxa"/>
            <w:tcBorders>
              <w:top w:val="nil"/>
              <w:left w:val="nil"/>
              <w:bottom w:val="nil"/>
              <w:right w:val="nil"/>
            </w:tcBorders>
            <w:shd w:val="clear" w:color="auto" w:fill="ECF1BC" w:themeFill="background2" w:themeFillTint="66"/>
          </w:tcPr>
          <w:p w14:paraId="39D52B16" w14:textId="3C53582E" w:rsidR="00E843D9" w:rsidRDefault="00E843D9" w:rsidP="008C1832">
            <w:pPr>
              <w:pStyle w:val="Heading3"/>
            </w:pPr>
            <w:bookmarkStart w:id="56" w:name="_Toc181371562"/>
            <w:r w:rsidRPr="00A4657D">
              <w:t>Jobs and Skills Councils</w:t>
            </w:r>
            <w:r>
              <w:t xml:space="preserve"> in focus</w:t>
            </w:r>
            <w:bookmarkEnd w:id="56"/>
          </w:p>
          <w:p w14:paraId="6F4F6BB9" w14:textId="77777777" w:rsidR="00B930DD" w:rsidRDefault="00B930DD" w:rsidP="00B930DD">
            <w:r>
              <w:t xml:space="preserve">Among the publicly available Jobs and Skills Councils workforce plans, many referenced challenges in attracting and retaining diverse workers (including young people, women, First Nations people, people with disability, and people from culturally and linguistically diverse backgrounds). </w:t>
            </w:r>
          </w:p>
          <w:p w14:paraId="1B0B6BE4" w14:textId="226D16CC" w:rsidR="00EC0451" w:rsidRPr="008C1832" w:rsidRDefault="00B930DD" w:rsidP="00B930DD">
            <w:r>
              <w:t xml:space="preserve">Some specific challenges referenced included the under-representation of First Nations people in higher skilled or leadership roles, data limitations that present a barrier to workforce analysis, and known barriers to entry into particular </w:t>
            </w:r>
            <w:r w:rsidRPr="00D33580">
              <w:t>workforces</w:t>
            </w:r>
            <w:r w:rsidR="00CF3454">
              <w:t xml:space="preserve">. </w:t>
            </w:r>
          </w:p>
        </w:tc>
      </w:tr>
    </w:tbl>
    <w:p w14:paraId="47796178" w14:textId="77777777" w:rsidR="00E843D9" w:rsidRPr="00AC0957" w:rsidRDefault="00E843D9" w:rsidP="00AC2606">
      <w:pPr>
        <w:rPr>
          <w:rFonts w:cs="Arial"/>
        </w:rPr>
      </w:pPr>
    </w:p>
    <w:p w14:paraId="30CF48C6" w14:textId="77777777" w:rsidR="00AC2606" w:rsidRPr="00AC0957" w:rsidRDefault="00AC2606" w:rsidP="00AC2606">
      <w:pPr>
        <w:pStyle w:val="Heading3"/>
        <w:rPr>
          <w:rFonts w:cs="Arial"/>
        </w:rPr>
      </w:pPr>
      <w:bookmarkStart w:id="57" w:name="_Toc179887368"/>
      <w:bookmarkStart w:id="58" w:name="_Toc181371563"/>
      <w:r w:rsidRPr="00AC0957">
        <w:rPr>
          <w:rFonts w:cs="Arial"/>
        </w:rPr>
        <w:t>Supporting First Nations workers</w:t>
      </w:r>
      <w:bookmarkEnd w:id="57"/>
      <w:bookmarkEnd w:id="58"/>
    </w:p>
    <w:p w14:paraId="7C549EBF" w14:textId="77777777" w:rsidR="00E55F02" w:rsidRPr="00E55F02" w:rsidRDefault="00E55F02" w:rsidP="00E55F02">
      <w:pPr>
        <w:rPr>
          <w:rFonts w:cs="Arial"/>
        </w:rPr>
      </w:pPr>
      <w:r w:rsidRPr="00E55F02">
        <w:rPr>
          <w:rFonts w:cs="Arial"/>
        </w:rPr>
        <w:t>First Nations people make important contributions to Australia’s workforce and economic development, and drive innovation and provide leadership in many sectors. However, gaps continue to exist in education and employment outcomes for First Nations people at the population level, and barriers to participation in work and study persist.</w:t>
      </w:r>
    </w:p>
    <w:p w14:paraId="555B09A2" w14:textId="45F1966B" w:rsidR="00E55F02" w:rsidRPr="00E55F02" w:rsidRDefault="00E55F02" w:rsidP="00E55F02">
      <w:pPr>
        <w:rPr>
          <w:rFonts w:cs="Arial"/>
        </w:rPr>
      </w:pPr>
      <w:r w:rsidRPr="00E55F02">
        <w:rPr>
          <w:rFonts w:cs="Arial"/>
        </w:rPr>
        <w:t>All Australian governments are working together in partnership with First Nations people and their communities and organisations to implement the National Agreement on Closing the Gap</w:t>
      </w:r>
      <w:sdt>
        <w:sdtPr>
          <w:rPr>
            <w:rFonts w:cs="Arial"/>
          </w:rPr>
          <w:id w:val="861483626"/>
          <w:citation/>
        </w:sdtPr>
        <w:sdtEndPr/>
        <w:sdtContent>
          <w:r w:rsidR="0096657B">
            <w:rPr>
              <w:rFonts w:cs="Arial"/>
            </w:rPr>
            <w:fldChar w:fldCharType="begin"/>
          </w:r>
          <w:r w:rsidR="0096657B">
            <w:rPr>
              <w:rFonts w:cs="Arial"/>
            </w:rPr>
            <w:instrText xml:space="preserve"> CITATION Aus \l 3081 </w:instrText>
          </w:r>
          <w:r w:rsidR="0096657B">
            <w:rPr>
              <w:rFonts w:cs="Arial"/>
            </w:rPr>
            <w:fldChar w:fldCharType="separate"/>
          </w:r>
          <w:r w:rsidR="00CA3587">
            <w:rPr>
              <w:rFonts w:cs="Arial"/>
              <w:noProof/>
            </w:rPr>
            <w:t xml:space="preserve"> </w:t>
          </w:r>
          <w:r w:rsidR="00CA3587" w:rsidRPr="00CA3587">
            <w:rPr>
              <w:rFonts w:cs="Arial"/>
              <w:noProof/>
            </w:rPr>
            <w:t>(Commonwealth of Australia, Department of the Prime Minister and Cabinet, 2024a)</w:t>
          </w:r>
          <w:r w:rsidR="0096657B">
            <w:rPr>
              <w:rFonts w:cs="Arial"/>
            </w:rPr>
            <w:fldChar w:fldCharType="end"/>
          </w:r>
        </w:sdtContent>
      </w:sdt>
      <w:r w:rsidRPr="00E55F02">
        <w:rPr>
          <w:rFonts w:cs="Arial"/>
        </w:rPr>
        <w:t>.</w:t>
      </w:r>
    </w:p>
    <w:p w14:paraId="208D7C9F" w14:textId="77777777" w:rsidR="00E55F02" w:rsidRPr="00E55F02" w:rsidRDefault="00E55F02" w:rsidP="00E55F02">
      <w:pPr>
        <w:rPr>
          <w:rFonts w:cs="Arial"/>
        </w:rPr>
      </w:pPr>
      <w:r w:rsidRPr="00E55F02">
        <w:rPr>
          <w:rFonts w:cs="Arial"/>
        </w:rPr>
        <w:t xml:space="preserve">The </w:t>
      </w:r>
      <w:r w:rsidRPr="00447E8A">
        <w:rPr>
          <w:rFonts w:cs="Arial"/>
          <w:i/>
          <w:iCs/>
        </w:rPr>
        <w:t>Closing the Gap Annual Data Compilation Report July 2023</w:t>
      </w:r>
      <w:r w:rsidRPr="00E55F02">
        <w:rPr>
          <w:rFonts w:cs="Arial"/>
        </w:rPr>
        <w:t xml:space="preserve"> noted mixed progress overall, but good improvement against target 8: </w:t>
      </w:r>
      <w:r w:rsidRPr="004371F3">
        <w:rPr>
          <w:rFonts w:cs="Arial"/>
          <w:i/>
          <w:iCs/>
        </w:rPr>
        <w:t>By 2031, increase the proportion of Aboriginal and Torres Strait Islander people aged 25–64 who are employed to 62 per cent</w:t>
      </w:r>
      <w:r w:rsidRPr="00E55F02">
        <w:rPr>
          <w:rFonts w:cs="Arial"/>
        </w:rPr>
        <w:t>:</w:t>
      </w:r>
    </w:p>
    <w:p w14:paraId="6EF2A165" w14:textId="3EACBCB5" w:rsidR="00E55F02" w:rsidRPr="00E55F02" w:rsidRDefault="00E55F02" w:rsidP="00E55F02">
      <w:pPr>
        <w:pStyle w:val="Quote"/>
      </w:pPr>
      <w:r w:rsidRPr="00E55F02">
        <w:t xml:space="preserve">Nationally in 2021, 55.7% of Aboriginal and Torres Strait Islander people aged 25–64 years were employed, an increase from 51.0% in 2016 (the baseline year). This is a good improvement with the national target of 62% on track to be met </w:t>
      </w:r>
      <w:sdt>
        <w:sdtPr>
          <w:id w:val="90896752"/>
          <w:citation/>
        </w:sdtPr>
        <w:sdtEndPr/>
        <w:sdtContent>
          <w:r w:rsidR="004371F3">
            <w:fldChar w:fldCharType="begin"/>
          </w:r>
          <w:r w:rsidR="004371F3">
            <w:instrText xml:space="preserve">CITATION Com23 \t  \l 3081 </w:instrText>
          </w:r>
          <w:r w:rsidR="004371F3">
            <w:fldChar w:fldCharType="separate"/>
          </w:r>
          <w:r w:rsidR="00CA3587">
            <w:rPr>
              <w:noProof/>
            </w:rPr>
            <w:t>(Productivity Commission, 2023)</w:t>
          </w:r>
          <w:r w:rsidR="004371F3">
            <w:fldChar w:fldCharType="end"/>
          </w:r>
        </w:sdtContent>
      </w:sdt>
      <w:r w:rsidRPr="00E55F02">
        <w:t>.</w:t>
      </w:r>
    </w:p>
    <w:p w14:paraId="252992F1" w14:textId="1E587A25" w:rsidR="00AC2606" w:rsidRPr="00AC0957" w:rsidRDefault="00E55F02" w:rsidP="00E55F02">
      <w:pPr>
        <w:rPr>
          <w:rFonts w:cs="Arial"/>
        </w:rPr>
      </w:pPr>
      <w:r w:rsidRPr="00E55F02">
        <w:rPr>
          <w:rFonts w:cs="Arial"/>
        </w:rPr>
        <w:t xml:space="preserve">The report also notes that the gap to non-Indigenous people has narrowed, implying that improvements in First Nations employment rates are due to more than beneficial economic conditions resulting in higher employment levels overall </w:t>
      </w:r>
      <w:sdt>
        <w:sdtPr>
          <w:rPr>
            <w:rFonts w:cs="Arial"/>
          </w:rPr>
          <w:id w:val="1990283496"/>
          <w:citation/>
        </w:sdtPr>
        <w:sdtEndPr/>
        <w:sdtContent>
          <w:r w:rsidR="000D7A7D">
            <w:rPr>
              <w:rFonts w:cs="Arial"/>
            </w:rPr>
            <w:fldChar w:fldCharType="begin"/>
          </w:r>
          <w:r w:rsidR="000D7A7D">
            <w:rPr>
              <w:rFonts w:cs="Arial"/>
            </w:rPr>
            <w:instrText xml:space="preserve">CITATION Com23 \t  \l 3081 </w:instrText>
          </w:r>
          <w:r w:rsidR="000D7A7D">
            <w:rPr>
              <w:rFonts w:cs="Arial"/>
            </w:rPr>
            <w:fldChar w:fldCharType="separate"/>
          </w:r>
          <w:r w:rsidR="00CA3587" w:rsidRPr="00CA3587">
            <w:rPr>
              <w:rFonts w:cs="Arial"/>
              <w:noProof/>
            </w:rPr>
            <w:t>(Productivity Commission, 2023)</w:t>
          </w:r>
          <w:r w:rsidR="000D7A7D">
            <w:rPr>
              <w:rFonts w:cs="Arial"/>
            </w:rPr>
            <w:fldChar w:fldCharType="end"/>
          </w:r>
        </w:sdtContent>
      </w:sdt>
      <w:r w:rsidRPr="00E55F02">
        <w:rPr>
          <w:rFonts w:cs="Arial"/>
        </w:rPr>
        <w:t>. This analysis was based on 2021 data, and there was no new data available for this target in the 2024 Annual Data Compilation Report. The 2024 report did note, however, that progress is reported at a national level, so may not reflect the diverse and individual experiences of all Aboriginal and Torres Strait Islander people and communities. Factors such as living with disability or living in a remote area can impact outcomes, for example, and disaggregation of the data could provide more insights into the outcomes and experiences of different groups and regions</w:t>
      </w:r>
      <w:r w:rsidR="000D7A7D">
        <w:rPr>
          <w:rFonts w:cs="Arial"/>
        </w:rPr>
        <w:t xml:space="preserve"> </w:t>
      </w:r>
      <w:sdt>
        <w:sdtPr>
          <w:rPr>
            <w:rFonts w:cs="Arial"/>
          </w:rPr>
          <w:id w:val="406734984"/>
          <w:citation/>
        </w:sdtPr>
        <w:sdtEndPr/>
        <w:sdtContent>
          <w:r w:rsidR="000D7A7D">
            <w:rPr>
              <w:rFonts w:cs="Arial"/>
            </w:rPr>
            <w:fldChar w:fldCharType="begin"/>
          </w:r>
          <w:r w:rsidR="00934658">
            <w:rPr>
              <w:rFonts w:cs="Arial"/>
            </w:rPr>
            <w:instrText xml:space="preserve">CITATION Pro24 \t  \l 3081 </w:instrText>
          </w:r>
          <w:r w:rsidR="000D7A7D">
            <w:rPr>
              <w:rFonts w:cs="Arial"/>
            </w:rPr>
            <w:fldChar w:fldCharType="separate"/>
          </w:r>
          <w:r w:rsidR="00934658" w:rsidRPr="00934658">
            <w:rPr>
              <w:rFonts w:cs="Arial"/>
              <w:noProof/>
            </w:rPr>
            <w:t>(Productivity Commission, 2024a)</w:t>
          </w:r>
          <w:r w:rsidR="000D7A7D">
            <w:rPr>
              <w:rFonts w:cs="Arial"/>
            </w:rPr>
            <w:fldChar w:fldCharType="end"/>
          </w:r>
        </w:sdtContent>
      </w:sdt>
      <w:r w:rsidR="00AC2606" w:rsidRPr="00AC0957">
        <w:rPr>
          <w:rFonts w:cs="Arial"/>
        </w:rPr>
        <w:t>.</w:t>
      </w:r>
    </w:p>
    <w:p w14:paraId="46F6F840" w14:textId="77777777" w:rsidR="00AC2606" w:rsidRPr="00AC0957" w:rsidRDefault="00AC2606" w:rsidP="00EA4A1A">
      <w:pPr>
        <w:pStyle w:val="Heading4"/>
        <w:keepNext/>
      </w:pPr>
      <w:r w:rsidRPr="00AC0957">
        <w:t>Employment skill level for First Nations workers</w:t>
      </w:r>
    </w:p>
    <w:p w14:paraId="0B9E7AC8" w14:textId="56A6966D" w:rsidR="00AC2606" w:rsidRPr="00AC0957" w:rsidRDefault="003066F2" w:rsidP="00EA4A1A">
      <w:pPr>
        <w:keepLines/>
        <w:rPr>
          <w:rFonts w:cs="Arial"/>
        </w:rPr>
      </w:pPr>
      <w:r w:rsidRPr="003066F2">
        <w:rPr>
          <w:rFonts w:cs="Arial"/>
        </w:rPr>
        <w:t xml:space="preserve">While there has been clear progress in relation to First Nations employment, and the Closing the Gap target progresses, more work can and must be done to ensure structural barriers to employment and participation are removed. As outlined in </w:t>
      </w:r>
      <w:r>
        <w:rPr>
          <w:rFonts w:cs="Arial"/>
        </w:rPr>
        <w:fldChar w:fldCharType="begin"/>
      </w:r>
      <w:r>
        <w:rPr>
          <w:rFonts w:cs="Arial"/>
        </w:rPr>
        <w:instrText xml:space="preserve"> REF _Ref179895403 \h </w:instrText>
      </w:r>
      <w:r>
        <w:rPr>
          <w:rFonts w:cs="Arial"/>
        </w:rPr>
      </w:r>
      <w:r>
        <w:rPr>
          <w:rFonts w:cs="Arial"/>
        </w:rPr>
        <w:fldChar w:fldCharType="separate"/>
      </w:r>
      <w:r w:rsidR="00C47A81">
        <w:t xml:space="preserve">Figure </w:t>
      </w:r>
      <w:r w:rsidR="00C47A81">
        <w:rPr>
          <w:noProof/>
        </w:rPr>
        <w:t>12</w:t>
      </w:r>
      <w:r>
        <w:rPr>
          <w:rFonts w:cs="Arial"/>
        </w:rPr>
        <w:fldChar w:fldCharType="end"/>
      </w:r>
      <w:r w:rsidRPr="003066F2">
        <w:rPr>
          <w:rFonts w:cs="Arial"/>
        </w:rPr>
        <w:t>, JSA Analysis shows that First Nations workers account for a lower share of higher-skilled occupations and a larger share of lower-skilled occupations</w:t>
      </w:r>
      <w:r w:rsidR="00AC2606" w:rsidRPr="00AC0957">
        <w:rPr>
          <w:rFonts w:cs="Arial"/>
        </w:rPr>
        <w:t>.</w:t>
      </w:r>
    </w:p>
    <w:p w14:paraId="59D901BA" w14:textId="1FF4CD5E" w:rsidR="00AC2606" w:rsidRPr="00AC0957" w:rsidRDefault="00F52D08" w:rsidP="00F52D08">
      <w:pPr>
        <w:pStyle w:val="Caption"/>
        <w:rPr>
          <w:rFonts w:cs="Arial"/>
          <w:b w:val="0"/>
          <w:bCs w:val="0"/>
        </w:rPr>
      </w:pPr>
      <w:bookmarkStart w:id="59" w:name="_Ref179895403"/>
      <w:bookmarkStart w:id="60" w:name="_Toc181370314"/>
      <w:r>
        <w:t xml:space="preserve">Figure </w:t>
      </w:r>
      <w:r>
        <w:fldChar w:fldCharType="begin"/>
      </w:r>
      <w:r>
        <w:instrText xml:space="preserve"> SEQ Figure \* ARABIC </w:instrText>
      </w:r>
      <w:r>
        <w:fldChar w:fldCharType="separate"/>
      </w:r>
      <w:r w:rsidR="00C47A81">
        <w:rPr>
          <w:noProof/>
        </w:rPr>
        <w:t>12</w:t>
      </w:r>
      <w:r>
        <w:fldChar w:fldCharType="end"/>
      </w:r>
      <w:bookmarkEnd w:id="59"/>
      <w:r>
        <w:t xml:space="preserve">: </w:t>
      </w:r>
      <w:r w:rsidR="00105216">
        <w:t>Share of First Nations employment</w:t>
      </w:r>
      <w:r w:rsidRPr="00094CD4">
        <w:t xml:space="preserve"> by skill level</w:t>
      </w:r>
      <w:bookmarkEnd w:id="60"/>
    </w:p>
    <w:p w14:paraId="752429D0" w14:textId="0393DCB7" w:rsidR="00AC2606" w:rsidRPr="00321E81" w:rsidRDefault="00C66387" w:rsidP="00321E81">
      <w:r>
        <w:rPr>
          <w:noProof/>
        </w:rPr>
        <w:drawing>
          <wp:inline distT="0" distB="0" distL="0" distR="0" wp14:anchorId="296E6C64" wp14:editId="347C9266">
            <wp:extent cx="5497200" cy="3445200"/>
            <wp:effectExtent l="0" t="0" r="8255" b="3175"/>
            <wp:docPr id="898126294" name="Picture 28" descr="The chart shows the share of First Nations employment by skill level, compared with non-Indigenous employment by skill level. Shows that a lower share of First Nations workers are employed in Skill Level 1 occupations, compared with non-Indigenous workers. A higher share of First Nations workers are employed in Skill Level 5 occupations, compared with non-Indigenous wor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126294" name="Picture 28" descr="The chart shows the share of First Nations employment by skill level, compared with non-Indigenous employment by skill level. Shows that a lower share of First Nations workers are employed in Skill Level 1 occupations, compared with non-Indigenous workers. A higher share of First Nations workers are employed in Skill Level 5 occupations, compared with non-Indigenous worker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97200" cy="3445200"/>
                    </a:xfrm>
                    <a:prstGeom prst="rect">
                      <a:avLst/>
                    </a:prstGeom>
                    <a:noFill/>
                  </pic:spPr>
                </pic:pic>
              </a:graphicData>
            </a:graphic>
          </wp:inline>
        </w:drawing>
      </w:r>
    </w:p>
    <w:p w14:paraId="07650A53" w14:textId="77777777" w:rsidR="00AC2606" w:rsidRDefault="00AC2606" w:rsidP="008C1832">
      <w:pPr>
        <w:pStyle w:val="ChartorTableNote"/>
      </w:pPr>
      <w:r w:rsidRPr="00B032FE">
        <w:t>Source: Census of Population and Housing, 2021, TableBuilder.</w:t>
      </w:r>
      <w:r w:rsidRPr="00B032FE" w:rsidDel="006454C1">
        <w:rPr>
          <w:highlight w:val="yellow"/>
        </w:rPr>
        <w:t xml:space="preserve"> </w:t>
      </w:r>
    </w:p>
    <w:p w14:paraId="5B04C124" w14:textId="6EAC6238" w:rsidR="00D6579F" w:rsidRPr="00B032FE" w:rsidRDefault="003D4B10" w:rsidP="008C1832">
      <w:pPr>
        <w:pStyle w:val="ChartorTableNote"/>
      </w:pPr>
      <w:r>
        <w:t>Note:</w:t>
      </w:r>
      <w:r w:rsidR="00975D9F" w:rsidRPr="00975D9F">
        <w:t xml:space="preserve"> Skill Level 1 relates to bachelor’s degree or higher qualification; Skill Level 2 relates to Advanced Diploma or Diploma; Skill Level 3 relates to Certificate IV or III (including at least 2 years on-the-job training); Skill Level 4 relates to Certificate II or III; Skill Level 5 relates to Certificate I or secondary education.</w:t>
      </w:r>
    </w:p>
    <w:p w14:paraId="4A49CC12" w14:textId="1FA429CC" w:rsidR="00AC2606" w:rsidRPr="00AC0957" w:rsidRDefault="00DD66A4" w:rsidP="00AC2606">
      <w:pPr>
        <w:rPr>
          <w:rFonts w:cs="Arial"/>
        </w:rPr>
      </w:pPr>
      <w:r w:rsidRPr="00DD66A4">
        <w:rPr>
          <w:rFonts w:cs="Arial"/>
        </w:rPr>
        <w:t xml:space="preserve">This may be partly linked to lower levels of educational attainment among First Nations people. It can also be linked to the tendency for First Nations people to live in regional and remote areas which generally have a long history of entrenched labour market disadvantage characterised by persistently high unemployment and limited employment and training opportunities. JSA analysis shows that half (or 52%) of the First Nations working age population reside in regional or remote regions, well above the 22% recorded for all persons. This further highlights the significant, complex, and often interconnected barriers to employment faced by </w:t>
      </w:r>
      <w:r w:rsidRPr="00E5725F">
        <w:rPr>
          <w:rFonts w:cs="Arial"/>
        </w:rPr>
        <w:t>First Nations</w:t>
      </w:r>
      <w:r w:rsidRPr="00DD66A4">
        <w:rPr>
          <w:rFonts w:cs="Arial"/>
        </w:rPr>
        <w:t xml:space="preserve"> people </w:t>
      </w:r>
      <w:sdt>
        <w:sdtPr>
          <w:rPr>
            <w:rFonts w:cs="Arial"/>
          </w:rPr>
          <w:id w:val="-1568641870"/>
          <w:citation/>
        </w:sdtPr>
        <w:sdtEndPr/>
        <w:sdtContent>
          <w:r w:rsidR="005C5D22">
            <w:rPr>
              <w:rFonts w:cs="Arial"/>
            </w:rPr>
            <w:fldChar w:fldCharType="begin"/>
          </w:r>
          <w:r w:rsidR="00934658">
            <w:rPr>
              <w:rFonts w:cs="Arial"/>
            </w:rPr>
            <w:instrText xml:space="preserve">CITATION Job23 \l 3081 </w:instrText>
          </w:r>
          <w:r w:rsidR="005C5D22">
            <w:rPr>
              <w:rFonts w:cs="Arial"/>
            </w:rPr>
            <w:fldChar w:fldCharType="separate"/>
          </w:r>
          <w:r w:rsidR="00934658" w:rsidRPr="00934658">
            <w:rPr>
              <w:rFonts w:cs="Arial"/>
              <w:noProof/>
            </w:rPr>
            <w:t>(Jobs and Skills Australia, 2024a)</w:t>
          </w:r>
          <w:r w:rsidR="005C5D22">
            <w:rPr>
              <w:rFonts w:cs="Arial"/>
            </w:rPr>
            <w:fldChar w:fldCharType="end"/>
          </w:r>
        </w:sdtContent>
      </w:sdt>
      <w:r w:rsidR="00AC2606" w:rsidRPr="00AC0957">
        <w:rPr>
          <w:rFonts w:cs="Arial"/>
        </w:rPr>
        <w:t xml:space="preserve"> </w:t>
      </w:r>
    </w:p>
    <w:p w14:paraId="0C26B80B" w14:textId="77777777" w:rsidR="00AC2606" w:rsidRPr="00AC0957" w:rsidRDefault="00AC2606" w:rsidP="00AC2606">
      <w:pPr>
        <w:pStyle w:val="Heading4"/>
      </w:pPr>
      <w:r w:rsidRPr="00AC0957">
        <w:t>Key findings from JSA’s capacity studies</w:t>
      </w:r>
    </w:p>
    <w:p w14:paraId="446F27E2" w14:textId="5D5E417C" w:rsidR="00AC2606" w:rsidRPr="00AC0957" w:rsidRDefault="00A724A1" w:rsidP="00AC2606">
      <w:pPr>
        <w:rPr>
          <w:rFonts w:cs="Arial"/>
        </w:rPr>
      </w:pPr>
      <w:r w:rsidRPr="00A724A1">
        <w:rPr>
          <w:rFonts w:cs="Arial"/>
        </w:rPr>
        <w:t xml:space="preserve">First Nations representation is typically lower for the workforces included in our capacity studies as compared to the broader labour force (with the </w:t>
      </w:r>
      <w:r w:rsidR="0056486E">
        <w:rPr>
          <w:rFonts w:cs="Arial"/>
        </w:rPr>
        <w:t>Early Childhood Education and Care (</w:t>
      </w:r>
      <w:r w:rsidRPr="00A724A1">
        <w:rPr>
          <w:rFonts w:cs="Arial"/>
        </w:rPr>
        <w:t>ECEC</w:t>
      </w:r>
      <w:r w:rsidR="0056486E">
        <w:rPr>
          <w:rFonts w:cs="Arial"/>
        </w:rPr>
        <w:t>)</w:t>
      </w:r>
      <w:r w:rsidRPr="00A724A1">
        <w:rPr>
          <w:rFonts w:cs="Arial"/>
        </w:rPr>
        <w:t xml:space="preserve"> workforce an exception). For some workforces, this was also particularly noticeable for more highly skilled and more highly remunerated occupations. Recommendations across the studies relate to increasing the relevance of training pathways for First Nations people, but importantly they also include actions intended to increase the cultural safety and support of First Nations people working in, or impacted by, the sectors.</w:t>
      </w:r>
      <w:r w:rsidR="00AC2606" w:rsidRPr="00AC0957">
        <w:rPr>
          <w:rFonts w:cs="Arial"/>
        </w:rPr>
        <w:t xml:space="preserve"> </w:t>
      </w:r>
    </w:p>
    <w:p w14:paraId="7759D12E" w14:textId="77777777" w:rsidR="00AC2606" w:rsidRPr="00AC0957" w:rsidRDefault="00AC2606" w:rsidP="00AC2606">
      <w:pPr>
        <w:pStyle w:val="Heading5"/>
      </w:pPr>
      <w:r w:rsidRPr="00AC0957">
        <w:t>The Clean Energy Capacity Study</w:t>
      </w:r>
    </w:p>
    <w:p w14:paraId="4BBAC7DF" w14:textId="75B369B5" w:rsidR="00AC2606" w:rsidRPr="00AC0957" w:rsidRDefault="00441E90" w:rsidP="00AC2606">
      <w:pPr>
        <w:rPr>
          <w:rFonts w:cs="Arial"/>
        </w:rPr>
      </w:pPr>
      <w:r w:rsidRPr="00441E90">
        <w:rPr>
          <w:rFonts w:cs="Arial"/>
        </w:rPr>
        <w:t>A smaller proportion of First Nations people work in Australia’s clean energy workforce than the broader labour force. Notably, a higher proportion work in the ‘transitioning segment’ (fossil-fuel related groups which will decline or transform substantially as a result of decarbonisation), including coal mining. An income gap was also observed for First Nations people in the clean energy workforce (</w:t>
      </w:r>
      <w:r w:rsidR="00417770">
        <w:rPr>
          <w:rFonts w:cs="Arial"/>
        </w:rPr>
        <w:fldChar w:fldCharType="begin"/>
      </w:r>
      <w:r w:rsidR="00417770">
        <w:rPr>
          <w:rFonts w:cs="Arial"/>
        </w:rPr>
        <w:instrText xml:space="preserve"> REF _Ref179895419 \h </w:instrText>
      </w:r>
      <w:r w:rsidR="00417770">
        <w:rPr>
          <w:rFonts w:cs="Arial"/>
        </w:rPr>
      </w:r>
      <w:r w:rsidR="00417770">
        <w:rPr>
          <w:rFonts w:cs="Arial"/>
        </w:rPr>
        <w:fldChar w:fldCharType="separate"/>
      </w:r>
      <w:r w:rsidR="00C47A81">
        <w:t xml:space="preserve">Figure </w:t>
      </w:r>
      <w:r w:rsidR="00C47A81">
        <w:rPr>
          <w:noProof/>
        </w:rPr>
        <w:t>13</w:t>
      </w:r>
      <w:r w:rsidR="00417770">
        <w:rPr>
          <w:rFonts w:cs="Arial"/>
        </w:rPr>
        <w:fldChar w:fldCharType="end"/>
      </w:r>
      <w:r w:rsidRPr="00441E90">
        <w:rPr>
          <w:rFonts w:cs="Arial"/>
        </w:rPr>
        <w:t>).</w:t>
      </w:r>
    </w:p>
    <w:p w14:paraId="7E9DC2C0" w14:textId="20EDD1AD" w:rsidR="00F52D08" w:rsidRDefault="00F52D08" w:rsidP="00F52D08">
      <w:pPr>
        <w:pStyle w:val="Caption"/>
      </w:pPr>
      <w:bookmarkStart w:id="61" w:name="_Ref179895419"/>
      <w:bookmarkStart w:id="62" w:name="_Toc181370315"/>
      <w:r>
        <w:t xml:space="preserve">Figure </w:t>
      </w:r>
      <w:r>
        <w:fldChar w:fldCharType="begin"/>
      </w:r>
      <w:r>
        <w:instrText xml:space="preserve"> SEQ Figure \* ARABIC </w:instrText>
      </w:r>
      <w:r>
        <w:fldChar w:fldCharType="separate"/>
      </w:r>
      <w:r w:rsidR="00C47A81">
        <w:rPr>
          <w:noProof/>
        </w:rPr>
        <w:t>13</w:t>
      </w:r>
      <w:r>
        <w:fldChar w:fldCharType="end"/>
      </w:r>
      <w:bookmarkEnd w:id="61"/>
      <w:r>
        <w:t xml:space="preserve">: </w:t>
      </w:r>
      <w:r w:rsidRPr="00872CFE">
        <w:t xml:space="preserve">First Nations </w:t>
      </w:r>
      <w:r w:rsidR="00CB1177">
        <w:t>a</w:t>
      </w:r>
      <w:r w:rsidRPr="00872CFE">
        <w:t xml:space="preserve">verage </w:t>
      </w:r>
      <w:r w:rsidR="00CB1177">
        <w:t>i</w:t>
      </w:r>
      <w:r w:rsidRPr="00872CFE">
        <w:t xml:space="preserve">ncome gap for selected </w:t>
      </w:r>
      <w:r w:rsidR="00CB1177">
        <w:t>c</w:t>
      </w:r>
      <w:r w:rsidRPr="00872CFE">
        <w:t xml:space="preserve">ritical </w:t>
      </w:r>
      <w:r w:rsidR="00CB1177">
        <w:t>o</w:t>
      </w:r>
      <w:r w:rsidRPr="00872CFE">
        <w:t xml:space="preserve">ccupations in the </w:t>
      </w:r>
      <w:r w:rsidR="00CB1177">
        <w:t>c</w:t>
      </w:r>
      <w:r w:rsidRPr="00872CFE">
        <w:t xml:space="preserve">lean </w:t>
      </w:r>
      <w:r w:rsidR="00CB1177">
        <w:t>e</w:t>
      </w:r>
      <w:r w:rsidRPr="00872CFE">
        <w:t xml:space="preserve">nergy </w:t>
      </w:r>
      <w:r w:rsidR="00CB1177">
        <w:t>w</w:t>
      </w:r>
      <w:r w:rsidRPr="00872CFE">
        <w:t>orkforce</w:t>
      </w:r>
      <w:bookmarkEnd w:id="62"/>
    </w:p>
    <w:p w14:paraId="3FC6E010" w14:textId="2B568C35" w:rsidR="00721ACC" w:rsidRDefault="00FA75AE" w:rsidP="00AC2606">
      <w:pPr>
        <w:rPr>
          <w:rFonts w:cs="Arial"/>
        </w:rPr>
      </w:pPr>
      <w:r>
        <w:rPr>
          <w:rFonts w:cs="Arial"/>
          <w:noProof/>
        </w:rPr>
        <w:drawing>
          <wp:inline distT="0" distB="0" distL="0" distR="0" wp14:anchorId="18B50A15" wp14:editId="0543D52E">
            <wp:extent cx="5713200" cy="3200400"/>
            <wp:effectExtent l="0" t="0" r="1905" b="0"/>
            <wp:docPr id="1208649811" name="Picture 29" descr="This chart shows the average income gap for First Nations workers across 6 occupations. The gap is most significant for Airconditioning and Refrigeration Mechanics, both in dollar and percentage terms. The smallest gap is for Electrical Engin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649811" name="Picture 29" descr="This chart shows the average income gap for First Nations workers across 6 occupations. The gap is most significant for Airconditioning and Refrigeration Mechanics, both in dollar and percentage terms. The smallest gap is for Electrical Engineer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13200" cy="3200400"/>
                    </a:xfrm>
                    <a:prstGeom prst="rect">
                      <a:avLst/>
                    </a:prstGeom>
                    <a:noFill/>
                  </pic:spPr>
                </pic:pic>
              </a:graphicData>
            </a:graphic>
          </wp:inline>
        </w:drawing>
      </w:r>
    </w:p>
    <w:p w14:paraId="750493E3" w14:textId="4F6FF38B" w:rsidR="00AC2606" w:rsidRPr="00B032FE" w:rsidRDefault="00AC2606" w:rsidP="00E9253A">
      <w:pPr>
        <w:pStyle w:val="ChartorTableNote"/>
      </w:pPr>
      <w:r w:rsidRPr="00B032FE">
        <w:t xml:space="preserve">Source: </w:t>
      </w:r>
      <w:r w:rsidR="00E9253A" w:rsidRPr="00E9253A">
        <w:t>JSA Clean Energy Capacity Study 2021; ABS Census of Population and Housing</w:t>
      </w:r>
      <w:r w:rsidR="00E9253A" w:rsidRPr="00A0731B">
        <w:t>, 2021.</w:t>
      </w:r>
    </w:p>
    <w:p w14:paraId="4BAA697E" w14:textId="1ADF1FAF" w:rsidR="00AC2606" w:rsidRPr="00AC0957" w:rsidRDefault="00E21B62" w:rsidP="00AC2606">
      <w:pPr>
        <w:rPr>
          <w:rFonts w:cs="Arial"/>
        </w:rPr>
      </w:pPr>
      <w:r w:rsidRPr="00E21B62">
        <w:rPr>
          <w:rFonts w:cs="Arial"/>
        </w:rPr>
        <w:t xml:space="preserve">Growing the number of First Nations tertiary graduates will take time but is critical to ensuring First Nations employment in the clean energy sector does not mimic the trends of the transitioning sector in concentrating First Nations employment at the lower skilled and lower paid operational level of the workforce </w:t>
      </w:r>
      <w:sdt>
        <w:sdtPr>
          <w:rPr>
            <w:rFonts w:cs="Arial"/>
          </w:rPr>
          <w:id w:val="-852415022"/>
          <w:citation/>
        </w:sdtPr>
        <w:sdtEndPr/>
        <w:sdtContent>
          <w:r>
            <w:rPr>
              <w:rFonts w:cs="Arial"/>
            </w:rPr>
            <w:fldChar w:fldCharType="begin"/>
          </w:r>
          <w:r>
            <w:rPr>
              <w:rFonts w:cs="Arial"/>
            </w:rPr>
            <w:instrText xml:space="preserve"> CITATION Bre08 \l 3081 </w:instrText>
          </w:r>
          <w:r>
            <w:rPr>
              <w:rFonts w:cs="Arial"/>
            </w:rPr>
            <w:fldChar w:fldCharType="separate"/>
          </w:r>
          <w:r w:rsidR="00CA3587" w:rsidRPr="00CA3587">
            <w:rPr>
              <w:rFonts w:cs="Arial"/>
              <w:noProof/>
            </w:rPr>
            <w:t>(Brereton &amp; Parmenter, 2008)</w:t>
          </w:r>
          <w:r>
            <w:rPr>
              <w:rFonts w:cs="Arial"/>
            </w:rPr>
            <w:fldChar w:fldCharType="end"/>
          </w:r>
        </w:sdtContent>
      </w:sdt>
      <w:r w:rsidR="00AC2606" w:rsidRPr="00AC0957">
        <w:rPr>
          <w:rFonts w:cs="Arial"/>
        </w:rPr>
        <w:t>.</w:t>
      </w:r>
    </w:p>
    <w:p w14:paraId="5407B0F9" w14:textId="77777777" w:rsidR="00AC2606" w:rsidRPr="00AC0957" w:rsidRDefault="00AC2606" w:rsidP="00AC2606">
      <w:pPr>
        <w:pStyle w:val="Heading5"/>
      </w:pPr>
      <w:r w:rsidRPr="00AC0957">
        <w:t>The ECEC Workforce Capacity Study</w:t>
      </w:r>
    </w:p>
    <w:p w14:paraId="0680B8F4" w14:textId="77777777" w:rsidR="000C61B3" w:rsidRPr="000C61B3" w:rsidRDefault="000C61B3" w:rsidP="000C61B3">
      <w:pPr>
        <w:rPr>
          <w:rFonts w:cs="Arial"/>
        </w:rPr>
      </w:pPr>
      <w:r w:rsidRPr="000C61B3">
        <w:rPr>
          <w:rFonts w:cs="Arial"/>
        </w:rPr>
        <w:t xml:space="preserve">In contrast to the clean energy workforce, a larger proportion of First Nations people are represented in the overall ECEC workforce than in the broader labour force. First Nations people are not as well represented across the more highly remunerated occupations in the sector, however. </w:t>
      </w:r>
    </w:p>
    <w:p w14:paraId="13441CF2" w14:textId="42371014" w:rsidR="000C61B3" w:rsidRPr="000C61B3" w:rsidRDefault="000C61B3" w:rsidP="000C61B3">
      <w:pPr>
        <w:rPr>
          <w:rFonts w:cs="Arial"/>
        </w:rPr>
      </w:pPr>
      <w:r w:rsidRPr="000C61B3">
        <w:rPr>
          <w:rFonts w:cs="Arial"/>
        </w:rPr>
        <w:t xml:space="preserve">First Nations children have a lower ECEC participation rate compared to non-Indigenous children (about 50% of 0-5 year old First Nations </w:t>
      </w:r>
      <w:r w:rsidR="00CE2B9F">
        <w:rPr>
          <w:rFonts w:cs="Arial"/>
        </w:rPr>
        <w:t xml:space="preserve">children </w:t>
      </w:r>
      <w:r w:rsidRPr="000C61B3">
        <w:rPr>
          <w:rFonts w:cs="Arial"/>
        </w:rPr>
        <w:t xml:space="preserve">attended ECEC in 2022 as compared to 60% of all children) </w:t>
      </w:r>
      <w:sdt>
        <w:sdtPr>
          <w:rPr>
            <w:rFonts w:cs="Arial"/>
          </w:rPr>
          <w:id w:val="585116229"/>
          <w:citation/>
        </w:sdtPr>
        <w:sdtEndPr/>
        <w:sdtContent>
          <w:r>
            <w:rPr>
              <w:rFonts w:cs="Arial"/>
            </w:rPr>
            <w:fldChar w:fldCharType="begin"/>
          </w:r>
          <w:r>
            <w:rPr>
              <w:rFonts w:cs="Arial"/>
            </w:rPr>
            <w:instrText xml:space="preserve"> CITATION Com3b \l 3081 </w:instrText>
          </w:r>
          <w:r>
            <w:rPr>
              <w:rFonts w:cs="Arial"/>
            </w:rPr>
            <w:fldChar w:fldCharType="separate"/>
          </w:r>
          <w:r w:rsidR="00CA3587" w:rsidRPr="00CA3587">
            <w:rPr>
              <w:rFonts w:cs="Arial"/>
              <w:noProof/>
            </w:rPr>
            <w:t>(Commonwealth of Australia, Australian Competition and Consumer Commission, 2023b)</w:t>
          </w:r>
          <w:r>
            <w:rPr>
              <w:rFonts w:cs="Arial"/>
            </w:rPr>
            <w:fldChar w:fldCharType="end"/>
          </w:r>
        </w:sdtContent>
      </w:sdt>
      <w:r w:rsidRPr="000C61B3">
        <w:rPr>
          <w:rFonts w:cs="Arial"/>
        </w:rPr>
        <w:t xml:space="preserve">. Evidence suggests that critical factors for promoting the participation of First Nations children in ECEC services are the presence of culturally inclusive ECEC and the presence of First Nations educators </w:t>
      </w:r>
      <w:sdt>
        <w:sdtPr>
          <w:rPr>
            <w:rFonts w:cs="Arial"/>
          </w:rPr>
          <w:id w:val="-1491404634"/>
          <w:citation/>
        </w:sdtPr>
        <w:sdtEndPr/>
        <w:sdtContent>
          <w:r>
            <w:rPr>
              <w:rFonts w:cs="Arial"/>
            </w:rPr>
            <w:fldChar w:fldCharType="begin"/>
          </w:r>
          <w:r w:rsidR="00312B3B">
            <w:rPr>
              <w:rFonts w:cs="Arial"/>
            </w:rPr>
            <w:instrText xml:space="preserve">CITATION Bid07 \l 3081 </w:instrText>
          </w:r>
          <w:r>
            <w:rPr>
              <w:rFonts w:cs="Arial"/>
            </w:rPr>
            <w:fldChar w:fldCharType="separate"/>
          </w:r>
          <w:r w:rsidR="00CA3587" w:rsidRPr="00CA3587">
            <w:rPr>
              <w:rFonts w:cs="Arial"/>
              <w:noProof/>
            </w:rPr>
            <w:t>(Biddle, 2007)</w:t>
          </w:r>
          <w:r>
            <w:rPr>
              <w:rFonts w:cs="Arial"/>
            </w:rPr>
            <w:fldChar w:fldCharType="end"/>
          </w:r>
        </w:sdtContent>
      </w:sdt>
      <w:r w:rsidRPr="000C61B3">
        <w:rPr>
          <w:rFonts w:cs="Arial"/>
        </w:rPr>
        <w:t xml:space="preserve">. </w:t>
      </w:r>
    </w:p>
    <w:p w14:paraId="37171B26" w14:textId="77777777" w:rsidR="000C61B3" w:rsidRPr="000C61B3" w:rsidRDefault="000C61B3" w:rsidP="000C61B3">
      <w:pPr>
        <w:rPr>
          <w:rFonts w:cs="Arial"/>
        </w:rPr>
      </w:pPr>
      <w:r w:rsidRPr="000C61B3">
        <w:rPr>
          <w:rFonts w:cs="Arial"/>
        </w:rPr>
        <w:t xml:space="preserve">While there are a number of Aboriginal Community Controlled Organisations (ACCO) involved in the delivery of ECEC, well-supported, culturally safe opportunities for First Nations ECEC staff in non ACCO settings are less embedded in the ECEC sector and these opportunities should be assured. </w:t>
      </w:r>
    </w:p>
    <w:p w14:paraId="36929FE1" w14:textId="0B8D8495" w:rsidR="00AC2606" w:rsidRPr="00AC0957" w:rsidRDefault="000C61B3" w:rsidP="000C61B3">
      <w:pPr>
        <w:rPr>
          <w:rFonts w:cs="Arial"/>
        </w:rPr>
      </w:pPr>
      <w:r w:rsidRPr="000C61B3">
        <w:rPr>
          <w:rFonts w:cs="Arial"/>
        </w:rPr>
        <w:t>The study recommended that Education Ministers should incentivise and include an explicit focus on Aboriginal and Torres Strait Islander Workforce both within ACCOs and across mainstream services and investigate sustainable funding for ACCOs. It also recommended that governments should formalise a process for ensuring the ECEC sector is given adequate guidance from First Nations peak bodies and representatives on strategies to promote the employment, cultural safety and support of First Nations people working in the sector.</w:t>
      </w:r>
    </w:p>
    <w:p w14:paraId="320C4212" w14:textId="77777777" w:rsidR="00AC2606" w:rsidRPr="00AC0957" w:rsidRDefault="00AC2606" w:rsidP="008C1832">
      <w:pPr>
        <w:pStyle w:val="Heading5"/>
        <w:keepNext/>
      </w:pPr>
      <w:r w:rsidRPr="00AC0957">
        <w:t>The Food Supply Chain Workforce Capacity Study</w:t>
      </w:r>
    </w:p>
    <w:p w14:paraId="18F9D510" w14:textId="77777777" w:rsidR="00855BC0" w:rsidRPr="00855BC0" w:rsidRDefault="00855BC0" w:rsidP="00855BC0">
      <w:pPr>
        <w:rPr>
          <w:rFonts w:cs="Arial"/>
        </w:rPr>
      </w:pPr>
      <w:r w:rsidRPr="00855BC0">
        <w:rPr>
          <w:rFonts w:cs="Arial"/>
        </w:rPr>
        <w:t>First Nations employment is low across the food supply chain, particularly in skilled positions and senior level roles. The capacity study recommended potential actions that could assist by improving the relevance of tertiary education and training pathways for First Nations students including:</w:t>
      </w:r>
    </w:p>
    <w:p w14:paraId="436F7ABD" w14:textId="576E20EB" w:rsidR="00855BC0" w:rsidRPr="00855BC0" w:rsidRDefault="00855BC0" w:rsidP="00855BC0">
      <w:pPr>
        <w:pStyle w:val="ListBullet"/>
      </w:pPr>
      <w:r w:rsidRPr="00855BC0">
        <w:t>financial support that includes industry funding for a First Nations scholarship in agricultural science, aquaculture sciences, or business</w:t>
      </w:r>
    </w:p>
    <w:p w14:paraId="26C479C8" w14:textId="551BA2FA" w:rsidR="00855BC0" w:rsidRPr="00855BC0" w:rsidRDefault="00855BC0" w:rsidP="00855BC0">
      <w:pPr>
        <w:pStyle w:val="ListBullet"/>
      </w:pPr>
      <w:r w:rsidRPr="00855BC0">
        <w:t>the delivery of on-Country training programs for First Nations people that facilitate flexible career pathways</w:t>
      </w:r>
    </w:p>
    <w:p w14:paraId="5A80AE51" w14:textId="7A7363D0" w:rsidR="00855BC0" w:rsidRPr="00855BC0" w:rsidRDefault="00855BC0" w:rsidP="00855BC0">
      <w:pPr>
        <w:pStyle w:val="ListBullet"/>
      </w:pPr>
      <w:r w:rsidRPr="00855BC0">
        <w:t>supporting culturally inclusive learning, including recognition of First Nations people’</w:t>
      </w:r>
      <w:r w:rsidR="00381C7A">
        <w:t>s</w:t>
      </w:r>
      <w:r w:rsidRPr="00855BC0">
        <w:t xml:space="preserve"> historical and continued contribution to agriculture and land management.</w:t>
      </w:r>
    </w:p>
    <w:p w14:paraId="15AC5044" w14:textId="056A6725" w:rsidR="00855BC0" w:rsidRPr="00855BC0" w:rsidRDefault="00855BC0" w:rsidP="00855BC0">
      <w:pPr>
        <w:rPr>
          <w:rFonts w:cs="Arial"/>
        </w:rPr>
      </w:pPr>
      <w:r w:rsidRPr="00855BC0">
        <w:rPr>
          <w:rFonts w:cs="Arial"/>
        </w:rPr>
        <w:t>These recommendations alone, however, will not be enough to overcome the social and structural barriers still faced by First Nations people in Australia today. Meaningful inclusion of First Nations people in food supply chain sectors will need to include eliminating racism across industries, enhancing cultural awareness and safety in the workplace and wider recognition of traditional and cultural knowledges and practices. It will also require more First Nations involvement as employers, leaders and investors in the industry.</w:t>
      </w:r>
    </w:p>
    <w:p w14:paraId="339E248D" w14:textId="4AA737BC" w:rsidR="00AC2606" w:rsidRPr="00AC0957" w:rsidRDefault="00855BC0" w:rsidP="00855BC0">
      <w:pPr>
        <w:rPr>
          <w:rFonts w:cs="Arial"/>
        </w:rPr>
      </w:pPr>
      <w:r w:rsidRPr="00855BC0">
        <w:rPr>
          <w:rFonts w:cs="Arial"/>
        </w:rPr>
        <w:t xml:space="preserve">Findings from the VET workforce study relevant to outcomes for First Nations people have been included as part of </w:t>
      </w:r>
      <w:r w:rsidR="00B252B0">
        <w:rPr>
          <w:rFonts w:cs="Arial"/>
        </w:rPr>
        <w:t>c</w:t>
      </w:r>
      <w:r w:rsidRPr="003D6A63">
        <w:rPr>
          <w:rFonts w:cs="Arial"/>
        </w:rPr>
        <w:t>hapter 4</w:t>
      </w:r>
      <w:r w:rsidR="00AC2606" w:rsidRPr="003D6A63">
        <w:rPr>
          <w:rFonts w:cs="Arial"/>
        </w:rPr>
        <w:t>.</w:t>
      </w:r>
      <w:r w:rsidR="00AC2606" w:rsidRPr="00AC0957">
        <w:rPr>
          <w:rFonts w:cs="Arial"/>
        </w:rPr>
        <w:t xml:space="preserve"> </w:t>
      </w:r>
    </w:p>
    <w:p w14:paraId="54ECF1B0" w14:textId="77777777" w:rsidR="00AC2606" w:rsidRPr="00AC0957" w:rsidRDefault="00AC2606" w:rsidP="00AC2606">
      <w:pPr>
        <w:pStyle w:val="Heading3"/>
        <w:rPr>
          <w:rFonts w:cs="Arial"/>
        </w:rPr>
      </w:pPr>
      <w:bookmarkStart w:id="63" w:name="_Toc179887369"/>
      <w:bookmarkStart w:id="64" w:name="_Toc181371564"/>
      <w:r w:rsidRPr="00AC0957">
        <w:rPr>
          <w:rFonts w:cs="Arial"/>
        </w:rPr>
        <w:t>Gender equality in the labour market</w:t>
      </w:r>
      <w:bookmarkEnd w:id="63"/>
      <w:bookmarkEnd w:id="64"/>
    </w:p>
    <w:p w14:paraId="2100DD2F" w14:textId="1C21B7D7" w:rsidR="00AC2606" w:rsidRPr="00AC0957" w:rsidRDefault="00DB0925" w:rsidP="00AC2606">
      <w:pPr>
        <w:rPr>
          <w:rFonts w:cs="Arial"/>
          <w:lang w:val="en-US"/>
        </w:rPr>
      </w:pPr>
      <w:r w:rsidRPr="00DB0925">
        <w:rPr>
          <w:rFonts w:cs="Arial"/>
          <w:lang w:val="en-US"/>
        </w:rPr>
        <w:t>Women are participating in the labour market at higher rates than ever before</w:t>
      </w:r>
      <w:r w:rsidR="00B252B0">
        <w:rPr>
          <w:rFonts w:cs="Arial"/>
          <w:lang w:val="en-US"/>
        </w:rPr>
        <w:t>. T</w:t>
      </w:r>
      <w:r w:rsidRPr="00DB0925">
        <w:rPr>
          <w:rFonts w:cs="Arial"/>
          <w:lang w:val="en-US"/>
        </w:rPr>
        <w:t xml:space="preserve">he gap between men’s and women’s labour force participation has been narrowing over time as outlined under the exploration of full inclusive employment. While this reflects that barriers to women’s labour force participation may have reduced over time, there is more work to do in closing the participation gap which remains at more than 8 percentage points </w:t>
      </w:r>
      <w:sdt>
        <w:sdtPr>
          <w:rPr>
            <w:rFonts w:cs="Arial"/>
            <w:lang w:val="en-US"/>
          </w:rPr>
          <w:id w:val="-2028782212"/>
          <w:citation/>
        </w:sdtPr>
        <w:sdtEndPr/>
        <w:sdtContent>
          <w:r>
            <w:rPr>
              <w:rFonts w:cs="Arial"/>
              <w:lang w:val="en-US"/>
            </w:rPr>
            <w:fldChar w:fldCharType="begin"/>
          </w:r>
          <w:r>
            <w:rPr>
              <w:rFonts w:cs="Arial"/>
            </w:rPr>
            <w:instrText xml:space="preserve">CITATION Aus23 \t  \l 3081 </w:instrText>
          </w:r>
          <w:r>
            <w:rPr>
              <w:rFonts w:cs="Arial"/>
              <w:lang w:val="en-US"/>
            </w:rPr>
            <w:fldChar w:fldCharType="separate"/>
          </w:r>
          <w:r w:rsidR="00CA3587" w:rsidRPr="00CA3587">
            <w:rPr>
              <w:rFonts w:cs="Arial"/>
              <w:noProof/>
            </w:rPr>
            <w:t>(Commonwealth of Australia, 2023a)</w:t>
          </w:r>
          <w:r>
            <w:rPr>
              <w:rFonts w:cs="Arial"/>
              <w:lang w:val="en-US"/>
            </w:rPr>
            <w:fldChar w:fldCharType="end"/>
          </w:r>
        </w:sdtContent>
      </w:sdt>
      <w:r w:rsidR="00AC2606" w:rsidRPr="00AC0957">
        <w:rPr>
          <w:rFonts w:cs="Arial"/>
          <w:lang w:val="en-US"/>
        </w:rPr>
        <w:t>.</w:t>
      </w:r>
    </w:p>
    <w:p w14:paraId="39320B4C" w14:textId="77777777" w:rsidR="00AC2606" w:rsidRPr="00AC0957" w:rsidRDefault="00AC2606" w:rsidP="00AC2606">
      <w:pPr>
        <w:pStyle w:val="Heading4"/>
        <w:rPr>
          <w:lang w:val="en-US"/>
        </w:rPr>
      </w:pPr>
      <w:r w:rsidRPr="00AC0957">
        <w:rPr>
          <w:lang w:val="en-US"/>
        </w:rPr>
        <w:t>Female part-time employment</w:t>
      </w:r>
    </w:p>
    <w:p w14:paraId="4FE8376D" w14:textId="3817C721" w:rsidR="00AC2606" w:rsidRPr="00AC0957" w:rsidRDefault="00B27352" w:rsidP="00AC2606">
      <w:pPr>
        <w:rPr>
          <w:rFonts w:cs="Arial"/>
          <w:lang w:val="en-US"/>
        </w:rPr>
      </w:pPr>
      <w:r w:rsidRPr="00B27352">
        <w:rPr>
          <w:rFonts w:cs="Arial"/>
          <w:lang w:val="en-US"/>
        </w:rPr>
        <w:t xml:space="preserve">Part-time employment is still more common for female than male workers, and this is prevalent across occupations, skill levels, and industries </w:t>
      </w:r>
      <w:r>
        <w:rPr>
          <w:rFonts w:cs="Arial"/>
          <w:lang w:val="en-US"/>
        </w:rPr>
        <w:t>(</w:t>
      </w:r>
      <w:r>
        <w:rPr>
          <w:rFonts w:cs="Arial"/>
          <w:lang w:val="en-US"/>
        </w:rPr>
        <w:fldChar w:fldCharType="begin"/>
      </w:r>
      <w:r>
        <w:rPr>
          <w:rFonts w:cs="Arial"/>
          <w:lang w:val="en-US"/>
        </w:rPr>
        <w:instrText xml:space="preserve"> REF _Ref179895436 \h </w:instrText>
      </w:r>
      <w:r>
        <w:rPr>
          <w:rFonts w:cs="Arial"/>
          <w:lang w:val="en-US"/>
        </w:rPr>
      </w:r>
      <w:r>
        <w:rPr>
          <w:rFonts w:cs="Arial"/>
          <w:lang w:val="en-US"/>
        </w:rPr>
        <w:fldChar w:fldCharType="separate"/>
      </w:r>
      <w:r w:rsidR="00C47A81">
        <w:t xml:space="preserve">Figure </w:t>
      </w:r>
      <w:r w:rsidR="00C47A81">
        <w:rPr>
          <w:noProof/>
        </w:rPr>
        <w:t>14</w:t>
      </w:r>
      <w:r>
        <w:rPr>
          <w:rFonts w:cs="Arial"/>
          <w:lang w:val="en-US"/>
        </w:rPr>
        <w:fldChar w:fldCharType="end"/>
      </w:r>
      <w:r>
        <w:rPr>
          <w:rFonts w:cs="Arial"/>
          <w:lang w:val="en-US"/>
        </w:rPr>
        <w:t>)</w:t>
      </w:r>
      <w:r w:rsidRPr="00B27352">
        <w:rPr>
          <w:rFonts w:cs="Arial"/>
          <w:lang w:val="en-US"/>
        </w:rPr>
        <w:t>.</w:t>
      </w:r>
      <w:r w:rsidR="00AC2606" w:rsidRPr="00AC0957">
        <w:rPr>
          <w:rFonts w:cs="Arial"/>
          <w:lang w:val="en-US"/>
        </w:rPr>
        <w:t xml:space="preserve"> </w:t>
      </w:r>
    </w:p>
    <w:p w14:paraId="0284FCD1" w14:textId="5ABA7FE5" w:rsidR="00F52D08" w:rsidRDefault="00F52D08" w:rsidP="00F52D08">
      <w:pPr>
        <w:pStyle w:val="Caption"/>
      </w:pPr>
      <w:bookmarkStart w:id="65" w:name="_Ref179895436"/>
      <w:bookmarkStart w:id="66" w:name="_Toc181370316"/>
      <w:r>
        <w:t xml:space="preserve">Figure </w:t>
      </w:r>
      <w:r>
        <w:fldChar w:fldCharType="begin"/>
      </w:r>
      <w:r>
        <w:instrText xml:space="preserve"> SEQ Figure \* ARABIC </w:instrText>
      </w:r>
      <w:r>
        <w:fldChar w:fldCharType="separate"/>
      </w:r>
      <w:r w:rsidR="00C47A81">
        <w:rPr>
          <w:noProof/>
        </w:rPr>
        <w:t>14</w:t>
      </w:r>
      <w:r>
        <w:fldChar w:fldCharType="end"/>
      </w:r>
      <w:bookmarkEnd w:id="65"/>
      <w:r>
        <w:t xml:space="preserve">: </w:t>
      </w:r>
      <w:r w:rsidRPr="00633DDA">
        <w:t>Female part-time employment</w:t>
      </w:r>
      <w:bookmarkEnd w:id="66"/>
    </w:p>
    <w:p w14:paraId="042C337F" w14:textId="32F1E2C4" w:rsidR="00AC2606" w:rsidRPr="00AC0957" w:rsidRDefault="00834F99" w:rsidP="00AC2606">
      <w:pPr>
        <w:jc w:val="center"/>
        <w:rPr>
          <w:rFonts w:cs="Arial"/>
          <w:lang w:val="en-US"/>
        </w:rPr>
      </w:pPr>
      <w:r>
        <w:rPr>
          <w:rFonts w:cs="Arial"/>
          <w:noProof/>
          <w:lang w:val="en-US"/>
        </w:rPr>
        <w:drawing>
          <wp:inline distT="0" distB="0" distL="0" distR="0" wp14:anchorId="421892BE" wp14:editId="650CFFD2">
            <wp:extent cx="5731200" cy="3736800"/>
            <wp:effectExtent l="0" t="0" r="3175" b="0"/>
            <wp:docPr id="841559329" name="Picture 31" descr="This chart shows the part-time share of industry employment by sex in 2024. Shows a higher proportion of females are employed as part-time workers in all 19 industries compared with m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559329" name="Picture 31" descr="This chart shows the part-time share of industry employment by sex in 2024. Shows a higher proportion of females are employed as part-time workers in all 19 industries compared with males."/>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742" r="1111"/>
                    <a:stretch/>
                  </pic:blipFill>
                  <pic:spPr bwMode="auto">
                    <a:xfrm>
                      <a:off x="0" y="0"/>
                      <a:ext cx="5731200" cy="3736800"/>
                    </a:xfrm>
                    <a:prstGeom prst="rect">
                      <a:avLst/>
                    </a:prstGeom>
                    <a:noFill/>
                    <a:ln>
                      <a:noFill/>
                    </a:ln>
                    <a:extLst>
                      <a:ext uri="{53640926-AAD7-44D8-BBD7-CCE9431645EC}">
                        <a14:shadowObscured xmlns:a14="http://schemas.microsoft.com/office/drawing/2010/main"/>
                      </a:ext>
                    </a:extLst>
                  </pic:spPr>
                </pic:pic>
              </a:graphicData>
            </a:graphic>
          </wp:inline>
        </w:drawing>
      </w:r>
    </w:p>
    <w:p w14:paraId="2EC04443" w14:textId="1275D44F" w:rsidR="00AC2606" w:rsidRPr="00B032FE" w:rsidRDefault="00AC2606" w:rsidP="008C1832">
      <w:pPr>
        <w:pStyle w:val="ChartorTableNote"/>
      </w:pPr>
      <w:r w:rsidRPr="00B032FE">
        <w:t xml:space="preserve">Source: </w:t>
      </w:r>
      <w:r w:rsidR="00E41128" w:rsidRPr="00E41128">
        <w:t>ABS, Labour Force, Detailed, August 2024, four-quarter average of original estimates</w:t>
      </w:r>
      <w:r w:rsidRPr="00B032FE">
        <w:t>.</w:t>
      </w:r>
    </w:p>
    <w:p w14:paraId="02AB2C56" w14:textId="604BB46D" w:rsidR="00C5514E" w:rsidRPr="00C5514E" w:rsidRDefault="00C5514E" w:rsidP="00C5514E">
      <w:pPr>
        <w:rPr>
          <w:rFonts w:cs="Arial"/>
          <w:lang w:val="en-US"/>
        </w:rPr>
      </w:pPr>
      <w:r w:rsidRPr="00C5514E">
        <w:rPr>
          <w:rFonts w:cs="Arial"/>
          <w:lang w:val="en-US"/>
        </w:rPr>
        <w:t xml:space="preserve">To fully understand this phenomenon, </w:t>
      </w:r>
      <w:r w:rsidR="000D55F6">
        <w:rPr>
          <w:rFonts w:cs="Arial"/>
          <w:lang w:val="en-US"/>
        </w:rPr>
        <w:t>it needs to</w:t>
      </w:r>
      <w:r w:rsidRPr="00C5514E">
        <w:rPr>
          <w:rFonts w:cs="Arial"/>
          <w:lang w:val="en-US"/>
        </w:rPr>
        <w:t xml:space="preserve"> be explored in the context of potential barriers such as disincentives for secondary earners to participate in paid work </w:t>
      </w:r>
      <w:sdt>
        <w:sdtPr>
          <w:rPr>
            <w:rFonts w:cs="Arial"/>
            <w:lang w:val="en-US"/>
          </w:rPr>
          <w:id w:val="-271018184"/>
          <w:citation/>
        </w:sdtPr>
        <w:sdtEndPr/>
        <w:sdtContent>
          <w:r w:rsidR="004516EB">
            <w:rPr>
              <w:rFonts w:cs="Arial"/>
              <w:lang w:val="en-US"/>
            </w:rPr>
            <w:fldChar w:fldCharType="begin"/>
          </w:r>
          <w:r w:rsidR="004516EB">
            <w:rPr>
              <w:rFonts w:cs="Arial"/>
            </w:rPr>
            <w:instrText xml:space="preserve">CITATION Aus23 \t  \l 3081 </w:instrText>
          </w:r>
          <w:r w:rsidR="004516EB">
            <w:rPr>
              <w:rFonts w:cs="Arial"/>
              <w:lang w:val="en-US"/>
            </w:rPr>
            <w:fldChar w:fldCharType="separate"/>
          </w:r>
          <w:r w:rsidR="00CA3587" w:rsidRPr="00CA3587">
            <w:rPr>
              <w:rFonts w:cs="Arial"/>
              <w:noProof/>
            </w:rPr>
            <w:t>(Commonwealth of Australia, 2023a)</w:t>
          </w:r>
          <w:r w:rsidR="004516EB">
            <w:rPr>
              <w:rFonts w:cs="Arial"/>
              <w:lang w:val="en-US"/>
            </w:rPr>
            <w:fldChar w:fldCharType="end"/>
          </w:r>
        </w:sdtContent>
      </w:sdt>
      <w:r w:rsidRPr="00C5514E">
        <w:rPr>
          <w:rFonts w:cs="Arial"/>
          <w:lang w:val="en-US"/>
        </w:rPr>
        <w:t xml:space="preserve">, access to early childhood education and care, and societal norms and gender attitudes that may impact choice, behaviour, and outcomes </w:t>
      </w:r>
      <w:sdt>
        <w:sdtPr>
          <w:rPr>
            <w:rFonts w:cs="Arial"/>
            <w:lang w:val="en-US"/>
          </w:rPr>
          <w:id w:val="-816955940"/>
          <w:citation/>
        </w:sdtPr>
        <w:sdtEndPr/>
        <w:sdtContent>
          <w:r w:rsidR="00467F82">
            <w:rPr>
              <w:rFonts w:cs="Arial"/>
              <w:lang w:val="en-US"/>
            </w:rPr>
            <w:fldChar w:fldCharType="begin"/>
          </w:r>
          <w:r w:rsidR="00467F82">
            <w:rPr>
              <w:rFonts w:cs="Arial"/>
            </w:rPr>
            <w:instrText xml:space="preserve"> CITATION Com241 \l 3081 </w:instrText>
          </w:r>
          <w:r w:rsidR="00467F82">
            <w:rPr>
              <w:rFonts w:cs="Arial"/>
              <w:lang w:val="en-US"/>
            </w:rPr>
            <w:fldChar w:fldCharType="separate"/>
          </w:r>
          <w:r w:rsidR="00CA3587" w:rsidRPr="00CA3587">
            <w:rPr>
              <w:rFonts w:cs="Arial"/>
              <w:noProof/>
            </w:rPr>
            <w:t>(Commonwealth of Australia, Department of the Prime Minister and Cabinet, 2024b)</w:t>
          </w:r>
          <w:r w:rsidR="00467F82">
            <w:rPr>
              <w:rFonts w:cs="Arial"/>
              <w:lang w:val="en-US"/>
            </w:rPr>
            <w:fldChar w:fldCharType="end"/>
          </w:r>
        </w:sdtContent>
      </w:sdt>
      <w:r w:rsidRPr="00C5514E">
        <w:rPr>
          <w:rFonts w:cs="Arial"/>
          <w:lang w:val="en-US"/>
        </w:rPr>
        <w:t>.</w:t>
      </w:r>
    </w:p>
    <w:p w14:paraId="3A26DCBD" w14:textId="7AEA3AC6" w:rsidR="00AC2606" w:rsidRPr="00AC0957" w:rsidRDefault="00C5514E" w:rsidP="00C5514E">
      <w:pPr>
        <w:rPr>
          <w:rFonts w:cs="Arial"/>
          <w:lang w:val="en-US"/>
        </w:rPr>
      </w:pPr>
      <w:r w:rsidRPr="00C5514E">
        <w:rPr>
          <w:rFonts w:cs="Arial"/>
          <w:lang w:val="en-US"/>
        </w:rPr>
        <w:t xml:space="preserve">While it is important to ensure that all individuals who wish to </w:t>
      </w:r>
      <w:r w:rsidR="00677991">
        <w:rPr>
          <w:rFonts w:cs="Arial"/>
          <w:lang w:val="en-US"/>
        </w:rPr>
        <w:t xml:space="preserve">or </w:t>
      </w:r>
      <w:r w:rsidRPr="00C5514E">
        <w:rPr>
          <w:rFonts w:cs="Arial"/>
          <w:lang w:val="en-US"/>
        </w:rPr>
        <w:t xml:space="preserve">are able to transition from part-time to full-time work, it is important to acknowledge that part-time work can be a conscious choice or preference. Part-time work provides people with the flexibility to participate in the workforce while balancing other responsibilities and can be a factor in attracting workers to occupations in shortage. Many women also report that the ability to work part time is important for their participation in work </w:t>
      </w:r>
      <w:sdt>
        <w:sdtPr>
          <w:rPr>
            <w:rFonts w:cs="Arial"/>
            <w:lang w:val="en-US"/>
          </w:rPr>
          <w:id w:val="-1834368674"/>
          <w:citation/>
        </w:sdtPr>
        <w:sdtEndPr/>
        <w:sdtContent>
          <w:r w:rsidR="009E0497">
            <w:rPr>
              <w:rFonts w:cs="Arial"/>
              <w:lang w:val="en-US"/>
            </w:rPr>
            <w:fldChar w:fldCharType="begin"/>
          </w:r>
          <w:r w:rsidR="009E0497">
            <w:rPr>
              <w:rFonts w:cs="Arial"/>
            </w:rPr>
            <w:instrText xml:space="preserve">CITATION Aus23 \t  \l 3081 </w:instrText>
          </w:r>
          <w:r w:rsidR="009E0497">
            <w:rPr>
              <w:rFonts w:cs="Arial"/>
              <w:lang w:val="en-US"/>
            </w:rPr>
            <w:fldChar w:fldCharType="separate"/>
          </w:r>
          <w:r w:rsidR="00CA3587" w:rsidRPr="00CA3587">
            <w:rPr>
              <w:rFonts w:cs="Arial"/>
              <w:noProof/>
            </w:rPr>
            <w:t>(Commonwealth of Australia, 2023a)</w:t>
          </w:r>
          <w:r w:rsidR="009E0497">
            <w:rPr>
              <w:rFonts w:cs="Arial"/>
              <w:lang w:val="en-US"/>
            </w:rPr>
            <w:fldChar w:fldCharType="end"/>
          </w:r>
        </w:sdtContent>
      </w:sdt>
      <w:r w:rsidRPr="00C5514E">
        <w:rPr>
          <w:rFonts w:cs="Arial"/>
          <w:lang w:val="en-US"/>
        </w:rPr>
        <w:t>. It is important to ensure that both men and women can access the working arrangements and flexibility that suit their needs and preferences, and to address the barriers that prevent them from doing so</w:t>
      </w:r>
      <w:r w:rsidR="00AC2606" w:rsidRPr="00AC0957">
        <w:rPr>
          <w:rFonts w:cs="Arial"/>
          <w:lang w:val="en-US"/>
        </w:rPr>
        <w:t xml:space="preserve">. </w:t>
      </w:r>
    </w:p>
    <w:p w14:paraId="7FEF1520" w14:textId="77777777" w:rsidR="00AC2606" w:rsidRPr="00AC0957" w:rsidRDefault="00AC2606" w:rsidP="00AC2606">
      <w:pPr>
        <w:pStyle w:val="Heading4"/>
        <w:rPr>
          <w:lang w:val="en-US"/>
        </w:rPr>
      </w:pPr>
      <w:r w:rsidRPr="00AC0957">
        <w:rPr>
          <w:lang w:val="en-US"/>
        </w:rPr>
        <w:t>Gender imbalanced occupations are more likely to be in shortage</w:t>
      </w:r>
    </w:p>
    <w:p w14:paraId="25AB22B4" w14:textId="372E7D4D" w:rsidR="00B70508" w:rsidRPr="00B70508" w:rsidRDefault="00B70508" w:rsidP="00B70508">
      <w:pPr>
        <w:rPr>
          <w:rFonts w:cs="Arial"/>
          <w:lang w:val="en-GB"/>
        </w:rPr>
      </w:pPr>
      <w:r w:rsidRPr="00B70508">
        <w:rPr>
          <w:rFonts w:cs="Arial"/>
          <w:lang w:val="en-GB"/>
        </w:rPr>
        <w:t>Societal and structural barriers to women’s workforce participation – particularly in relation to social norms and expectations –</w:t>
      </w:r>
      <w:r w:rsidR="0011753A">
        <w:rPr>
          <w:rFonts w:cs="Arial"/>
          <w:lang w:val="en-GB"/>
        </w:rPr>
        <w:t xml:space="preserve"> </w:t>
      </w:r>
      <w:r w:rsidRPr="00B70508">
        <w:rPr>
          <w:rFonts w:cs="Arial"/>
          <w:lang w:val="en-GB"/>
        </w:rPr>
        <w:t xml:space="preserve">not only impact outcomes for women. Men experience stigma, bias, and other barriers to accessing flexible work arrangements or leave to manage caring responsibilities </w:t>
      </w:r>
      <w:sdt>
        <w:sdtPr>
          <w:rPr>
            <w:rFonts w:cs="Arial"/>
            <w:lang w:val="en-GB"/>
          </w:rPr>
          <w:id w:val="2022586337"/>
          <w:citation/>
        </w:sdtPr>
        <w:sdtEndPr/>
        <w:sdtContent>
          <w:r w:rsidR="002874A7">
            <w:rPr>
              <w:rFonts w:cs="Arial"/>
              <w:lang w:val="en-GB"/>
            </w:rPr>
            <w:fldChar w:fldCharType="begin"/>
          </w:r>
          <w:r w:rsidR="002874A7">
            <w:rPr>
              <w:rFonts w:cs="Arial"/>
            </w:rPr>
            <w:instrText xml:space="preserve"> CITATION Aus17 \l 3081 </w:instrText>
          </w:r>
          <w:r w:rsidR="002874A7">
            <w:rPr>
              <w:rFonts w:cs="Arial"/>
              <w:lang w:val="en-GB"/>
            </w:rPr>
            <w:fldChar w:fldCharType="separate"/>
          </w:r>
          <w:r w:rsidR="00CA3587" w:rsidRPr="00CA3587">
            <w:rPr>
              <w:rFonts w:cs="Arial"/>
              <w:noProof/>
            </w:rPr>
            <w:t>(Australian Institute of Family Studies, 2017)</w:t>
          </w:r>
          <w:r w:rsidR="002874A7">
            <w:rPr>
              <w:rFonts w:cs="Arial"/>
              <w:lang w:val="en-GB"/>
            </w:rPr>
            <w:fldChar w:fldCharType="end"/>
          </w:r>
        </w:sdtContent>
      </w:sdt>
      <w:r w:rsidRPr="00B70508">
        <w:rPr>
          <w:rFonts w:cs="Arial"/>
          <w:lang w:val="en-GB"/>
        </w:rPr>
        <w:t xml:space="preserve">, or to work in occupations more traditionally undertaken by women </w:t>
      </w:r>
      <w:sdt>
        <w:sdtPr>
          <w:rPr>
            <w:rFonts w:cs="Arial"/>
            <w:lang w:val="en-GB"/>
          </w:rPr>
          <w:id w:val="1882820624"/>
          <w:citation/>
        </w:sdtPr>
        <w:sdtEndPr/>
        <w:sdtContent>
          <w:r w:rsidR="002874A7">
            <w:rPr>
              <w:rFonts w:cs="Arial"/>
              <w:lang w:val="en-GB"/>
            </w:rPr>
            <w:fldChar w:fldCharType="begin"/>
          </w:r>
          <w:r w:rsidR="002874A7">
            <w:rPr>
              <w:rFonts w:cs="Arial"/>
            </w:rPr>
            <w:instrText xml:space="preserve"> CITATION Com241 \l 3081 </w:instrText>
          </w:r>
          <w:r w:rsidR="002874A7">
            <w:rPr>
              <w:rFonts w:cs="Arial"/>
              <w:lang w:val="en-GB"/>
            </w:rPr>
            <w:fldChar w:fldCharType="separate"/>
          </w:r>
          <w:r w:rsidR="00CA3587" w:rsidRPr="00CA3587">
            <w:rPr>
              <w:rFonts w:cs="Arial"/>
              <w:noProof/>
            </w:rPr>
            <w:t>(Commonwealth of Australia, Department of the Prime Minister and Cabinet, 2024b)</w:t>
          </w:r>
          <w:r w:rsidR="002874A7">
            <w:rPr>
              <w:rFonts w:cs="Arial"/>
              <w:lang w:val="en-GB"/>
            </w:rPr>
            <w:fldChar w:fldCharType="end"/>
          </w:r>
        </w:sdtContent>
      </w:sdt>
      <w:r w:rsidRPr="00B70508">
        <w:rPr>
          <w:rFonts w:cs="Arial"/>
          <w:lang w:val="en-GB"/>
        </w:rPr>
        <w:t xml:space="preserve">. </w:t>
      </w:r>
    </w:p>
    <w:p w14:paraId="315F0DE9" w14:textId="3B6B6090" w:rsidR="00B70508" w:rsidRPr="00B70508" w:rsidRDefault="00B70508" w:rsidP="00B70508">
      <w:pPr>
        <w:rPr>
          <w:rFonts w:cs="Arial"/>
          <w:lang w:val="en-GB"/>
        </w:rPr>
      </w:pPr>
      <w:r w:rsidRPr="00B70508">
        <w:rPr>
          <w:rFonts w:cs="Arial"/>
          <w:lang w:val="en-GB"/>
        </w:rPr>
        <w:t>Greater gender equality is also beneficial for the labour market. Based on results and analysis from the 2024 Occupation Shortage List (OSL), formerly known as the Skills Priority List, occupations that have a stronger gender imbalance in the labour market were also more likely to be in shortage (</w:t>
      </w:r>
      <w:r w:rsidR="00815F2D">
        <w:rPr>
          <w:rFonts w:cs="Arial"/>
          <w:lang w:val="en-GB"/>
        </w:rPr>
        <w:fldChar w:fldCharType="begin"/>
      </w:r>
      <w:r w:rsidR="00815F2D">
        <w:rPr>
          <w:rFonts w:cs="Arial"/>
          <w:lang w:val="en-GB"/>
        </w:rPr>
        <w:instrText xml:space="preserve"> REF _Ref179895454 \h </w:instrText>
      </w:r>
      <w:r w:rsidR="00815F2D">
        <w:rPr>
          <w:rFonts w:cs="Arial"/>
          <w:lang w:val="en-GB"/>
        </w:rPr>
      </w:r>
      <w:r w:rsidR="00815F2D">
        <w:rPr>
          <w:rFonts w:cs="Arial"/>
          <w:lang w:val="en-GB"/>
        </w:rPr>
        <w:fldChar w:fldCharType="separate"/>
      </w:r>
      <w:r w:rsidR="00C47A81">
        <w:t xml:space="preserve">Figure </w:t>
      </w:r>
      <w:r w:rsidR="00C47A81">
        <w:rPr>
          <w:noProof/>
        </w:rPr>
        <w:t>15</w:t>
      </w:r>
      <w:r w:rsidR="00815F2D">
        <w:rPr>
          <w:rFonts w:cs="Arial"/>
          <w:lang w:val="en-GB"/>
        </w:rPr>
        <w:fldChar w:fldCharType="end"/>
      </w:r>
      <w:r w:rsidR="00815F2D">
        <w:rPr>
          <w:rFonts w:cs="Arial"/>
          <w:lang w:val="en-GB"/>
        </w:rPr>
        <w:t>)</w:t>
      </w:r>
      <w:r w:rsidR="00531DE6">
        <w:rPr>
          <w:rStyle w:val="FootnoteReference"/>
          <w:rFonts w:cs="Arial"/>
          <w:lang w:val="en-GB"/>
        </w:rPr>
        <w:footnoteReference w:id="7"/>
      </w:r>
      <w:r w:rsidRPr="00B70508">
        <w:rPr>
          <w:rFonts w:cs="Arial"/>
          <w:lang w:val="en-GB"/>
        </w:rPr>
        <w:t xml:space="preserve">. This is true for both male- and female-dominated occupations. </w:t>
      </w:r>
    </w:p>
    <w:p w14:paraId="3E157CD9" w14:textId="26A5782A" w:rsidR="00AC2606" w:rsidRPr="00AC0957" w:rsidRDefault="00B70508" w:rsidP="00B70508">
      <w:pPr>
        <w:rPr>
          <w:rFonts w:cs="Arial"/>
          <w:lang w:val="en-GB"/>
        </w:rPr>
      </w:pPr>
      <w:r w:rsidRPr="00B70508">
        <w:rPr>
          <w:rFonts w:cs="Arial"/>
          <w:lang w:val="en-GB"/>
        </w:rPr>
        <w:t>Half of all occupations where males make up at least 80% of the workforce were found to be in shortage, and 39% of occupations where females make up at least 80% of the workforce were in shortage. By contrast, only 22% of occupations with less gender skewed workforces (with more than 20% of either males or females) were in shortage</w:t>
      </w:r>
      <w:r w:rsidR="00AC2606" w:rsidRPr="00AC0957">
        <w:rPr>
          <w:rFonts w:cs="Arial"/>
          <w:lang w:val="en-GB"/>
        </w:rPr>
        <w:t xml:space="preserve">. </w:t>
      </w:r>
    </w:p>
    <w:p w14:paraId="21FA37FE" w14:textId="422419C3" w:rsidR="00F52D08" w:rsidRDefault="00F52D08" w:rsidP="0039587A">
      <w:pPr>
        <w:pStyle w:val="Caption"/>
      </w:pPr>
      <w:bookmarkStart w:id="67" w:name="_Ref179895454"/>
      <w:bookmarkStart w:id="68" w:name="_Toc181370317"/>
      <w:r>
        <w:t xml:space="preserve">Figure </w:t>
      </w:r>
      <w:r>
        <w:fldChar w:fldCharType="begin"/>
      </w:r>
      <w:r>
        <w:instrText xml:space="preserve"> SEQ Figure \* ARABIC </w:instrText>
      </w:r>
      <w:r>
        <w:fldChar w:fldCharType="separate"/>
      </w:r>
      <w:r w:rsidR="00C47A81">
        <w:rPr>
          <w:noProof/>
        </w:rPr>
        <w:t>15</w:t>
      </w:r>
      <w:r>
        <w:fldChar w:fldCharType="end"/>
      </w:r>
      <w:bookmarkEnd w:id="67"/>
      <w:r>
        <w:t xml:space="preserve">: </w:t>
      </w:r>
      <w:r w:rsidRPr="00F458D2">
        <w:t>Percentage of gender-imbalanced occupations that were in shortage (%), 2021-2024 OSL</w:t>
      </w:r>
      <w:bookmarkEnd w:id="68"/>
    </w:p>
    <w:p w14:paraId="540630EB" w14:textId="2F2E0DA5" w:rsidR="00AC2606" w:rsidRPr="008A59DB" w:rsidRDefault="00DE7097" w:rsidP="008A59DB">
      <w:r>
        <w:rPr>
          <w:noProof/>
        </w:rPr>
        <w:drawing>
          <wp:inline distT="0" distB="0" distL="0" distR="0" wp14:anchorId="75D79C33" wp14:editId="623A3651">
            <wp:extent cx="5731200" cy="3027600"/>
            <wp:effectExtent l="0" t="0" r="3175" b="1905"/>
            <wp:docPr id="2056160570" name="Picture 32" descr="This shows the percentage of gender-imbalanced occupations that were in shortage in 2021-2024 OSLs. In 2024, 50% of occupations where men comprise at least 80% of the workforce were in shortage, compared to 39% where women comprised at least 80% of the workforce, and 22% where there was more gender bala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160570" name="Picture 32" descr="This shows the percentage of gender-imbalanced occupations that were in shortage in 2021-2024 OSLs. In 2024, 50% of occupations where men comprise at least 80% of the workforce were in shortage, compared to 39% where women comprised at least 80% of the workforce, and 22% where there was more gender balance.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1200" cy="3027600"/>
                    </a:xfrm>
                    <a:prstGeom prst="rect">
                      <a:avLst/>
                    </a:prstGeom>
                    <a:noFill/>
                  </pic:spPr>
                </pic:pic>
              </a:graphicData>
            </a:graphic>
          </wp:inline>
        </w:drawing>
      </w:r>
    </w:p>
    <w:p w14:paraId="0C8F7D2B" w14:textId="77777777" w:rsidR="00AC2606" w:rsidRPr="00AC0957" w:rsidRDefault="00AC2606" w:rsidP="008C1832">
      <w:pPr>
        <w:pStyle w:val="ChartorTableNote"/>
      </w:pPr>
      <w:r w:rsidRPr="00AC0957">
        <w:t xml:space="preserve">Source: Jobs and Skills Australia, </w:t>
      </w:r>
      <w:r w:rsidRPr="00AC0957">
        <w:rPr>
          <w:i/>
          <w:iCs/>
        </w:rPr>
        <w:t>Occupation Shortage List,</w:t>
      </w:r>
      <w:r w:rsidRPr="00AC0957">
        <w:t xml:space="preserve"> 2021–2024.</w:t>
      </w:r>
    </w:p>
    <w:p w14:paraId="1A186145" w14:textId="77777777" w:rsidR="00834383" w:rsidRPr="00834383" w:rsidRDefault="00834383" w:rsidP="00834383">
      <w:pPr>
        <w:rPr>
          <w:rFonts w:cs="Arial"/>
          <w:lang w:val="en-US"/>
        </w:rPr>
      </w:pPr>
      <w:r w:rsidRPr="00834383">
        <w:rPr>
          <w:rFonts w:cs="Arial"/>
          <w:lang w:val="en-US"/>
        </w:rPr>
        <w:t xml:space="preserve">Some examples of occupations where females make up the majority of the workforce include Registered Nurse, Aged or Disabled Carer, Primary School Teacher, Child Care Worker and Hairdresser. For occupations where males were the majority of the workforce, occupations in shortage were concentrated in the Technicians and Trades Workers, Machinery Operators and Drivers, and Labourers major groups. For example, in the Electrician (General) and Truck Driver workforces, more than 9 in 10 workers were men. </w:t>
      </w:r>
    </w:p>
    <w:p w14:paraId="345861EB" w14:textId="77777777" w:rsidR="00834383" w:rsidRPr="00834383" w:rsidRDefault="00834383" w:rsidP="00834383">
      <w:pPr>
        <w:rPr>
          <w:rFonts w:cs="Arial"/>
          <w:lang w:val="en-US"/>
        </w:rPr>
      </w:pPr>
      <w:r w:rsidRPr="00834383">
        <w:rPr>
          <w:rFonts w:cs="Arial"/>
          <w:lang w:val="en-US"/>
        </w:rPr>
        <w:t xml:space="preserve">Many Information Communication and Technology-based occupations, within the Professionals major group, employed men predominately and were also in shortage. Some of these include Software Engineer and Developer Programmer, where more than 4 in 5 workers were male. </w:t>
      </w:r>
    </w:p>
    <w:p w14:paraId="3DB143A5" w14:textId="77777777" w:rsidR="00834383" w:rsidRPr="00834383" w:rsidRDefault="00834383" w:rsidP="00834383">
      <w:pPr>
        <w:rPr>
          <w:rFonts w:cs="Arial"/>
          <w:lang w:val="en-US"/>
        </w:rPr>
      </w:pPr>
      <w:r w:rsidRPr="00834383">
        <w:rPr>
          <w:rFonts w:cs="Arial"/>
          <w:lang w:val="en-US"/>
        </w:rPr>
        <w:t xml:space="preserve">Several of the occupations mentioned above were also in persistent shortage (in shortage for at least 4 years). Some other occupations (not previously mentioned above) in persistent shortage include Carpenter (99% male) and Personal Care Assistant (86% female). </w:t>
      </w:r>
    </w:p>
    <w:p w14:paraId="128288F1" w14:textId="547CF186" w:rsidR="00AC2606" w:rsidRPr="00AC0957" w:rsidRDefault="00834383" w:rsidP="00834383">
      <w:pPr>
        <w:rPr>
          <w:rFonts w:cs="Arial"/>
        </w:rPr>
      </w:pPr>
      <w:r w:rsidRPr="00834383">
        <w:rPr>
          <w:rFonts w:cs="Arial"/>
          <w:lang w:val="en-US"/>
        </w:rPr>
        <w:t>Heavily gender-skewed workforces may inadvertently constrain the labour supply, thereby increasing the likelihood of entrenched shortages. Addressing the gender imbalance of occupations is a sound long-term strategy to mitigate occupation shortages in the labour market and pathways to doing so should be further explored</w:t>
      </w:r>
      <w:r w:rsidR="00AC2606" w:rsidRPr="00AC0957">
        <w:rPr>
          <w:rFonts w:cs="Arial"/>
        </w:rPr>
        <w:t>.</w:t>
      </w:r>
    </w:p>
    <w:tbl>
      <w:tblPr>
        <w:tblStyle w:val="TableGrid"/>
        <w:tblW w:w="0" w:type="auto"/>
        <w:tblLook w:val="04A0" w:firstRow="1" w:lastRow="0" w:firstColumn="1" w:lastColumn="0" w:noHBand="0" w:noVBand="1"/>
      </w:tblPr>
      <w:tblGrid>
        <w:gridCol w:w="9016"/>
      </w:tblGrid>
      <w:tr w:rsidR="00AC2606" w:rsidRPr="00AC0957" w14:paraId="09622A69" w14:textId="77777777" w:rsidTr="005B7FD3">
        <w:tc>
          <w:tcPr>
            <w:tcW w:w="9016" w:type="dxa"/>
            <w:tcBorders>
              <w:top w:val="nil"/>
              <w:left w:val="nil"/>
              <w:bottom w:val="nil"/>
              <w:right w:val="nil"/>
            </w:tcBorders>
            <w:shd w:val="clear" w:color="auto" w:fill="E0D1F5" w:themeFill="accent1" w:themeFillTint="33"/>
          </w:tcPr>
          <w:p w14:paraId="34CC4E62" w14:textId="77777777" w:rsidR="00AC2606" w:rsidRPr="00AC0957" w:rsidRDefault="00AC2606">
            <w:pPr>
              <w:pStyle w:val="Heading3"/>
              <w:rPr>
                <w:rFonts w:cs="Arial"/>
                <w:lang w:val="en-US"/>
              </w:rPr>
            </w:pPr>
            <w:bookmarkStart w:id="69" w:name="_Toc179887370"/>
            <w:bookmarkStart w:id="70" w:name="_Toc181371565"/>
            <w:r w:rsidRPr="00AC0957">
              <w:rPr>
                <w:rFonts w:cs="Arial"/>
                <w:lang w:val="en-US"/>
              </w:rPr>
              <w:t>Making progress on the number of female electricians</w:t>
            </w:r>
            <w:bookmarkEnd w:id="69"/>
            <w:bookmarkEnd w:id="70"/>
          </w:p>
          <w:p w14:paraId="0E3C8480" w14:textId="77777777" w:rsidR="006D3E9D" w:rsidRPr="006D3E9D" w:rsidRDefault="006D3E9D" w:rsidP="006D3E9D">
            <w:pPr>
              <w:rPr>
                <w:rFonts w:cs="Arial"/>
              </w:rPr>
            </w:pPr>
            <w:r w:rsidRPr="006D3E9D">
              <w:rPr>
                <w:rFonts w:cs="Arial"/>
              </w:rPr>
              <w:t xml:space="preserve">JSA’s 2023 Clean Energy Capacity Study identified that Australia will need an additional 32,000 electricians by 2030, and that one of the most important pathways to achieving this growth is to increase the number of women undertaking trade apprenticeships. </w:t>
            </w:r>
          </w:p>
          <w:p w14:paraId="42B3DCDF" w14:textId="05C83DE1" w:rsidR="006D3E9D" w:rsidRPr="006D3E9D" w:rsidRDefault="006D3E9D" w:rsidP="006D3E9D">
            <w:pPr>
              <w:rPr>
                <w:rFonts w:cs="Arial"/>
              </w:rPr>
            </w:pPr>
            <w:r w:rsidRPr="006D3E9D">
              <w:rPr>
                <w:rFonts w:cs="Arial"/>
              </w:rPr>
              <w:t>There has been strong growth in the number of female apprentices since 2017, who made up around 8% of all electrical apprenticeships in the first quarter of 2024, up from 2% a decade ago (</w:t>
            </w:r>
            <w:r>
              <w:rPr>
                <w:rFonts w:cs="Arial"/>
              </w:rPr>
              <w:fldChar w:fldCharType="begin"/>
            </w:r>
            <w:r>
              <w:rPr>
                <w:rFonts w:cs="Arial"/>
              </w:rPr>
              <w:instrText xml:space="preserve"> REF _Ref179895501 \h </w:instrText>
            </w:r>
            <w:r>
              <w:rPr>
                <w:rFonts w:cs="Arial"/>
              </w:rPr>
            </w:r>
            <w:r>
              <w:rPr>
                <w:rFonts w:cs="Arial"/>
              </w:rPr>
              <w:fldChar w:fldCharType="separate"/>
            </w:r>
            <w:r w:rsidR="00C47A81">
              <w:t xml:space="preserve">Figure </w:t>
            </w:r>
            <w:r w:rsidR="00C47A81">
              <w:rPr>
                <w:noProof/>
              </w:rPr>
              <w:t>16</w:t>
            </w:r>
            <w:r>
              <w:rPr>
                <w:rFonts w:cs="Arial"/>
              </w:rPr>
              <w:fldChar w:fldCharType="end"/>
            </w:r>
            <w:r w:rsidRPr="006D3E9D">
              <w:rPr>
                <w:rFonts w:cs="Arial"/>
              </w:rPr>
              <w:t>). Of note:</w:t>
            </w:r>
          </w:p>
          <w:p w14:paraId="092D1D99" w14:textId="77777777" w:rsidR="006D3E9D" w:rsidRPr="006D3E9D" w:rsidRDefault="006D3E9D" w:rsidP="006D3E9D">
            <w:pPr>
              <w:pStyle w:val="ListBullet"/>
            </w:pPr>
            <w:r w:rsidRPr="006D3E9D">
              <w:t>In Western Australia and Queensland this share was above 10%.</w:t>
            </w:r>
          </w:p>
          <w:p w14:paraId="22D52E1B" w14:textId="77777777" w:rsidR="006D3E9D" w:rsidRPr="006D3E9D" w:rsidRDefault="006D3E9D" w:rsidP="006D3E9D">
            <w:pPr>
              <w:pStyle w:val="ListBullet"/>
            </w:pPr>
            <w:r w:rsidRPr="006D3E9D">
              <w:t>Females make up a larger share of electrical apprentices in regional and remote Australia compared to metropolitan areas.</w:t>
            </w:r>
          </w:p>
          <w:p w14:paraId="4E20D459" w14:textId="67568C23" w:rsidR="00AC2606" w:rsidRPr="006D3E9D" w:rsidRDefault="006D3E9D" w:rsidP="006D3E9D">
            <w:pPr>
              <w:pStyle w:val="ListBullet"/>
            </w:pPr>
            <w:r w:rsidRPr="006D3E9D">
              <w:t>Large employers (500+ employees) are much more likely to hire female apprentices than small or medium employers</w:t>
            </w:r>
            <w:r w:rsidR="00AC2606" w:rsidRPr="006D3E9D">
              <w:t>.</w:t>
            </w:r>
          </w:p>
          <w:p w14:paraId="7EC31ACC" w14:textId="72624C6F" w:rsidR="00F52D08" w:rsidRDefault="00F52D08" w:rsidP="00F52D08">
            <w:pPr>
              <w:pStyle w:val="Caption"/>
            </w:pPr>
            <w:bookmarkStart w:id="71" w:name="_Ref179895501"/>
            <w:bookmarkStart w:id="72" w:name="_Toc181370318"/>
            <w:r>
              <w:t xml:space="preserve">Figure </w:t>
            </w:r>
            <w:r>
              <w:fldChar w:fldCharType="begin"/>
            </w:r>
            <w:r>
              <w:instrText>SEQ Figure \* ARABIC</w:instrText>
            </w:r>
            <w:r>
              <w:fldChar w:fldCharType="separate"/>
            </w:r>
            <w:r w:rsidR="00C47A81">
              <w:rPr>
                <w:noProof/>
              </w:rPr>
              <w:t>16</w:t>
            </w:r>
            <w:r>
              <w:fldChar w:fldCharType="end"/>
            </w:r>
            <w:bookmarkEnd w:id="71"/>
            <w:r>
              <w:t xml:space="preserve">: </w:t>
            </w:r>
            <w:r w:rsidRPr="004E2412">
              <w:t>Female electrotechnology apprenticeship commencements</w:t>
            </w:r>
            <w:bookmarkEnd w:id="72"/>
          </w:p>
          <w:p w14:paraId="51DE07FB" w14:textId="676070ED" w:rsidR="007223AA" w:rsidRDefault="00D61932" w:rsidP="007223AA">
            <w:pPr>
              <w:jc w:val="center"/>
              <w:rPr>
                <w:noProof/>
              </w:rPr>
            </w:pPr>
            <w:r>
              <w:rPr>
                <w:noProof/>
              </w:rPr>
              <w:drawing>
                <wp:inline distT="0" distB="0" distL="0" distR="0" wp14:anchorId="38E3C26F" wp14:editId="02B0F47E">
                  <wp:extent cx="4887666" cy="2656273"/>
                  <wp:effectExtent l="0" t="0" r="8255" b="0"/>
                  <wp:docPr id="2020108939" name="Picture 33" descr="This chart shows strong growth in the number of female electrical apprenticeship commencements. It starts at 83 commencements in 2003 (1% of all commencements) and reaches 1,090 in 2023 (7% of all commenc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108939" name="Picture 33" descr="This chart shows strong growth in the number of female electrical apprenticeship commencements. It starts at 83 commencements in 2003 (1% of all commencements) and reaches 1,090 in 2023 (7% of all commencement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09191" cy="2667971"/>
                          </a:xfrm>
                          <a:prstGeom prst="rect">
                            <a:avLst/>
                          </a:prstGeom>
                          <a:noFill/>
                        </pic:spPr>
                      </pic:pic>
                    </a:graphicData>
                  </a:graphic>
                </wp:inline>
              </w:drawing>
            </w:r>
          </w:p>
          <w:p w14:paraId="187CBC97" w14:textId="14654528" w:rsidR="00AC2606" w:rsidRDefault="00AC2606" w:rsidP="008C1832">
            <w:pPr>
              <w:pStyle w:val="ChartorTableNote"/>
            </w:pPr>
            <w:r w:rsidRPr="00B032FE">
              <w:t>Source: J</w:t>
            </w:r>
            <w:r w:rsidR="004718A0">
              <w:t>obs and Skills Australia’s</w:t>
            </w:r>
            <w:r w:rsidRPr="00B032FE">
              <w:t xml:space="preserve"> analysis of NCVER 2024, Apprentices and Trainees data.</w:t>
            </w:r>
          </w:p>
          <w:p w14:paraId="4B3430AE" w14:textId="71673509" w:rsidR="004718A0" w:rsidRPr="00B032FE" w:rsidRDefault="004718A0" w:rsidP="008C1832">
            <w:pPr>
              <w:pStyle w:val="ChartorTableNote"/>
            </w:pPr>
            <w:r>
              <w:t xml:space="preserve">Note: Data for 2024 only includes commencements from January to March. </w:t>
            </w:r>
          </w:p>
          <w:p w14:paraId="45CC69AD" w14:textId="77777777" w:rsidR="00C764A2" w:rsidRDefault="00C764A2" w:rsidP="00C764A2">
            <w:r>
              <w:t>From 2013 to 2023 there was also strong growth in the female share of commencements in other critical clean energy apprenticeships. These include Mechanical Engineering Trades Workers (up 8 percentage points), Electrical Distribution Trades Workers (up 7 percentage points) and Automotive Electricians (up 6 percentage points).</w:t>
            </w:r>
          </w:p>
          <w:p w14:paraId="4DFEEDC9" w14:textId="77777777" w:rsidR="00C764A2" w:rsidRDefault="00C764A2" w:rsidP="00C764A2">
            <w:r>
              <w:t>JSA’s capacity study made a number of recommendations to improve commencements, completions and experiences of female apprentices. This includes targeted financial incentives and opportunities to improve peer support networks by clustering female students in workplaces and classrooms. In response to JSA’s report, the government is:</w:t>
            </w:r>
          </w:p>
          <w:p w14:paraId="47F50CFD" w14:textId="7AD14B8A" w:rsidR="00C764A2" w:rsidRDefault="00C764A2" w:rsidP="00C764A2">
            <w:pPr>
              <w:pStyle w:val="ListBullet"/>
            </w:pPr>
            <w:r>
              <w:t>reviewing the Australian Apprenticeship Incentives System</w:t>
            </w:r>
          </w:p>
          <w:p w14:paraId="1F001F01" w14:textId="79009C38" w:rsidR="00C764A2" w:rsidRDefault="00C764A2" w:rsidP="00C764A2">
            <w:pPr>
              <w:pStyle w:val="ListBullet"/>
            </w:pPr>
            <w:r>
              <w:t>expanding eligibility criteria for the New Energy Apprenticeships Program</w:t>
            </w:r>
          </w:p>
          <w:p w14:paraId="62B21BB7" w14:textId="126E94E2" w:rsidR="00C764A2" w:rsidRDefault="00C764A2" w:rsidP="00C764A2">
            <w:pPr>
              <w:pStyle w:val="ListBullet"/>
            </w:pPr>
            <w:r>
              <w:t>reimbursing Group Training Organisations that reduce their fees for small and medium enterprises engaging in clean energy, manufacturing and construction industries</w:t>
            </w:r>
          </w:p>
          <w:p w14:paraId="65DE17B7" w14:textId="6C70B8AA" w:rsidR="00C764A2" w:rsidRDefault="00C764A2" w:rsidP="00C764A2">
            <w:pPr>
              <w:pStyle w:val="ListBullet"/>
            </w:pPr>
            <w:r>
              <w:t>establishing climate careers promotion activities across government, industry, civil society, and the education and training sector</w:t>
            </w:r>
          </w:p>
          <w:p w14:paraId="1D1D5568" w14:textId="6BE2EEA3" w:rsidR="00AC2606" w:rsidRPr="008C1832" w:rsidRDefault="00C764A2" w:rsidP="00C764A2">
            <w:pPr>
              <w:pStyle w:val="ListBullet"/>
            </w:pPr>
            <w:r>
              <w:t xml:space="preserve">establishing the Building Women’s Careers Program to advance structural and cultural change that improves women’s access to inclusive training and work opportunities in key male-dominated industries and </w:t>
            </w:r>
            <w:r w:rsidRPr="00CB3DA1">
              <w:t>sectors</w:t>
            </w:r>
            <w:r w:rsidR="00A07D14" w:rsidRPr="00CB3DA1">
              <w:t>.</w:t>
            </w:r>
          </w:p>
        </w:tc>
      </w:tr>
    </w:tbl>
    <w:p w14:paraId="1601B765" w14:textId="77777777" w:rsidR="00AC2606" w:rsidRPr="00AC0957" w:rsidRDefault="00AC2606" w:rsidP="00AC2606">
      <w:pPr>
        <w:pStyle w:val="Heading3"/>
        <w:rPr>
          <w:rFonts w:cs="Arial"/>
          <w:highlight w:val="white"/>
        </w:rPr>
      </w:pPr>
      <w:bookmarkStart w:id="73" w:name="_Toc179887371"/>
      <w:bookmarkStart w:id="74" w:name="_Toc181371566"/>
      <w:r w:rsidRPr="00AC0957">
        <w:rPr>
          <w:rFonts w:cs="Arial"/>
          <w:highlight w:val="white"/>
        </w:rPr>
        <w:t>Income volatility as an indicator of insecure work</w:t>
      </w:r>
      <w:bookmarkEnd w:id="73"/>
      <w:bookmarkEnd w:id="74"/>
    </w:p>
    <w:p w14:paraId="4C90C719" w14:textId="22E17014" w:rsidR="00705CFF" w:rsidRPr="00705CFF" w:rsidRDefault="00705CFF" w:rsidP="00705CFF">
      <w:pPr>
        <w:rPr>
          <w:rFonts w:cs="Arial"/>
        </w:rPr>
      </w:pPr>
      <w:r w:rsidRPr="00705CFF">
        <w:rPr>
          <w:rFonts w:cs="Arial"/>
        </w:rPr>
        <w:t xml:space="preserve">One of JSA’s responsibilities is to provide advice on the impact of workplace arrangements, including insecure work, on social and economic outcomes. While there is no formal Australian definition of what constitutes insecure work, definitions tend to include aspects such as unpredictable and fluctuating pay; lack of access to paid leave, employment entitlements, and other protections; limited bargaining power; irregular working hours; and lack of job security </w:t>
      </w:r>
      <w:sdt>
        <w:sdtPr>
          <w:rPr>
            <w:rFonts w:cs="Arial"/>
          </w:rPr>
          <w:id w:val="-312643454"/>
          <w:citation/>
        </w:sdtPr>
        <w:sdtEndPr/>
        <w:sdtContent>
          <w:r w:rsidR="00B27014">
            <w:rPr>
              <w:rFonts w:cs="Arial"/>
            </w:rPr>
            <w:fldChar w:fldCharType="begin"/>
          </w:r>
          <w:r w:rsidR="00B27014">
            <w:rPr>
              <w:rFonts w:cs="Arial"/>
            </w:rPr>
            <w:instrText xml:space="preserve"> CITATION ACT12 \l 3081 </w:instrText>
          </w:r>
          <w:r w:rsidR="00B27014">
            <w:rPr>
              <w:rFonts w:cs="Arial"/>
            </w:rPr>
            <w:fldChar w:fldCharType="separate"/>
          </w:r>
          <w:r w:rsidR="00CA3587" w:rsidRPr="00CA3587">
            <w:rPr>
              <w:rFonts w:cs="Arial"/>
              <w:noProof/>
            </w:rPr>
            <w:t>(ACTU, 2012)</w:t>
          </w:r>
          <w:r w:rsidR="00B27014">
            <w:rPr>
              <w:rFonts w:cs="Arial"/>
            </w:rPr>
            <w:fldChar w:fldCharType="end"/>
          </w:r>
        </w:sdtContent>
      </w:sdt>
      <w:r w:rsidRPr="00705CFF">
        <w:rPr>
          <w:rFonts w:cs="Arial"/>
        </w:rPr>
        <w:t>.</w:t>
      </w:r>
      <w:r w:rsidR="008C52B1">
        <w:rPr>
          <w:rFonts w:cs="Arial"/>
        </w:rPr>
        <w:t xml:space="preserve"> </w:t>
      </w:r>
    </w:p>
    <w:p w14:paraId="6932D7DB" w14:textId="58B9EC1A" w:rsidR="00705CFF" w:rsidRPr="00705CFF" w:rsidRDefault="00705CFF" w:rsidP="00705CFF">
      <w:pPr>
        <w:rPr>
          <w:rFonts w:cs="Arial"/>
        </w:rPr>
      </w:pPr>
      <w:r w:rsidRPr="00705CFF">
        <w:rPr>
          <w:rFonts w:cs="Arial"/>
        </w:rPr>
        <w:t xml:space="preserve">Insecure work occurs in a range of situations in the labour market but can be problematic when it is used as a substitute for what could feasibly be ongoing direct employment. The Senate Select Committee on Job Security heard evidence that insecure work causes ongoing uncertainty and financial insecurity which can impact physical and mental health </w:t>
      </w:r>
      <w:sdt>
        <w:sdtPr>
          <w:rPr>
            <w:rFonts w:cs="Arial"/>
          </w:rPr>
          <w:id w:val="-1692221835"/>
          <w:citation/>
        </w:sdtPr>
        <w:sdtEndPr/>
        <w:sdtContent>
          <w:r w:rsidR="00B27014">
            <w:rPr>
              <w:rFonts w:cs="Arial"/>
            </w:rPr>
            <w:fldChar w:fldCharType="begin"/>
          </w:r>
          <w:r w:rsidR="00B27014">
            <w:rPr>
              <w:rFonts w:cs="Arial"/>
            </w:rPr>
            <w:instrText xml:space="preserve"> CITATION Com22 \l 3081 </w:instrText>
          </w:r>
          <w:r w:rsidR="00B27014">
            <w:rPr>
              <w:rFonts w:cs="Arial"/>
            </w:rPr>
            <w:fldChar w:fldCharType="separate"/>
          </w:r>
          <w:r w:rsidR="00CA3587" w:rsidRPr="00CA3587">
            <w:rPr>
              <w:rFonts w:cs="Arial"/>
              <w:noProof/>
            </w:rPr>
            <w:t>(Commonwealth of Australia, 2022)</w:t>
          </w:r>
          <w:r w:rsidR="00B27014">
            <w:rPr>
              <w:rFonts w:cs="Arial"/>
            </w:rPr>
            <w:fldChar w:fldCharType="end"/>
          </w:r>
        </w:sdtContent>
      </w:sdt>
      <w:r w:rsidRPr="00705CFF">
        <w:rPr>
          <w:rFonts w:cs="Arial"/>
        </w:rPr>
        <w:t>.</w:t>
      </w:r>
    </w:p>
    <w:p w14:paraId="5E8FDB3A" w14:textId="39214A68" w:rsidR="00705CFF" w:rsidRPr="00705CFF" w:rsidRDefault="00705CFF" w:rsidP="00705CFF">
      <w:pPr>
        <w:rPr>
          <w:rFonts w:cs="Arial"/>
        </w:rPr>
      </w:pPr>
      <w:r w:rsidRPr="00705CFF">
        <w:rPr>
          <w:rFonts w:cs="Arial"/>
        </w:rPr>
        <w:t xml:space="preserve">Since the introduction of Single Touch Payroll (STP) in 2019 it has become possible to measure one of the indicators of insecure work – fluctuating pay </w:t>
      </w:r>
      <w:sdt>
        <w:sdtPr>
          <w:rPr>
            <w:rFonts w:cs="Arial"/>
          </w:rPr>
          <w:id w:val="-804547496"/>
          <w:citation/>
        </w:sdtPr>
        <w:sdtEndPr/>
        <w:sdtContent>
          <w:r w:rsidR="00B27014">
            <w:rPr>
              <w:rFonts w:cs="Arial"/>
            </w:rPr>
            <w:fldChar w:fldCharType="begin"/>
          </w:r>
          <w:r w:rsidR="00B27014">
            <w:rPr>
              <w:rFonts w:cs="Arial"/>
            </w:rPr>
            <w:instrText xml:space="preserve"> CITATION ACT12 \l 3081 </w:instrText>
          </w:r>
          <w:r w:rsidR="00B27014">
            <w:rPr>
              <w:rFonts w:cs="Arial"/>
            </w:rPr>
            <w:fldChar w:fldCharType="separate"/>
          </w:r>
          <w:r w:rsidR="00CA3587" w:rsidRPr="00CA3587">
            <w:rPr>
              <w:rFonts w:cs="Arial"/>
              <w:noProof/>
            </w:rPr>
            <w:t>(ACTU, 2012)</w:t>
          </w:r>
          <w:r w:rsidR="00B27014">
            <w:rPr>
              <w:rFonts w:cs="Arial"/>
            </w:rPr>
            <w:fldChar w:fldCharType="end"/>
          </w:r>
        </w:sdtContent>
      </w:sdt>
      <w:r w:rsidRPr="00705CFF">
        <w:rPr>
          <w:rFonts w:cs="Arial"/>
        </w:rPr>
        <w:t xml:space="preserve">, as well as the number of jobs a person has, and which is their highest earning job. </w:t>
      </w:r>
    </w:p>
    <w:p w14:paraId="4FDA24C6" w14:textId="77777777" w:rsidR="00705CFF" w:rsidRPr="00705CFF" w:rsidRDefault="00705CFF" w:rsidP="00705CFF">
      <w:pPr>
        <w:rPr>
          <w:rFonts w:cs="Arial"/>
        </w:rPr>
      </w:pPr>
      <w:r w:rsidRPr="00705CFF">
        <w:rPr>
          <w:rFonts w:cs="Arial"/>
        </w:rPr>
        <w:t xml:space="preserve">Importantly, however, while fluctuating pay is an indicator of insecure work, it alone does not mean a person is in insecure work. For some workers, jobs with fluctuating pay are a conscious choice that allows them to manage their lives, goals, and responsibilities. Fluctuating pay can also be a normal feature of some secure jobs - for example through overtime hours. </w:t>
      </w:r>
    </w:p>
    <w:p w14:paraId="7EC19E90" w14:textId="20B7BEE7" w:rsidR="00705CFF" w:rsidRPr="00705CFF" w:rsidRDefault="00705CFF" w:rsidP="00705CFF">
      <w:pPr>
        <w:rPr>
          <w:rFonts w:cs="Arial"/>
        </w:rPr>
      </w:pPr>
      <w:r w:rsidRPr="00705CFF">
        <w:rPr>
          <w:rFonts w:cs="Arial"/>
        </w:rPr>
        <w:t>JSA has developed a metric of income volatility defined as the proportion of the total time employed when an employee experiences a change (either increase or decrease) in income of at least 25% as compared to the previous week. For example, if a person experiences 5 weekly changes in income, greater than 25%, over a period of 50 weeks, that person has income volatility of 10% (5 divided by 50)</w:t>
      </w:r>
      <w:r w:rsidR="00E4400F">
        <w:rPr>
          <w:rStyle w:val="FootnoteReference"/>
          <w:rFonts w:cs="Arial"/>
        </w:rPr>
        <w:footnoteReference w:id="8"/>
      </w:r>
      <w:r w:rsidRPr="00705CFF">
        <w:rPr>
          <w:rFonts w:cs="Arial"/>
        </w:rPr>
        <w:t xml:space="preserve">. The median figures for all jobs are expressed </w:t>
      </w:r>
      <w:r>
        <w:rPr>
          <w:rFonts w:cs="Arial"/>
        </w:rPr>
        <w:t xml:space="preserve">in this </w:t>
      </w:r>
      <w:r w:rsidR="002900C5">
        <w:rPr>
          <w:rFonts w:cs="Arial"/>
        </w:rPr>
        <w:t>section</w:t>
      </w:r>
      <w:r w:rsidR="00AB4937">
        <w:rPr>
          <w:rStyle w:val="FootnoteReference"/>
          <w:rFonts w:cs="Arial"/>
        </w:rPr>
        <w:footnoteReference w:id="9"/>
      </w:r>
      <w:r w:rsidRPr="00705CFF">
        <w:rPr>
          <w:rFonts w:cs="Arial"/>
        </w:rPr>
        <w:t>.</w:t>
      </w:r>
    </w:p>
    <w:p w14:paraId="199ADB66" w14:textId="3EF19B10" w:rsidR="0087520E" w:rsidRPr="00AC0957" w:rsidRDefault="00705CFF" w:rsidP="00705CFF">
      <w:pPr>
        <w:rPr>
          <w:rFonts w:cs="Arial"/>
        </w:rPr>
      </w:pPr>
      <w:r w:rsidRPr="00705CFF">
        <w:rPr>
          <w:rFonts w:cs="Arial"/>
        </w:rPr>
        <w:t xml:space="preserve">We propose a next step would be correlation analysis to identify the relationship between income volatility and job tenure since this might predict potential shortages in occupations where income volatility is prevalent. STP phase 2 requires employers to report on the employment status of employees (e.g. full time, casual, labour hire) </w:t>
      </w:r>
      <w:sdt>
        <w:sdtPr>
          <w:rPr>
            <w:rFonts w:cs="Arial"/>
          </w:rPr>
          <w:id w:val="1584494927"/>
          <w:citation/>
        </w:sdtPr>
        <w:sdtEndPr/>
        <w:sdtContent>
          <w:r w:rsidR="00752FFB">
            <w:rPr>
              <w:rFonts w:cs="Arial"/>
            </w:rPr>
            <w:fldChar w:fldCharType="begin"/>
          </w:r>
          <w:r w:rsidR="00752FFB">
            <w:rPr>
              <w:rFonts w:cs="Arial"/>
            </w:rPr>
            <w:instrText xml:space="preserve">CITATION ATO24 \l 3081 </w:instrText>
          </w:r>
          <w:r w:rsidR="00752FFB">
            <w:rPr>
              <w:rFonts w:cs="Arial"/>
            </w:rPr>
            <w:fldChar w:fldCharType="separate"/>
          </w:r>
          <w:r w:rsidR="00CA3587" w:rsidRPr="00CA3587">
            <w:rPr>
              <w:rFonts w:cs="Arial"/>
              <w:noProof/>
            </w:rPr>
            <w:t>(Australian Taxation Office, 2024)</w:t>
          </w:r>
          <w:r w:rsidR="00752FFB">
            <w:rPr>
              <w:rFonts w:cs="Arial"/>
            </w:rPr>
            <w:fldChar w:fldCharType="end"/>
          </w:r>
        </w:sdtContent>
      </w:sdt>
      <w:r w:rsidRPr="00705CFF">
        <w:rPr>
          <w:rFonts w:cs="Arial"/>
        </w:rPr>
        <w:t xml:space="preserve">. When this data becomes available in PLIDA, JSA will also analyse how this additional aspect of insecure work impacts workers and interacts with </w:t>
      </w:r>
      <w:r w:rsidRPr="00CB3DA1">
        <w:rPr>
          <w:rFonts w:cs="Arial"/>
        </w:rPr>
        <w:t>fluctuating pay.</w:t>
      </w:r>
      <w:r w:rsidR="0087520E" w:rsidRPr="00AC0957">
        <w:rPr>
          <w:rFonts w:cs="Arial"/>
        </w:rPr>
        <w:t xml:space="preserve"> </w:t>
      </w:r>
    </w:p>
    <w:p w14:paraId="06402920" w14:textId="2E5A0D74" w:rsidR="00AE354D" w:rsidRPr="00AE354D" w:rsidRDefault="00AE354D" w:rsidP="002070A6">
      <w:pPr>
        <w:pStyle w:val="Heading4"/>
      </w:pPr>
      <w:r w:rsidRPr="00AC0957">
        <w:t>Key findings</w:t>
      </w:r>
    </w:p>
    <w:p w14:paraId="564533DD" w14:textId="77777777" w:rsidR="009C6372" w:rsidRPr="009C6372" w:rsidRDefault="009C6372" w:rsidP="009C6372">
      <w:pPr>
        <w:rPr>
          <w:rFonts w:cs="Arial"/>
        </w:rPr>
      </w:pPr>
      <w:r w:rsidRPr="009C6372">
        <w:rPr>
          <w:rFonts w:cs="Arial"/>
        </w:rPr>
        <w:t xml:space="preserve">Compared to employees in jobs with stable incomes, employees who experienced more income volatility in a job, tended to earn less annual income and remained in that job for shorter periods of time. Those who have more than one job experienced higher volatility in their additional jobs outside of their main job (their highest earning job) and remained in these jobs for shorter periods. </w:t>
      </w:r>
    </w:p>
    <w:p w14:paraId="7A778F76" w14:textId="6B7FA424" w:rsidR="00AC2606" w:rsidRPr="00F52D08" w:rsidRDefault="009C6372" w:rsidP="009C6372">
      <w:pPr>
        <w:rPr>
          <w:rFonts w:cs="Arial"/>
        </w:rPr>
      </w:pPr>
      <w:r w:rsidRPr="009C6372">
        <w:rPr>
          <w:rFonts w:cs="Arial"/>
        </w:rPr>
        <w:t xml:space="preserve">Over time, the median volatility for employees in their highest earning job went from 7.7% in 2020–21 up in the following financial year to 9.1% in 2021–22 and down to 7.9 % in 2022–23. In other words, in 2022-23, half of reported employees only experienced income volatility, at most the equivalent to 4 weeks per year (7.9% of 52 weeks). </w:t>
      </w:r>
    </w:p>
    <w:p w14:paraId="74008F6A" w14:textId="16DDE092" w:rsidR="00AC2606" w:rsidRPr="00AC0957" w:rsidRDefault="00AC2606" w:rsidP="00AC2606">
      <w:pPr>
        <w:pStyle w:val="Heading4"/>
      </w:pPr>
      <w:r w:rsidRPr="00AC0957">
        <w:t>Gender analysis</w:t>
      </w:r>
    </w:p>
    <w:p w14:paraId="3668224F" w14:textId="21184AD9" w:rsidR="00BA0D28" w:rsidRDefault="00AC2606" w:rsidP="008C1832">
      <w:pPr>
        <w:rPr>
          <w:rFonts w:cs="Arial"/>
        </w:rPr>
      </w:pPr>
      <w:r w:rsidRPr="00AC0957">
        <w:rPr>
          <w:rFonts w:cs="Arial"/>
        </w:rPr>
        <w:t xml:space="preserve">In their highest earning job, females experienced marginally higher median volatility than males in 2022-23. </w:t>
      </w:r>
      <w:r w:rsidR="0014759B">
        <w:rPr>
          <w:rFonts w:cs="Arial"/>
        </w:rPr>
        <w:t>W</w:t>
      </w:r>
      <w:r w:rsidRPr="00AC0957">
        <w:rPr>
          <w:rFonts w:cs="Arial"/>
        </w:rPr>
        <w:t>hen this is combined with a lower median weekly income, it equates to an average annual income difference of $23,300</w:t>
      </w:r>
      <w:r w:rsidR="00F458A8">
        <w:rPr>
          <w:rStyle w:val="FootnoteReference"/>
          <w:rFonts w:cs="Arial"/>
        </w:rPr>
        <w:footnoteReference w:id="10"/>
      </w:r>
      <w:r w:rsidRPr="00AC0957">
        <w:rPr>
          <w:rFonts w:cs="Arial"/>
        </w:rPr>
        <w:t xml:space="preserve"> per annum less for female employees. </w:t>
      </w:r>
      <w:bookmarkStart w:id="75" w:name="_Ref179966882"/>
      <w:bookmarkStart w:id="76" w:name="_Ref179895520"/>
      <w:bookmarkStart w:id="77" w:name="Table_2"/>
    </w:p>
    <w:bookmarkEnd w:id="75"/>
    <w:bookmarkEnd w:id="76"/>
    <w:bookmarkEnd w:id="77"/>
    <w:p w14:paraId="0F90248A" w14:textId="248BC25C" w:rsidR="003C0B47" w:rsidRPr="003C0B47" w:rsidRDefault="003C0B47" w:rsidP="003C0B47">
      <w:pPr>
        <w:rPr>
          <w:rFonts w:cs="Arial"/>
        </w:rPr>
      </w:pPr>
      <w:r w:rsidRPr="003C0B47">
        <w:rPr>
          <w:rFonts w:cs="Arial"/>
        </w:rPr>
        <w:t>For females, second and other jobs provide a more extreme picture to that shown for highest earning jobs. In 2022-23, female employees were more likely than male employees (29% as compared to 26%) to have more than one job, and female employees were more likely to experience income volatility in their second and other jobs than male employees.</w:t>
      </w:r>
    </w:p>
    <w:p w14:paraId="6B460D77" w14:textId="44888A5E" w:rsidR="008A0C4B" w:rsidRPr="00EA4A1A" w:rsidRDefault="003C0B47" w:rsidP="003C0B47">
      <w:r w:rsidRPr="003C0B47">
        <w:rPr>
          <w:rFonts w:cs="Arial"/>
        </w:rPr>
        <w:t>Female employees in their secondary jobs will also experience a longer period of volatility equivalent to a median of 12 weeks in a year (23.8% of 52 weeks) compared with 9 weeks in a year for male employees. This is combined with a median weekly income for females equating to approximately 56% of the male median weekly income, or an average total income for females that is approximately 69% of that of male employees</w:t>
      </w:r>
      <w:r w:rsidR="008A0C4B" w:rsidRPr="00EA4A1A">
        <w:t>.</w:t>
      </w:r>
    </w:p>
    <w:p w14:paraId="36975C3D" w14:textId="194A6B30" w:rsidR="00BA0D28" w:rsidRPr="008C1832" w:rsidRDefault="00D763AA" w:rsidP="008C1832">
      <w:pPr>
        <w:spacing w:before="120" w:after="120"/>
        <w:rPr>
          <w:rFonts w:cs="Arial"/>
        </w:rPr>
      </w:pPr>
      <w:r w:rsidRPr="00D763AA">
        <w:rPr>
          <w:rFonts w:cs="Arial"/>
        </w:rPr>
        <w:t>As a possible next step, JSA will need to investigate the working arrangements in the industries where women work secondary jobs and compare income volatility for men employed in the same industries. While information on second occupation is not available, industry and locality of work can be investigated</w:t>
      </w:r>
      <w:r w:rsidR="00AC2606" w:rsidRPr="00AC0957">
        <w:rPr>
          <w:rFonts w:cs="Arial"/>
        </w:rPr>
        <w:t xml:space="preserve">. </w:t>
      </w:r>
    </w:p>
    <w:p w14:paraId="11CFE270" w14:textId="74F7CA01" w:rsidR="00AC2606" w:rsidRPr="00AC0957" w:rsidRDefault="00AC2606" w:rsidP="00AC2606">
      <w:pPr>
        <w:pStyle w:val="Heading4"/>
      </w:pPr>
      <w:r w:rsidRPr="00AC0957">
        <w:t xml:space="preserve">First Nations </w:t>
      </w:r>
      <w:r w:rsidR="00CD56D9">
        <w:t>workers</w:t>
      </w:r>
    </w:p>
    <w:p w14:paraId="620AB4C5" w14:textId="3FA19A88" w:rsidR="005B37E2" w:rsidRPr="005B37E2" w:rsidRDefault="005B37E2" w:rsidP="00D7737E">
      <w:r w:rsidRPr="005B37E2">
        <w:rPr>
          <w:rFonts w:cs="Arial"/>
        </w:rPr>
        <w:t xml:space="preserve">Compared to all employees, in 2022-23, First Nations </w:t>
      </w:r>
      <w:r w:rsidR="00DA0296">
        <w:rPr>
          <w:rFonts w:cs="Arial"/>
        </w:rPr>
        <w:t>worker</w:t>
      </w:r>
      <w:r w:rsidRPr="005B37E2">
        <w:rPr>
          <w:rFonts w:cs="Arial"/>
        </w:rPr>
        <w:t>s</w:t>
      </w:r>
      <w:r w:rsidR="00123BF0">
        <w:rPr>
          <w:rStyle w:val="FootnoteReference"/>
          <w:rFonts w:cs="Arial"/>
        </w:rPr>
        <w:footnoteReference w:id="11"/>
      </w:r>
      <w:r w:rsidRPr="005B37E2">
        <w:rPr>
          <w:rFonts w:cs="Arial"/>
        </w:rPr>
        <w:t xml:space="preserve"> were</w:t>
      </w:r>
      <w:r w:rsidR="002B4B59">
        <w:rPr>
          <w:rFonts w:cs="Arial"/>
        </w:rPr>
        <w:t xml:space="preserve"> </w:t>
      </w:r>
      <w:r>
        <w:t>m</w:t>
      </w:r>
      <w:r w:rsidRPr="005B37E2">
        <w:t>ore likely to be employed in two or more jobs</w:t>
      </w:r>
      <w:r w:rsidR="002B4B59">
        <w:t xml:space="preserve">, </w:t>
      </w:r>
      <w:r w:rsidR="00F336C9">
        <w:t xml:space="preserve">and </w:t>
      </w:r>
      <w:r>
        <w:t>m</w:t>
      </w:r>
      <w:r w:rsidRPr="005B37E2">
        <w:t>ore likely to experience income volatility in their highest earning job</w:t>
      </w:r>
      <w:r w:rsidR="00F336C9">
        <w:t>. They</w:t>
      </w:r>
      <w:r w:rsidR="002B4B59">
        <w:t xml:space="preserve"> </w:t>
      </w:r>
      <w:r>
        <w:t>e</w:t>
      </w:r>
      <w:r w:rsidRPr="005B37E2">
        <w:t>xperienc</w:t>
      </w:r>
      <w:r w:rsidR="00F336C9">
        <w:t>ed</w:t>
      </w:r>
      <w:r w:rsidRPr="005B37E2">
        <w:t xml:space="preserve"> income volatility equivalent to nearly 7 weeks in a year, compared to around 4 weeks or 7.9% for all employees</w:t>
      </w:r>
      <w:r w:rsidR="00F336C9">
        <w:t>,</w:t>
      </w:r>
      <w:r w:rsidR="002B4B59">
        <w:t xml:space="preserve"> and</w:t>
      </w:r>
      <w:r w:rsidR="00422A62">
        <w:t xml:space="preserve"> </w:t>
      </w:r>
      <w:r>
        <w:t>r</w:t>
      </w:r>
      <w:r w:rsidRPr="005B37E2">
        <w:t>eceiv</w:t>
      </w:r>
      <w:r w:rsidR="00F336C9">
        <w:t>ed</w:t>
      </w:r>
      <w:r w:rsidR="00B75436">
        <w:t xml:space="preserve"> less annual income</w:t>
      </w:r>
      <w:r w:rsidRPr="005B37E2">
        <w:t xml:space="preserve"> </w:t>
      </w:r>
      <w:r w:rsidR="00CD56D9">
        <w:t>(</w:t>
      </w:r>
      <w:r w:rsidRPr="005B37E2">
        <w:t>an average total income of $49,429 per annum as compared to $63,581 for all employees</w:t>
      </w:r>
      <w:r w:rsidR="00CD56D9">
        <w:t>)</w:t>
      </w:r>
      <w:r w:rsidRPr="005B37E2">
        <w:t xml:space="preserve">. </w:t>
      </w:r>
    </w:p>
    <w:p w14:paraId="7FC8E5AB" w14:textId="19F66968" w:rsidR="00AC2606" w:rsidRPr="00AC0957" w:rsidRDefault="005B37E2" w:rsidP="005B37E2">
      <w:pPr>
        <w:rPr>
          <w:rFonts w:cs="Arial"/>
        </w:rPr>
      </w:pPr>
      <w:r w:rsidRPr="005B37E2">
        <w:rPr>
          <w:rFonts w:cs="Arial"/>
        </w:rPr>
        <w:t xml:space="preserve">When second and other jobs are considered, First Nations workers were </w:t>
      </w:r>
      <w:r w:rsidRPr="00CD56D9">
        <w:rPr>
          <w:rFonts w:cs="Arial"/>
          <w:i/>
          <w:iCs/>
        </w:rPr>
        <w:t>less</w:t>
      </w:r>
      <w:r w:rsidRPr="005B37E2">
        <w:rPr>
          <w:rFonts w:cs="Arial"/>
        </w:rPr>
        <w:t xml:space="preserve"> likely to experience volatility than in their main job </w:t>
      </w:r>
      <w:r w:rsidR="00CD56D9">
        <w:rPr>
          <w:rFonts w:cs="Arial"/>
        </w:rPr>
        <w:t>(29</w:t>
      </w:r>
      <w:r w:rsidRPr="005B37E2">
        <w:rPr>
          <w:rFonts w:cs="Arial"/>
        </w:rPr>
        <w:t xml:space="preserve">% of First Nations </w:t>
      </w:r>
      <w:r w:rsidR="00DA0296">
        <w:rPr>
          <w:rFonts w:cs="Arial"/>
        </w:rPr>
        <w:t>workers</w:t>
      </w:r>
      <w:r w:rsidRPr="005B37E2">
        <w:rPr>
          <w:rFonts w:cs="Arial"/>
        </w:rPr>
        <w:t xml:space="preserve"> employed in two or more jobs throughout 2022-23 experienced no income volatility in their second and other jobs, as compared to 16% in their highest earning jobs</w:t>
      </w:r>
      <w:r w:rsidR="00CD56D9">
        <w:rPr>
          <w:rFonts w:cs="Arial"/>
        </w:rPr>
        <w:t>)</w:t>
      </w:r>
      <w:r w:rsidRPr="005B37E2">
        <w:rPr>
          <w:rFonts w:cs="Arial"/>
        </w:rPr>
        <w:t>. For those who did experience volatility, however, the period of volatility was greater. First Nations workers who experienced volatility in their second and other jobs experienced a median volatility equivalent to 13 weeks in a year (25% of 52 weeks)</w:t>
      </w:r>
      <w:r w:rsidR="00AC2606" w:rsidRPr="00AC0957">
        <w:rPr>
          <w:rFonts w:cs="Arial"/>
        </w:rPr>
        <w:t xml:space="preserve">. </w:t>
      </w:r>
    </w:p>
    <w:p w14:paraId="37E339CE" w14:textId="77777777" w:rsidR="00AC2606" w:rsidRPr="00AC0957" w:rsidRDefault="00AC2606" w:rsidP="00AC2606">
      <w:pPr>
        <w:pStyle w:val="Heading3"/>
        <w:rPr>
          <w:rFonts w:cs="Arial"/>
        </w:rPr>
      </w:pPr>
      <w:bookmarkStart w:id="78" w:name="_Toc179887372"/>
      <w:bookmarkStart w:id="79" w:name="_Toc181371567"/>
      <w:r w:rsidRPr="00AC0957">
        <w:rPr>
          <w:rFonts w:cs="Arial"/>
        </w:rPr>
        <w:t>International students</w:t>
      </w:r>
      <w:bookmarkEnd w:id="78"/>
      <w:bookmarkEnd w:id="79"/>
    </w:p>
    <w:p w14:paraId="427CCB2C" w14:textId="1E2C324F" w:rsidR="007779DE" w:rsidRPr="007779DE" w:rsidRDefault="007779DE" w:rsidP="007779DE">
      <w:pPr>
        <w:rPr>
          <w:rFonts w:cs="Arial"/>
        </w:rPr>
      </w:pPr>
      <w:r w:rsidRPr="007779DE">
        <w:rPr>
          <w:rFonts w:cs="Arial"/>
        </w:rPr>
        <w:t>International students enrich Australia’s campuses and communities by bringing cultural diversity and sharing new ideas and perspectives. International graduates have also become an important contributor to Australia’s permanent migration program. In addition to their rich civic, social, and cultural contributions, permanent skilled migrants, including students securing permanent skilled visas, are projected to contribute approximately $3 million each to the Australian economy over their working lives</w:t>
      </w:r>
      <w:sdt>
        <w:sdtPr>
          <w:rPr>
            <w:rFonts w:cs="Arial"/>
          </w:rPr>
          <w:id w:val="1677467636"/>
          <w:citation/>
        </w:sdtPr>
        <w:sdtEndPr/>
        <w:sdtContent>
          <w:r w:rsidR="00EB6115">
            <w:rPr>
              <w:rFonts w:cs="Arial"/>
            </w:rPr>
            <w:fldChar w:fldCharType="begin"/>
          </w:r>
          <w:r w:rsidR="00EB6115">
            <w:rPr>
              <w:rFonts w:cs="Arial"/>
            </w:rPr>
            <w:instrText xml:space="preserve"> CITATION Com231 \l 3081 </w:instrText>
          </w:r>
          <w:r w:rsidR="00EB6115">
            <w:rPr>
              <w:rFonts w:cs="Arial"/>
            </w:rPr>
            <w:fldChar w:fldCharType="separate"/>
          </w:r>
          <w:r w:rsidR="00CA3587">
            <w:rPr>
              <w:rFonts w:cs="Arial"/>
              <w:noProof/>
            </w:rPr>
            <w:t xml:space="preserve"> </w:t>
          </w:r>
          <w:r w:rsidR="00CA3587" w:rsidRPr="00CA3587">
            <w:rPr>
              <w:rFonts w:cs="Arial"/>
              <w:noProof/>
            </w:rPr>
            <w:t>(Commonwealth of Australia, 2023b)</w:t>
          </w:r>
          <w:r w:rsidR="00EB6115">
            <w:rPr>
              <w:rFonts w:cs="Arial"/>
            </w:rPr>
            <w:fldChar w:fldCharType="end"/>
          </w:r>
        </w:sdtContent>
      </w:sdt>
      <w:r w:rsidRPr="007779DE">
        <w:rPr>
          <w:rFonts w:cs="Arial"/>
        </w:rPr>
        <w:t xml:space="preserve">. In the 2023 calendar year, international education was worth $47.8 billion to the Australian economy, including education export income of $31.8 billion for the higher education sector and $11.1 billion for the VET sector </w:t>
      </w:r>
      <w:sdt>
        <w:sdtPr>
          <w:rPr>
            <w:rFonts w:cs="Arial"/>
          </w:rPr>
          <w:id w:val="1293011520"/>
          <w:citation/>
        </w:sdtPr>
        <w:sdtEndPr/>
        <w:sdtContent>
          <w:r w:rsidR="009772B8">
            <w:rPr>
              <w:rFonts w:cs="Arial"/>
            </w:rPr>
            <w:fldChar w:fldCharType="begin"/>
          </w:r>
          <w:r w:rsidR="009772B8">
            <w:rPr>
              <w:rFonts w:cs="Arial"/>
            </w:rPr>
            <w:instrText xml:space="preserve"> CITATION Com4b \l 3081 </w:instrText>
          </w:r>
          <w:r w:rsidR="009772B8">
            <w:rPr>
              <w:rFonts w:cs="Arial"/>
            </w:rPr>
            <w:fldChar w:fldCharType="separate"/>
          </w:r>
          <w:r w:rsidR="00CA3587" w:rsidRPr="00CA3587">
            <w:rPr>
              <w:rFonts w:cs="Arial"/>
              <w:noProof/>
            </w:rPr>
            <w:t>(Commonwealth of Australia, Department of Education, 2024)</w:t>
          </w:r>
          <w:r w:rsidR="009772B8">
            <w:rPr>
              <w:rFonts w:cs="Arial"/>
            </w:rPr>
            <w:fldChar w:fldCharType="end"/>
          </w:r>
        </w:sdtContent>
      </w:sdt>
      <w:r w:rsidRPr="007779DE">
        <w:rPr>
          <w:rFonts w:cs="Arial"/>
        </w:rPr>
        <w:t>.</w:t>
      </w:r>
    </w:p>
    <w:p w14:paraId="1E31D5EA" w14:textId="132A3645" w:rsidR="00AC2606" w:rsidRPr="00AC0957" w:rsidRDefault="007779DE" w:rsidP="007779DE">
      <w:pPr>
        <w:rPr>
          <w:rFonts w:cs="Arial"/>
          <w:highlight w:val="yellow"/>
        </w:rPr>
      </w:pPr>
      <w:r w:rsidRPr="007779DE">
        <w:rPr>
          <w:rFonts w:cs="Arial"/>
        </w:rPr>
        <w:t xml:space="preserve">The Review of the Migration System found that international graduates’ employment outcomes are not commensurate with the qualifications they have completed </w:t>
      </w:r>
      <w:sdt>
        <w:sdtPr>
          <w:rPr>
            <w:rFonts w:cs="Arial"/>
          </w:rPr>
          <w:id w:val="1301728777"/>
          <w:citation/>
        </w:sdtPr>
        <w:sdtEndPr/>
        <w:sdtContent>
          <w:r w:rsidR="00481CCD">
            <w:rPr>
              <w:rFonts w:cs="Arial"/>
            </w:rPr>
            <w:fldChar w:fldCharType="begin"/>
          </w:r>
          <w:r w:rsidR="00481CCD">
            <w:rPr>
              <w:rFonts w:cs="Arial"/>
            </w:rPr>
            <w:instrText xml:space="preserve"> CITATION Com231 \l 3081 </w:instrText>
          </w:r>
          <w:r w:rsidR="00481CCD">
            <w:rPr>
              <w:rFonts w:cs="Arial"/>
            </w:rPr>
            <w:fldChar w:fldCharType="separate"/>
          </w:r>
          <w:r w:rsidR="00CA3587" w:rsidRPr="00CA3587">
            <w:rPr>
              <w:rFonts w:cs="Arial"/>
              <w:noProof/>
            </w:rPr>
            <w:t>(Commonwealth of Australia, 2023b)</w:t>
          </w:r>
          <w:r w:rsidR="00481CCD">
            <w:rPr>
              <w:rFonts w:cs="Arial"/>
            </w:rPr>
            <w:fldChar w:fldCharType="end"/>
          </w:r>
        </w:sdtContent>
      </w:sdt>
      <w:r w:rsidRPr="007779DE">
        <w:rPr>
          <w:rFonts w:cs="Arial"/>
        </w:rPr>
        <w:t>. The Government’s Migration Strategy subsequently recommended that JSA undertake study to consider the barriers limiting international graduates from transitioning into the skilled workforce, which would support ongoing consideration of how the sector’s value to Australia can be safeguarded and maximised. Interim work on the study has explored the student population, examined pathways to participation in the permanent workforce, and observed the outcomes graduates achieve. Consideration of the interim findings of the study is underway to deliver a final report</w:t>
      </w:r>
      <w:r w:rsidR="00AC2606" w:rsidRPr="00AC0957">
        <w:rPr>
          <w:rFonts w:cs="Arial"/>
        </w:rPr>
        <w:t>.</w:t>
      </w:r>
    </w:p>
    <w:p w14:paraId="78E82E66" w14:textId="77777777" w:rsidR="00AC2606" w:rsidRPr="00AC0957" w:rsidRDefault="00AC2606" w:rsidP="00AC2606">
      <w:pPr>
        <w:pStyle w:val="Heading4"/>
      </w:pPr>
      <w:r w:rsidRPr="00AC0957">
        <w:t>Exploring and defining the international student population</w:t>
      </w:r>
    </w:p>
    <w:p w14:paraId="7E48E853" w14:textId="452CDDAA" w:rsidR="00AC2606" w:rsidRPr="00AC0957" w:rsidRDefault="00930881" w:rsidP="00AC2606">
      <w:pPr>
        <w:rPr>
          <w:rFonts w:cs="Arial"/>
        </w:rPr>
      </w:pPr>
      <w:r w:rsidRPr="00930881">
        <w:rPr>
          <w:rFonts w:cs="Arial"/>
        </w:rPr>
        <w:t>The shape and demographic profile of Australia’s international student cohort has been changing over the past decade. While the top 10 source countries have been stable over that period, enrolments are shifting away from being dominated by Chinese students toward South Asia. Enrolments from India, Nepal and other South Asian countries have been increasing in both higher education and VET courses (</w:t>
      </w:r>
      <w:r>
        <w:rPr>
          <w:rFonts w:cs="Arial"/>
        </w:rPr>
        <w:fldChar w:fldCharType="begin"/>
      </w:r>
      <w:r>
        <w:rPr>
          <w:rFonts w:cs="Arial"/>
        </w:rPr>
        <w:instrText xml:space="preserve"> REF _Ref179895599 \h </w:instrText>
      </w:r>
      <w:r>
        <w:rPr>
          <w:rFonts w:cs="Arial"/>
        </w:rPr>
      </w:r>
      <w:r>
        <w:rPr>
          <w:rFonts w:cs="Arial"/>
        </w:rPr>
        <w:fldChar w:fldCharType="separate"/>
      </w:r>
      <w:r w:rsidR="00C47A81">
        <w:t xml:space="preserve">Figure </w:t>
      </w:r>
      <w:r w:rsidR="00C47A81">
        <w:rPr>
          <w:noProof/>
        </w:rPr>
        <w:t>17</w:t>
      </w:r>
      <w:r>
        <w:rPr>
          <w:rFonts w:cs="Arial"/>
        </w:rPr>
        <w:fldChar w:fldCharType="end"/>
      </w:r>
      <w:r w:rsidRPr="00930881">
        <w:rPr>
          <w:rFonts w:cs="Arial"/>
        </w:rPr>
        <w:t>).</w:t>
      </w:r>
    </w:p>
    <w:p w14:paraId="2ECBE340" w14:textId="5BEDBA1C" w:rsidR="002A160B" w:rsidRDefault="002A160B" w:rsidP="002A160B">
      <w:pPr>
        <w:pStyle w:val="Caption"/>
      </w:pPr>
      <w:bookmarkStart w:id="80" w:name="_Ref179895599"/>
      <w:bookmarkStart w:id="81" w:name="_Ref179895578"/>
      <w:bookmarkStart w:id="82" w:name="_Toc181370319"/>
      <w:r>
        <w:t xml:space="preserve">Figure </w:t>
      </w:r>
      <w:r>
        <w:fldChar w:fldCharType="begin"/>
      </w:r>
      <w:r>
        <w:instrText xml:space="preserve"> SEQ Figure \* ARABIC </w:instrText>
      </w:r>
      <w:r>
        <w:fldChar w:fldCharType="separate"/>
      </w:r>
      <w:r w:rsidR="00C47A81">
        <w:rPr>
          <w:noProof/>
        </w:rPr>
        <w:t>17</w:t>
      </w:r>
      <w:r>
        <w:fldChar w:fldCharType="end"/>
      </w:r>
      <w:bookmarkEnd w:id="80"/>
      <w:r>
        <w:t xml:space="preserve">: </w:t>
      </w:r>
      <w:r w:rsidRPr="00A87444">
        <w:t>Relative change in the proportion of international student enrolments since 2012, by level of qualification</w:t>
      </w:r>
      <w:bookmarkEnd w:id="81"/>
      <w:bookmarkEnd w:id="82"/>
    </w:p>
    <w:p w14:paraId="4DAEFF19" w14:textId="3A919AB6" w:rsidR="00AC2606" w:rsidRPr="00AC0957" w:rsidRDefault="0048515B" w:rsidP="00A851D9">
      <w:pPr>
        <w:jc w:val="center"/>
      </w:pPr>
      <w:r>
        <w:rPr>
          <w:noProof/>
        </w:rPr>
        <w:drawing>
          <wp:inline distT="0" distB="0" distL="0" distR="0" wp14:anchorId="51227F5E" wp14:editId="30B8BC31">
            <wp:extent cx="5454594" cy="3314053"/>
            <wp:effectExtent l="0" t="0" r="0" b="1270"/>
            <wp:docPr id="480785998" name="Picture 34" descr="Chart showing that VET enrolment trends have changed since the pandemic, and that while some Latin American countries, such as Colombia and Brazil, have continued to be important source countries for VET enrolments, demand for VET has grown more strongly from South Asian countr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785998" name="Picture 34" descr="Chart showing that VET enrolment trends have changed since the pandemic, and that while some Latin American countries, such as Colombia and Brazil, have continued to be important source countries for VET enrolments, demand for VET has grown more strongly from South Asian countries.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54594" cy="3314053"/>
                    </a:xfrm>
                    <a:prstGeom prst="rect">
                      <a:avLst/>
                    </a:prstGeom>
                    <a:noFill/>
                  </pic:spPr>
                </pic:pic>
              </a:graphicData>
            </a:graphic>
          </wp:inline>
        </w:drawing>
      </w:r>
    </w:p>
    <w:p w14:paraId="4D7D339B" w14:textId="079FB0D4" w:rsidR="00AC2606" w:rsidRPr="00AC0957" w:rsidRDefault="00AC2606" w:rsidP="00D24615">
      <w:pPr>
        <w:pStyle w:val="ChartorTableNote"/>
      </w:pPr>
      <w:r w:rsidRPr="00AC0957">
        <w:t>Source: Department of Education, PRISMS data</w:t>
      </w:r>
      <w:r w:rsidR="00BE5169">
        <w:t>, 2024</w:t>
      </w:r>
      <w:r w:rsidR="00A819EB">
        <w:t>.</w:t>
      </w:r>
    </w:p>
    <w:p w14:paraId="57318CC3" w14:textId="77777777" w:rsidR="00AC2606" w:rsidRPr="00AC0957" w:rsidRDefault="00AC2606" w:rsidP="00AC2606">
      <w:pPr>
        <w:pStyle w:val="Heading4"/>
      </w:pPr>
      <w:r w:rsidRPr="00AC0957">
        <w:t>Student aspirations and patterns of visa use</w:t>
      </w:r>
    </w:p>
    <w:p w14:paraId="442C328C" w14:textId="77777777" w:rsidR="00E54B39" w:rsidRDefault="00E54B39" w:rsidP="00E54B39">
      <w:r>
        <w:t xml:space="preserve">When choosing Australia as a destination, international students have indicated that work and migration opportunities are important considerations. As part of the study’s qualitative research, international students reported that at times these aspirations may be ahead of education aspirations. In considering how these aspirations manifest in behaviour, the study identified a correlation between course choices for higher education and VET international students with requirements for skilled and permanent migration visas. This correlation requires further investigation, including more detailed analysis of patterns of student behaviours observed by the study, including: </w:t>
      </w:r>
    </w:p>
    <w:p w14:paraId="6E9BEAFD" w14:textId="7882AB32" w:rsidR="00E54B39" w:rsidRDefault="00E54B39" w:rsidP="00E54B39">
      <w:pPr>
        <w:pStyle w:val="ListBullet"/>
      </w:pPr>
      <w:r>
        <w:t>responses by students collected during JSA qualitative research and to surveys undertaken as part of the Quality Indicators for Learning and Teaching (QILT) program</w:t>
      </w:r>
    </w:p>
    <w:p w14:paraId="6E92ECB6" w14:textId="3946CD31" w:rsidR="00E54B39" w:rsidRDefault="00E54B39" w:rsidP="00E54B39">
      <w:pPr>
        <w:pStyle w:val="ListBullet"/>
      </w:pPr>
      <w:r>
        <w:t>the favouring of VET courses that can be offered flexibly and cheaply with no mandatory work placements</w:t>
      </w:r>
    </w:p>
    <w:p w14:paraId="158FE540" w14:textId="4AE3E10A" w:rsidR="00E54B39" w:rsidRDefault="00E54B39" w:rsidP="00E54B39">
      <w:pPr>
        <w:pStyle w:val="ListBullet"/>
      </w:pPr>
      <w:r>
        <w:t>the favouring of VET and higher education courses that support permanent residence outcomes</w:t>
      </w:r>
    </w:p>
    <w:p w14:paraId="4C5A87B7" w14:textId="292A39B9" w:rsidR="00E54B39" w:rsidRDefault="00E54B39" w:rsidP="00E54B39">
      <w:pPr>
        <w:pStyle w:val="ListBullet"/>
      </w:pPr>
      <w:r>
        <w:t>evidence of students packaging courses to extend stay and achieve the Australian Study Requirement</w:t>
      </w:r>
    </w:p>
    <w:p w14:paraId="10EAD12D" w14:textId="586BD347" w:rsidR="00AC2606" w:rsidRPr="00AC0957" w:rsidRDefault="00E54B39" w:rsidP="00E54B39">
      <w:pPr>
        <w:pStyle w:val="ListBullet"/>
      </w:pPr>
      <w:r>
        <w:t xml:space="preserve">visa use patterns that that support aspirations for permanent residence </w:t>
      </w:r>
      <w:r w:rsidRPr="00F063F5">
        <w:t>status</w:t>
      </w:r>
      <w:r>
        <w:t>.</w:t>
      </w:r>
    </w:p>
    <w:p w14:paraId="60B48126" w14:textId="77777777" w:rsidR="00AC2606" w:rsidRPr="00AC0957" w:rsidRDefault="00AC2606" w:rsidP="00AC2606">
      <w:pPr>
        <w:pStyle w:val="Heading4"/>
      </w:pPr>
      <w:r w:rsidRPr="00AC0957">
        <w:t>Barriers faced by international students and graduates</w:t>
      </w:r>
    </w:p>
    <w:p w14:paraId="1BA82512" w14:textId="1A5C407D" w:rsidR="006852E9" w:rsidRPr="006852E9" w:rsidRDefault="006852E9" w:rsidP="006852E9">
      <w:pPr>
        <w:rPr>
          <w:rFonts w:cs="Arial"/>
          <w:lang w:val="en-US"/>
        </w:rPr>
      </w:pPr>
      <w:r w:rsidRPr="006852E9">
        <w:rPr>
          <w:rFonts w:cs="Arial"/>
          <w:lang w:val="en-US"/>
        </w:rPr>
        <w:t>The study has observed that international VET students and graduates face more difficult visa pathways than higher education students and graduates but appear to experience better outcomes in the workforce. That is, they experience employment outcomes that better align with the skills and qualifications they have attained. However, despite better matching between employment and qualifications, VET students and graduates face significant barriers. These barriers include lower visa grant rates compared to higher education applicants and shorter VET courses that are not well suited to meeting the Australian Study Requirement. Post-study, potential barriers include that the Temporary Graduate Visa (TGV) Post-Vocational Education work stream has a more limited 18-month duration than the two- and three-year Post-Higher Education Work stream and is constrained by occupation and other required activity. It may take longer, with more visa transitions, for VET applicants to achieve permanent residence.</w:t>
      </w:r>
    </w:p>
    <w:p w14:paraId="23577E26" w14:textId="6FE042BF" w:rsidR="00AC2606" w:rsidRPr="00AC0957" w:rsidRDefault="006852E9" w:rsidP="006852E9">
      <w:pPr>
        <w:rPr>
          <w:rFonts w:cs="Arial"/>
        </w:rPr>
      </w:pPr>
      <w:r w:rsidRPr="006852E9">
        <w:rPr>
          <w:rFonts w:cs="Arial"/>
          <w:lang w:val="en-US"/>
        </w:rPr>
        <w:t>International graduates from both VET and higher education pathways also face barriers to skilled employment post-study, including securing employment in their field and qualification level and earning less than their domestic counterparts (</w:t>
      </w:r>
      <w:r w:rsidR="004732E6">
        <w:rPr>
          <w:rFonts w:cs="Arial"/>
          <w:lang w:val="en-US"/>
        </w:rPr>
        <w:fldChar w:fldCharType="begin"/>
      </w:r>
      <w:r w:rsidR="004732E6">
        <w:rPr>
          <w:rFonts w:cs="Arial"/>
          <w:lang w:val="en-US"/>
        </w:rPr>
        <w:instrText xml:space="preserve"> REF _Ref179895635 \h </w:instrText>
      </w:r>
      <w:r w:rsidR="004732E6">
        <w:rPr>
          <w:rFonts w:cs="Arial"/>
          <w:lang w:val="en-US"/>
        </w:rPr>
      </w:r>
      <w:r w:rsidR="004732E6">
        <w:rPr>
          <w:rFonts w:cs="Arial"/>
          <w:lang w:val="en-US"/>
        </w:rPr>
        <w:fldChar w:fldCharType="separate"/>
      </w:r>
      <w:r w:rsidR="00C47A81">
        <w:t xml:space="preserve">Figure </w:t>
      </w:r>
      <w:r w:rsidR="00C47A81">
        <w:rPr>
          <w:noProof/>
        </w:rPr>
        <w:t>18</w:t>
      </w:r>
      <w:r w:rsidR="004732E6">
        <w:rPr>
          <w:rFonts w:cs="Arial"/>
          <w:lang w:val="en-US"/>
        </w:rPr>
        <w:fldChar w:fldCharType="end"/>
      </w:r>
      <w:r w:rsidRPr="006852E9">
        <w:rPr>
          <w:rFonts w:cs="Arial"/>
          <w:lang w:val="en-US"/>
        </w:rPr>
        <w:t xml:space="preserve">). As part of JSA’s qualitative research, employers reported a reluctance to recruit temporary visa holders in skilled roles. Employers indicated that international graduates often did not have sufficient English proficiency or Australian cultural experience to enable them to confidently perform in the workplace. It is important to note that the English language requirements for the TGV were strengthened in March 2024 to protect vulnerable community members from exploitation and support graduates to succeed in the labour market. The study also heard that international students need to work to live while </w:t>
      </w:r>
      <w:r w:rsidR="004732E6" w:rsidRPr="006852E9">
        <w:rPr>
          <w:rFonts w:cs="Arial"/>
          <w:lang w:val="en-US"/>
        </w:rPr>
        <w:t>studying</w:t>
      </w:r>
      <w:r w:rsidR="004732E6">
        <w:rPr>
          <w:rFonts w:cs="Arial"/>
          <w:lang w:val="en-US"/>
        </w:rPr>
        <w:t>,</w:t>
      </w:r>
      <w:r w:rsidR="004732E6" w:rsidRPr="006852E9">
        <w:rPr>
          <w:rFonts w:cs="Arial"/>
          <w:lang w:val="en-US"/>
        </w:rPr>
        <w:t xml:space="preserve"> and</w:t>
      </w:r>
      <w:r w:rsidRPr="006852E9">
        <w:rPr>
          <w:rFonts w:cs="Arial"/>
          <w:lang w:val="en-US"/>
        </w:rPr>
        <w:t xml:space="preserve"> taking time off to participate in non-mandatory work placements, which might promote language and cultural proficiency, is difficult</w:t>
      </w:r>
      <w:r w:rsidR="00AC2606" w:rsidRPr="00AC0957">
        <w:rPr>
          <w:rFonts w:cs="Arial"/>
          <w:lang w:val="en-US"/>
        </w:rPr>
        <w:t>.</w:t>
      </w:r>
    </w:p>
    <w:p w14:paraId="2B48C0B7" w14:textId="63F0E8C6" w:rsidR="00F52D08" w:rsidRDefault="00F52D08" w:rsidP="00107680">
      <w:pPr>
        <w:pStyle w:val="Caption"/>
      </w:pPr>
      <w:bookmarkStart w:id="83" w:name="_Ref179895635"/>
      <w:bookmarkStart w:id="84" w:name="_Toc181370320"/>
      <w:r>
        <w:t xml:space="preserve">Figure </w:t>
      </w:r>
      <w:r>
        <w:fldChar w:fldCharType="begin"/>
      </w:r>
      <w:r>
        <w:instrText xml:space="preserve"> SEQ Figure \* ARABIC </w:instrText>
      </w:r>
      <w:r>
        <w:fldChar w:fldCharType="separate"/>
      </w:r>
      <w:r w:rsidR="00C47A81">
        <w:rPr>
          <w:noProof/>
        </w:rPr>
        <w:t>18</w:t>
      </w:r>
      <w:r>
        <w:fldChar w:fldCharType="end"/>
      </w:r>
      <w:bookmarkEnd w:id="83"/>
      <w:r>
        <w:t xml:space="preserve">: </w:t>
      </w:r>
      <w:r w:rsidR="00B528D0" w:rsidRPr="00B528D0">
        <w:t>Median annual income of fulltime employed domestic graduates and Temporary Graduate visa holders, aged between 20-34 years, by VET and HE in 2021</w:t>
      </w:r>
      <w:bookmarkEnd w:id="84"/>
    </w:p>
    <w:p w14:paraId="0662307C" w14:textId="32035111" w:rsidR="00AC2606" w:rsidRPr="00AC0957" w:rsidRDefault="00E12CBA" w:rsidP="00CD784B">
      <w:pPr>
        <w:jc w:val="center"/>
      </w:pPr>
      <w:r>
        <w:rPr>
          <w:noProof/>
        </w:rPr>
        <w:drawing>
          <wp:inline distT="0" distB="0" distL="0" distR="0" wp14:anchorId="2990A600" wp14:editId="56B228F0">
            <wp:extent cx="4786685" cy="2546339"/>
            <wp:effectExtent l="0" t="0" r="1905" b="8890"/>
            <wp:docPr id="1092953462" name="Picture 35" descr="Chart showing that median annual incomes of fulltime employed VET and higher education TGV visa-holders are less than domestic gradu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953462" name="Picture 35" descr="Chart showing that median annual incomes of fulltime employed VET and higher education TGV visa-holders are less than domestic graduate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86685" cy="2546339"/>
                    </a:xfrm>
                    <a:prstGeom prst="rect">
                      <a:avLst/>
                    </a:prstGeom>
                    <a:noFill/>
                  </pic:spPr>
                </pic:pic>
              </a:graphicData>
            </a:graphic>
          </wp:inline>
        </w:drawing>
      </w:r>
    </w:p>
    <w:p w14:paraId="7FEAC7CE" w14:textId="06CC772D" w:rsidR="00AC2606" w:rsidRDefault="00AC2606" w:rsidP="00107680">
      <w:pPr>
        <w:pStyle w:val="Source"/>
      </w:pPr>
      <w:r w:rsidRPr="00F52D08">
        <w:rPr>
          <w:noProof/>
        </w:rPr>
        <w:t xml:space="preserve">Source: </w:t>
      </w:r>
      <w:r w:rsidR="00EC2888" w:rsidRPr="00EC2888">
        <w:rPr>
          <w:noProof/>
        </w:rPr>
        <w:t>Jobs and Skills Australia’s analysis of ABS, Australian Census and Temporary Entrants Integrated Dataset (ACTEID), 2021 – primary applicants</w:t>
      </w:r>
      <w:r w:rsidR="000D7DE6">
        <w:t>.</w:t>
      </w:r>
    </w:p>
    <w:p w14:paraId="0C0BAF60" w14:textId="34CDD689" w:rsidR="00EC2888" w:rsidRPr="00EC2888" w:rsidRDefault="00EC2888" w:rsidP="009D1949">
      <w:pPr>
        <w:pStyle w:val="ChartorTableNote"/>
      </w:pPr>
      <w:r>
        <w:t xml:space="preserve">Note: </w:t>
      </w:r>
      <w:r w:rsidR="009D1949" w:rsidRPr="009D1949">
        <w:t xml:space="preserve">Domestic refers to Australian Citizens, employed full time, highest level of education attained, aged 20-34 years, measured 2021. ABS Australian Census. TGV refers to 485 temporary graduate visa holders, employed full time, primary applicants, highest level of education attained, aged 20-34 years, measured 2021, ABS Australian Census and Temporary </w:t>
      </w:r>
      <w:r w:rsidR="009D1949" w:rsidRPr="00490F4E">
        <w:t>Entrants.</w:t>
      </w:r>
    </w:p>
    <w:p w14:paraId="5C01E90D" w14:textId="52E18741" w:rsidR="0008203E" w:rsidRPr="0008203E" w:rsidRDefault="0008203E" w:rsidP="0008203E">
      <w:pPr>
        <w:rPr>
          <w:rFonts w:cs="Arial"/>
          <w:lang w:val="en-US"/>
        </w:rPr>
      </w:pPr>
      <w:r w:rsidRPr="0008203E">
        <w:rPr>
          <w:rFonts w:cs="Arial"/>
          <w:lang w:val="en-US"/>
        </w:rPr>
        <w:t>Further examination of the impact of the barriers, including how educational experiences prepare work-ready graduates, is required to determine how to better support international graduates to transition more successfully to the skilled workforce.</w:t>
      </w:r>
      <w:r w:rsidR="008C52B1">
        <w:rPr>
          <w:rFonts w:cs="Arial"/>
          <w:lang w:val="en-US"/>
        </w:rPr>
        <w:t xml:space="preserve"> </w:t>
      </w:r>
    </w:p>
    <w:p w14:paraId="6D0023F7" w14:textId="27F039B0" w:rsidR="00AC2606" w:rsidRPr="00AC0957" w:rsidRDefault="0008203E" w:rsidP="0008203E">
      <w:pPr>
        <w:rPr>
          <w:rFonts w:cs="Arial"/>
        </w:rPr>
      </w:pPr>
      <w:r w:rsidRPr="0008203E">
        <w:rPr>
          <w:rFonts w:cs="Arial"/>
          <w:lang w:val="en-US"/>
        </w:rPr>
        <w:t xml:space="preserve">The study’s observations are also largely based on data which pre-dates the Government’s changes to the Temporary Skill Shortage (TSS) visa work experience requirements, and the Government’s increase to the Financial Capacity Requirement for Student and Student Guardian visas. If the analysis was undertaken in future after these recent policy changes have fully flowed through to observed behaviours and data, we may observe different patterns </w:t>
      </w:r>
      <w:r w:rsidRPr="00D62A65">
        <w:rPr>
          <w:rFonts w:cs="Arial"/>
          <w:lang w:val="en-US"/>
        </w:rPr>
        <w:t>emerging</w:t>
      </w:r>
      <w:r w:rsidR="00AC2606" w:rsidRPr="00D62A65">
        <w:rPr>
          <w:rFonts w:cs="Arial"/>
          <w:lang w:val="en-US"/>
        </w:rPr>
        <w:t>.</w:t>
      </w:r>
      <w:r w:rsidR="008C52B1">
        <w:rPr>
          <w:rFonts w:cs="Arial"/>
          <w:lang w:val="en-US"/>
        </w:rPr>
        <w:t xml:space="preserve"> </w:t>
      </w:r>
    </w:p>
    <w:p w14:paraId="3970BDEE" w14:textId="77777777" w:rsidR="00AC2606" w:rsidRPr="00AC0957" w:rsidRDefault="00AC2606" w:rsidP="00AC2606">
      <w:pPr>
        <w:pStyle w:val="Heading2"/>
        <w:rPr>
          <w:rFonts w:cs="Arial"/>
          <w:lang w:val="en-US"/>
        </w:rPr>
      </w:pPr>
      <w:bookmarkStart w:id="85" w:name="_Toc179887373"/>
      <w:bookmarkStart w:id="86" w:name="_Toc181371568"/>
      <w:r w:rsidRPr="00AC0957">
        <w:rPr>
          <w:rFonts w:cs="Arial"/>
          <w:lang w:val="en-US"/>
        </w:rPr>
        <w:t>The role of education and training</w:t>
      </w:r>
      <w:bookmarkEnd w:id="85"/>
      <w:bookmarkEnd w:id="86"/>
    </w:p>
    <w:p w14:paraId="35332F66" w14:textId="787937E2" w:rsidR="00AC2606" w:rsidRPr="00AC0957" w:rsidRDefault="005F4F71" w:rsidP="00AC2606">
      <w:pPr>
        <w:rPr>
          <w:rFonts w:cs="Arial"/>
          <w:lang w:val="en-US"/>
        </w:rPr>
      </w:pPr>
      <w:r w:rsidRPr="005F4F71">
        <w:rPr>
          <w:rFonts w:cs="Arial"/>
          <w:lang w:val="en-US"/>
        </w:rPr>
        <w:t xml:space="preserve">Education is not only a pathway for individuals to learn the skills for the jobs they want. It helps people to participate in society, develop the reasoning and judgement skills to find solutions to problems, and to live the lives that they want. Access to education and training is an important factor in increasing inclusivity as it can improve outcomes for individuals in terms of the workforce, health and wellbeing, and life satisfaction </w:t>
      </w:r>
      <w:sdt>
        <w:sdtPr>
          <w:rPr>
            <w:rFonts w:cs="Arial"/>
            <w:lang w:val="en-US"/>
          </w:rPr>
          <w:id w:val="-1036740418"/>
          <w:citation/>
        </w:sdtPr>
        <w:sdtEndPr/>
        <w:sdtContent>
          <w:r w:rsidR="00EF2B8D">
            <w:rPr>
              <w:rFonts w:cs="Arial"/>
              <w:lang w:val="en-US"/>
            </w:rPr>
            <w:fldChar w:fldCharType="begin"/>
          </w:r>
          <w:r w:rsidR="00EF2B8D">
            <w:rPr>
              <w:rFonts w:cs="Arial"/>
            </w:rPr>
            <w:instrText xml:space="preserve"> CITATION OEC16 \l 3081 </w:instrText>
          </w:r>
          <w:r w:rsidR="00EF2B8D">
            <w:rPr>
              <w:rFonts w:cs="Arial"/>
              <w:lang w:val="en-US"/>
            </w:rPr>
            <w:fldChar w:fldCharType="separate"/>
          </w:r>
          <w:r w:rsidR="00CA3587" w:rsidRPr="00CA3587">
            <w:rPr>
              <w:rFonts w:cs="Arial"/>
              <w:noProof/>
            </w:rPr>
            <w:t>(OECD, 2016)</w:t>
          </w:r>
          <w:r w:rsidR="00EF2B8D">
            <w:rPr>
              <w:rFonts w:cs="Arial"/>
              <w:lang w:val="en-US"/>
            </w:rPr>
            <w:fldChar w:fldCharType="end"/>
          </w:r>
        </w:sdtContent>
      </w:sdt>
      <w:r w:rsidR="00AC2606" w:rsidRPr="00AC0957">
        <w:rPr>
          <w:rFonts w:cs="Arial"/>
          <w:lang w:val="en-US"/>
        </w:rPr>
        <w:t xml:space="preserve">. </w:t>
      </w:r>
    </w:p>
    <w:p w14:paraId="07AE3107" w14:textId="77777777" w:rsidR="00AC2606" w:rsidRPr="00AC0957" w:rsidRDefault="00AC2606" w:rsidP="00AC2606">
      <w:pPr>
        <w:pStyle w:val="Heading3"/>
        <w:rPr>
          <w:rFonts w:cs="Arial"/>
          <w:lang w:val="en-US"/>
        </w:rPr>
      </w:pPr>
      <w:bookmarkStart w:id="87" w:name="_Toc179887374"/>
      <w:bookmarkStart w:id="88" w:name="_Toc181371569"/>
      <w:r w:rsidRPr="00AC0957">
        <w:rPr>
          <w:rFonts w:cs="Arial"/>
          <w:lang w:val="en-US"/>
        </w:rPr>
        <w:t>Foundation skills</w:t>
      </w:r>
      <w:bookmarkEnd w:id="87"/>
      <w:bookmarkEnd w:id="88"/>
    </w:p>
    <w:p w14:paraId="5696A106" w14:textId="7EB46258" w:rsidR="00D62A65" w:rsidRPr="00D62A65" w:rsidRDefault="00D62A65" w:rsidP="00D62A65">
      <w:pPr>
        <w:rPr>
          <w:rFonts w:cs="Arial"/>
        </w:rPr>
      </w:pPr>
      <w:r w:rsidRPr="00D62A65">
        <w:rPr>
          <w:rFonts w:cs="Arial"/>
        </w:rPr>
        <w:t xml:space="preserve">Foundation skills – like the ability to read, write, and engage with technology – directly impact a person’s economic and social wellbeing because they underpin successful participation in society and community, education and training, and the workplace. Data has suggested that around one in 5 Australians have low literacy and/or numeracy skills </w:t>
      </w:r>
      <w:sdt>
        <w:sdtPr>
          <w:rPr>
            <w:rFonts w:cs="Arial"/>
          </w:rPr>
          <w:id w:val="509960630"/>
          <w:citation/>
        </w:sdtPr>
        <w:sdtEndPr/>
        <w:sdtContent>
          <w:r>
            <w:rPr>
              <w:rFonts w:cs="Arial"/>
            </w:rPr>
            <w:fldChar w:fldCharType="begin"/>
          </w:r>
          <w:r>
            <w:rPr>
              <w:rFonts w:cs="Arial"/>
            </w:rPr>
            <w:instrText xml:space="preserve"> CITATION OEC171 \l 3081 </w:instrText>
          </w:r>
          <w:r>
            <w:rPr>
              <w:rFonts w:cs="Arial"/>
            </w:rPr>
            <w:fldChar w:fldCharType="separate"/>
          </w:r>
          <w:r w:rsidR="00CA3587" w:rsidRPr="00CA3587">
            <w:rPr>
              <w:rFonts w:cs="Arial"/>
              <w:noProof/>
            </w:rPr>
            <w:t>(OECD, 2017)</w:t>
          </w:r>
          <w:r>
            <w:rPr>
              <w:rFonts w:cs="Arial"/>
            </w:rPr>
            <w:fldChar w:fldCharType="end"/>
          </w:r>
        </w:sdtContent>
      </w:sdt>
      <w:r w:rsidRPr="00D62A65">
        <w:rPr>
          <w:rFonts w:cs="Arial"/>
        </w:rPr>
        <w:t xml:space="preserve">, but the most recent national data available on adult foundation skills is the OECD’s PIAAC survey which was last conducted in Australia in 2011/12. This is why JSA is currently undertaking 3 major pieces of work to better understand the foundation skills levels of Australian adults – the administrative data project, the national survey of adult literacy and numeracy skills, and the Murtu Yayngiliyn study. </w:t>
      </w:r>
    </w:p>
    <w:p w14:paraId="6BAC3CB7" w14:textId="4F3648FF" w:rsidR="00D62A65" w:rsidRPr="00D62A65" w:rsidRDefault="00D62A65" w:rsidP="00D62A65">
      <w:pPr>
        <w:rPr>
          <w:rFonts w:cs="Arial"/>
        </w:rPr>
      </w:pPr>
      <w:r w:rsidRPr="00D62A65">
        <w:rPr>
          <w:rFonts w:cs="Arial"/>
        </w:rPr>
        <w:t xml:space="preserve">The administrative data project explores personal level integrated data to uncover new insights on the literacy and numeracy levels of priority groups of interest (women, First Nations people, people from a culturally and linguistically diverse background, and people with disability). To date, the project has largely collected data from </w:t>
      </w:r>
      <w:r w:rsidR="009E3F8C">
        <w:rPr>
          <w:rFonts w:cs="Arial"/>
        </w:rPr>
        <w:t>Australian</w:t>
      </w:r>
      <w:r w:rsidRPr="00D62A65">
        <w:rPr>
          <w:rFonts w:cs="Arial"/>
        </w:rPr>
        <w:t xml:space="preserve"> government skills training programs and a demographic profile will be analysed for each dataset to understand who is participating in foundation skills programs. The project has found that no single administrative dataset can provide a detailed understanding of the foundation skills level of Australian adults, but good administrative data exists for the education sector, Job Seekers, and programs specific to uplifting low levels of foundation skills. Key data gaps include data for the most disadvantaged Australians who experience barriers such as access, capability, or confidence to participate, employed people and those not seeking work who are not in the education system, and people with the highest levels of foundation skills. A report on this element of the project is being prepared and is expected to be published by the end of 2024, and the next steps for the project include investigating Foundation Skills within the education sector.</w:t>
      </w:r>
      <w:r w:rsidR="008C52B1">
        <w:rPr>
          <w:rFonts w:cs="Arial"/>
        </w:rPr>
        <w:t xml:space="preserve"> </w:t>
      </w:r>
    </w:p>
    <w:p w14:paraId="49A23B01" w14:textId="77777777" w:rsidR="00D62A65" w:rsidRPr="00D62A65" w:rsidRDefault="00D62A65" w:rsidP="00D62A65">
      <w:pPr>
        <w:rPr>
          <w:rFonts w:cs="Arial"/>
        </w:rPr>
      </w:pPr>
      <w:r w:rsidRPr="00D62A65">
        <w:rPr>
          <w:rFonts w:cs="Arial"/>
        </w:rPr>
        <w:t xml:space="preserve">The national survey of adult literacy and numeracy skills, known as </w:t>
      </w:r>
      <w:r w:rsidRPr="006717C6">
        <w:rPr>
          <w:rFonts w:cs="Arial"/>
          <w:i/>
          <w:iCs/>
        </w:rPr>
        <w:t>Understanding Skills Across Australia</w:t>
      </w:r>
      <w:r w:rsidRPr="00D62A65">
        <w:rPr>
          <w:rFonts w:cs="Arial"/>
        </w:rPr>
        <w:t xml:space="preserve">, will measure adult literacy and numeracy levels and form an up-to-date national evidence base to assist researchers, policy makers and program managers to improve services related to foundation skills. The survey will provide reliable literacy and numeracy results at the national and state and territory levels and will use the OECD’s literacy and numeracy skills assessment tool </w:t>
      </w:r>
      <w:r w:rsidRPr="006717C6">
        <w:rPr>
          <w:rFonts w:cs="Arial"/>
          <w:i/>
          <w:iCs/>
        </w:rPr>
        <w:t>Education and Skills Online</w:t>
      </w:r>
      <w:r w:rsidRPr="00D62A65">
        <w:rPr>
          <w:rFonts w:cs="Arial"/>
        </w:rPr>
        <w:t>, allowing comparison with other literacy and numeracy data sources.</w:t>
      </w:r>
    </w:p>
    <w:p w14:paraId="114240B3" w14:textId="3FDEEA2F" w:rsidR="004D07D2" w:rsidRPr="00AC0957" w:rsidRDefault="00D62A65" w:rsidP="00D62A65">
      <w:pPr>
        <w:rPr>
          <w:rFonts w:cs="Arial"/>
        </w:rPr>
      </w:pPr>
      <w:r w:rsidRPr="00D62A65">
        <w:rPr>
          <w:rFonts w:cs="Arial"/>
        </w:rPr>
        <w:t>Several rounds of survey testing have recently been completed, including a field trial, with results currently being used to update and refine the survey before main data collection next year. JSA is continuing to consult with stakeholders through the study’s steering committee and the survey’s advisory group, and final results are expected in 2026</w:t>
      </w:r>
      <w:r w:rsidR="00AC2606" w:rsidRPr="00AC0957">
        <w:rPr>
          <w:rFonts w:cs="Arial"/>
        </w:rPr>
        <w:t>.</w:t>
      </w:r>
    </w:p>
    <w:p w14:paraId="3F28D97C" w14:textId="77777777" w:rsidR="004D1692" w:rsidRPr="00AC0957" w:rsidRDefault="004D1692" w:rsidP="002070A6">
      <w:pPr>
        <w:pStyle w:val="Heading4"/>
        <w:rPr>
          <w:lang w:val="en-US"/>
        </w:rPr>
      </w:pPr>
      <w:r w:rsidRPr="00AC0957">
        <w:rPr>
          <w:lang w:val="en-US"/>
        </w:rPr>
        <w:t>Murtu Yayngiliyn – Walking Together</w:t>
      </w:r>
    </w:p>
    <w:p w14:paraId="0C10F36E" w14:textId="69B9AF8C" w:rsidR="00CF2AB8" w:rsidRPr="00CF2AB8" w:rsidRDefault="00CF2AB8" w:rsidP="00CF2AB8">
      <w:pPr>
        <w:rPr>
          <w:rFonts w:cs="Arial"/>
          <w:lang w:val="en-US"/>
        </w:rPr>
      </w:pPr>
      <w:r w:rsidRPr="00CF2AB8">
        <w:rPr>
          <w:rFonts w:cs="Arial"/>
          <w:lang w:val="en-US"/>
        </w:rPr>
        <w:t>The Murtu Yayngiliyn study has been developed in response to an absence of a contemporary and cohesive national data set on First Nations people’s foundation skills. Policies and programs to build the skills pipeline, and the</w:t>
      </w:r>
      <w:r w:rsidR="006717C6">
        <w:rPr>
          <w:rFonts w:cs="Arial"/>
          <w:lang w:val="en-US"/>
        </w:rPr>
        <w:t xml:space="preserve"> Australian</w:t>
      </w:r>
      <w:r w:rsidRPr="00CF2AB8">
        <w:rPr>
          <w:rFonts w:cs="Arial"/>
          <w:lang w:val="en-US"/>
        </w:rPr>
        <w:t xml:space="preserve"> Government’s broader commitment to ensure no one is left behind and no one is held back, mean an evidence base on </w:t>
      </w:r>
      <w:r w:rsidR="00EE503C">
        <w:rPr>
          <w:rFonts w:cs="Arial"/>
          <w:lang w:val="en-US"/>
        </w:rPr>
        <w:t xml:space="preserve">foundation skills for </w:t>
      </w:r>
      <w:r w:rsidRPr="00CF2AB8">
        <w:rPr>
          <w:rFonts w:cs="Arial"/>
          <w:lang w:val="en-US"/>
        </w:rPr>
        <w:t xml:space="preserve">First Nations </w:t>
      </w:r>
      <w:r w:rsidR="003A32A2">
        <w:rPr>
          <w:rFonts w:cs="Arial"/>
          <w:lang w:val="en-US"/>
        </w:rPr>
        <w:t>people</w:t>
      </w:r>
      <w:r w:rsidRPr="00CF2AB8">
        <w:rPr>
          <w:rFonts w:cs="Arial"/>
          <w:lang w:val="en-US"/>
        </w:rPr>
        <w:t xml:space="preserve"> is essential.</w:t>
      </w:r>
    </w:p>
    <w:p w14:paraId="01578BCC" w14:textId="77777777" w:rsidR="00CF2AB8" w:rsidRPr="00CF2AB8" w:rsidRDefault="00CF2AB8" w:rsidP="00CF2AB8">
      <w:pPr>
        <w:rPr>
          <w:rFonts w:cs="Arial"/>
          <w:lang w:val="en-US"/>
        </w:rPr>
      </w:pPr>
      <w:r w:rsidRPr="00CF2AB8">
        <w:rPr>
          <w:rFonts w:cs="Arial"/>
          <w:lang w:val="en-US"/>
        </w:rPr>
        <w:t>In consultation with the National Indigenous Australians Agency, JSA is undertaking a feasibility study to determine how best to assess the literacy, numeracy, and digital literacy levels of First Nations people including those living in regional and remote areas, in a culturally safe, responsive, and statistically sound manner. The proposed study is critical to the delivery of policy and services in skills and training, employment, education and First Nations equity.</w:t>
      </w:r>
    </w:p>
    <w:p w14:paraId="169AB381" w14:textId="77777777" w:rsidR="00CF2AB8" w:rsidRPr="00CF2AB8" w:rsidRDefault="00CF2AB8" w:rsidP="00CF2AB8">
      <w:pPr>
        <w:rPr>
          <w:rFonts w:cs="Arial"/>
          <w:lang w:val="en-US"/>
        </w:rPr>
      </w:pPr>
      <w:r w:rsidRPr="00CF2AB8">
        <w:rPr>
          <w:rFonts w:cs="Arial"/>
          <w:lang w:val="en-US"/>
        </w:rPr>
        <w:t>Literacy, numeracy and digital literacy (foundation skills) are critical skills for individuals, necessary in all parts of their lives for meaningful work and active participation in the community, and are determinate to the health, social, and economic wellbeing for First Nations people. Strengthening foundation skills for First Nations people is a target for the Australian Government aligning to the National Agreement on Closing the Gap.</w:t>
      </w:r>
    </w:p>
    <w:p w14:paraId="47E51DA7" w14:textId="77777777" w:rsidR="00CF2AB8" w:rsidRPr="00CF2AB8" w:rsidRDefault="00CF2AB8" w:rsidP="00CF2AB8">
      <w:pPr>
        <w:rPr>
          <w:rFonts w:cs="Arial"/>
          <w:lang w:val="en-US"/>
        </w:rPr>
      </w:pPr>
      <w:r w:rsidRPr="00CF2AB8">
        <w:rPr>
          <w:rFonts w:cs="Arial"/>
          <w:lang w:val="en-US"/>
        </w:rPr>
        <w:t>A First Nations Cultural Advisory Panel has been established to provide governance, advice and guidance to the study.</w:t>
      </w:r>
    </w:p>
    <w:p w14:paraId="4E643C0F" w14:textId="29A0B8F3" w:rsidR="00AC2606" w:rsidRPr="00107680" w:rsidRDefault="00CF2AB8" w:rsidP="00CF2AB8">
      <w:pPr>
        <w:rPr>
          <w:rFonts w:cs="Arial"/>
          <w:lang w:val="en-US"/>
        </w:rPr>
      </w:pPr>
      <w:r w:rsidRPr="00CF2AB8">
        <w:rPr>
          <w:rFonts w:cs="Arial"/>
          <w:lang w:val="en-US"/>
        </w:rPr>
        <w:t xml:space="preserve">Recommendations from the study will enable governments and the community sector to better understand First Nations people’s foundation skills needs and to implement strategies to address </w:t>
      </w:r>
      <w:r w:rsidRPr="00656CA5">
        <w:rPr>
          <w:rFonts w:cs="Arial"/>
          <w:lang w:val="en-US"/>
        </w:rPr>
        <w:t>them</w:t>
      </w:r>
      <w:r w:rsidRPr="00CF2AB8">
        <w:rPr>
          <w:rFonts w:cs="Arial"/>
          <w:lang w:val="en-US"/>
        </w:rPr>
        <w:t>.</w:t>
      </w:r>
    </w:p>
    <w:p w14:paraId="0CA89EBB" w14:textId="77777777" w:rsidR="00AC2606" w:rsidRPr="00AC0957" w:rsidRDefault="00AC2606" w:rsidP="00AC2606">
      <w:pPr>
        <w:pStyle w:val="Heading3"/>
        <w:rPr>
          <w:rFonts w:cs="Arial"/>
          <w:lang w:val="en-US"/>
        </w:rPr>
      </w:pPr>
      <w:bookmarkStart w:id="89" w:name="_Toc179887376"/>
      <w:bookmarkStart w:id="90" w:name="_Toc181371570"/>
      <w:r w:rsidRPr="00AC0957">
        <w:rPr>
          <w:rFonts w:cs="Arial"/>
          <w:lang w:val="en-US"/>
        </w:rPr>
        <w:t>VET as an enabling pathway</w:t>
      </w:r>
      <w:bookmarkEnd w:id="89"/>
      <w:bookmarkEnd w:id="90"/>
    </w:p>
    <w:p w14:paraId="1CA7826C" w14:textId="365255AA" w:rsidR="00FA7332" w:rsidRPr="00FA7332" w:rsidRDefault="00FA7332" w:rsidP="00FA7332">
      <w:pPr>
        <w:rPr>
          <w:rFonts w:cs="Arial"/>
        </w:rPr>
      </w:pPr>
      <w:r w:rsidRPr="00FA7332">
        <w:rPr>
          <w:rFonts w:cs="Arial"/>
        </w:rPr>
        <w:t xml:space="preserve">VET may serve as an important pathway for advancing inclusive participation in the labour market – positively impacting employment rates, income levels, and the pursual of further study at a higher level. </w:t>
      </w:r>
    </w:p>
    <w:p w14:paraId="5616D1E8" w14:textId="23A745BA" w:rsidR="00AC2606" w:rsidRPr="00AC0957" w:rsidRDefault="00FA7332" w:rsidP="00FA7332">
      <w:pPr>
        <w:rPr>
          <w:rFonts w:cs="Arial"/>
        </w:rPr>
      </w:pPr>
      <w:r w:rsidRPr="00FA7332">
        <w:rPr>
          <w:rFonts w:cs="Arial"/>
        </w:rPr>
        <w:t xml:space="preserve">Analysis of 2019-20 graduates’ outcomes from the VNDA, a joint project undertaken in partnership between JSA and the Australian Bureau of Statistics in collaboration with the National Centre for Vocational Education Research, shows that completion of a VET course may contribute to an increase in employment, with 84% of graduates employed post-training compared with 69% employed before commencing their studies. As shown in </w:t>
      </w:r>
      <w:r>
        <w:rPr>
          <w:rFonts w:cs="Arial"/>
        </w:rPr>
        <w:fldChar w:fldCharType="begin"/>
      </w:r>
      <w:r>
        <w:rPr>
          <w:rFonts w:cs="Arial"/>
        </w:rPr>
        <w:instrText xml:space="preserve"> REF _Ref181114038 \h </w:instrText>
      </w:r>
      <w:r>
        <w:rPr>
          <w:rFonts w:cs="Arial"/>
        </w:rPr>
      </w:r>
      <w:r>
        <w:rPr>
          <w:rFonts w:cs="Arial"/>
        </w:rPr>
        <w:fldChar w:fldCharType="separate"/>
      </w:r>
      <w:r w:rsidR="00C47A81">
        <w:t xml:space="preserve">Table </w:t>
      </w:r>
      <w:r w:rsidR="00C47A81">
        <w:rPr>
          <w:noProof/>
        </w:rPr>
        <w:t>1</w:t>
      </w:r>
      <w:r>
        <w:rPr>
          <w:rFonts w:cs="Arial"/>
        </w:rPr>
        <w:fldChar w:fldCharType="end"/>
      </w:r>
      <w:r w:rsidRPr="00FA7332">
        <w:rPr>
          <w:rFonts w:cs="Arial"/>
        </w:rPr>
        <w:t xml:space="preserve">, nationally there was a similar rise in employment for all students, including for First Nations students and people with disability. The post-completion employment rate was also higher for female students than for all </w:t>
      </w:r>
      <w:r w:rsidRPr="00512048">
        <w:rPr>
          <w:rFonts w:cs="Arial"/>
        </w:rPr>
        <w:t xml:space="preserve">VET </w:t>
      </w:r>
      <w:r w:rsidRPr="005604E1">
        <w:rPr>
          <w:rFonts w:cs="Arial"/>
        </w:rPr>
        <w:t>students</w:t>
      </w:r>
      <w:r w:rsidR="00AC2606" w:rsidRPr="00512048">
        <w:rPr>
          <w:rFonts w:cs="Arial"/>
        </w:rPr>
        <w:t>.</w:t>
      </w:r>
      <w:r w:rsidR="00AC2606" w:rsidRPr="00AC0957">
        <w:rPr>
          <w:rFonts w:cs="Arial"/>
        </w:rPr>
        <w:t xml:space="preserve"> </w:t>
      </w:r>
    </w:p>
    <w:p w14:paraId="745B32FF" w14:textId="4E838453" w:rsidR="006A630A" w:rsidRDefault="006A630A" w:rsidP="006A630A">
      <w:pPr>
        <w:pStyle w:val="Caption"/>
      </w:pPr>
      <w:bookmarkStart w:id="91" w:name="_Ref181114038"/>
      <w:r>
        <w:t xml:space="preserve">Table </w:t>
      </w:r>
      <w:r>
        <w:fldChar w:fldCharType="begin"/>
      </w:r>
      <w:r>
        <w:instrText xml:space="preserve"> SEQ Table \* ARABIC </w:instrText>
      </w:r>
      <w:r>
        <w:fldChar w:fldCharType="separate"/>
      </w:r>
      <w:r w:rsidR="00C47A81">
        <w:rPr>
          <w:noProof/>
        </w:rPr>
        <w:t>1</w:t>
      </w:r>
      <w:r>
        <w:fldChar w:fldCharType="end"/>
      </w:r>
      <w:bookmarkEnd w:id="91"/>
      <w:r>
        <w:t xml:space="preserve">: </w:t>
      </w:r>
      <w:r w:rsidRPr="000C6565">
        <w:t>Employment rate after completion of VET</w:t>
      </w:r>
    </w:p>
    <w:tbl>
      <w:tblPr>
        <w:tblStyle w:val="JSATable1"/>
        <w:tblW w:w="8877" w:type="dxa"/>
        <w:tblLayout w:type="fixed"/>
        <w:tblLook w:val="0020" w:firstRow="1" w:lastRow="0" w:firstColumn="0" w:lastColumn="0" w:noHBand="0" w:noVBand="0"/>
        <w:tblCaption w:val="Employment rate after completion of VET"/>
        <w:tblDescription w:val="This table shows the breakdown of employment rate after completion of VET and percentage points change in employment rate, nationally, for females, for First Nations people and for people with disability. Nationally, there was a similar rise in employment for all students (15 percentage points), First Nations students (16 percentage points) and people with disability (14 percentage points). The rise in employment was higher for female students (17 percentage points) than for all VET students."/>
      </w:tblPr>
      <w:tblGrid>
        <w:gridCol w:w="2410"/>
        <w:gridCol w:w="1559"/>
        <w:gridCol w:w="1560"/>
        <w:gridCol w:w="1701"/>
        <w:gridCol w:w="1647"/>
      </w:tblGrid>
      <w:tr w:rsidR="00656CA5" w:rsidRPr="00B26C3D" w14:paraId="298B3B2A" w14:textId="77777777" w:rsidTr="0049654A">
        <w:trPr>
          <w:cnfStyle w:val="100000000000" w:firstRow="1" w:lastRow="0" w:firstColumn="0" w:lastColumn="0" w:oddVBand="0" w:evenVBand="0" w:oddHBand="0" w:evenHBand="0" w:firstRowFirstColumn="0" w:firstRowLastColumn="0" w:lastRowFirstColumn="0" w:lastRowLastColumn="0"/>
          <w:trHeight w:val="669"/>
        </w:trPr>
        <w:tc>
          <w:tcPr>
            <w:tcW w:w="2410" w:type="dxa"/>
          </w:tcPr>
          <w:p w14:paraId="245EEA42" w14:textId="1A141DBF" w:rsidR="00656CA5" w:rsidRPr="00743D40" w:rsidRDefault="00656CA5" w:rsidP="00656CA5">
            <w:pPr>
              <w:rPr>
                <w:sz w:val="20"/>
                <w:szCs w:val="20"/>
              </w:rPr>
            </w:pPr>
            <w:r w:rsidRPr="00743D40">
              <w:rPr>
                <w:sz w:val="20"/>
                <w:szCs w:val="20"/>
              </w:rPr>
              <w:t>Measure</w:t>
            </w:r>
          </w:p>
        </w:tc>
        <w:tc>
          <w:tcPr>
            <w:tcW w:w="1559" w:type="dxa"/>
          </w:tcPr>
          <w:p w14:paraId="684DAA75" w14:textId="13E38431" w:rsidR="00656CA5" w:rsidRPr="00743D40" w:rsidRDefault="00656CA5" w:rsidP="00656CA5">
            <w:pPr>
              <w:rPr>
                <w:sz w:val="20"/>
                <w:szCs w:val="20"/>
              </w:rPr>
            </w:pPr>
            <w:r w:rsidRPr="00743D40">
              <w:rPr>
                <w:sz w:val="20"/>
                <w:szCs w:val="20"/>
              </w:rPr>
              <w:t>National</w:t>
            </w:r>
          </w:p>
        </w:tc>
        <w:tc>
          <w:tcPr>
            <w:tcW w:w="1560" w:type="dxa"/>
          </w:tcPr>
          <w:p w14:paraId="06914B76" w14:textId="7BAB08E3" w:rsidR="00656CA5" w:rsidRPr="00743D40" w:rsidRDefault="00656CA5" w:rsidP="00656CA5">
            <w:pPr>
              <w:rPr>
                <w:sz w:val="20"/>
                <w:szCs w:val="20"/>
              </w:rPr>
            </w:pPr>
            <w:r w:rsidRPr="00743D40">
              <w:rPr>
                <w:sz w:val="20"/>
                <w:szCs w:val="20"/>
              </w:rPr>
              <w:t>Females</w:t>
            </w:r>
          </w:p>
        </w:tc>
        <w:tc>
          <w:tcPr>
            <w:tcW w:w="1701" w:type="dxa"/>
          </w:tcPr>
          <w:p w14:paraId="0F089223" w14:textId="6804CA19" w:rsidR="00656CA5" w:rsidRPr="00743D40" w:rsidRDefault="00656CA5" w:rsidP="00656CA5">
            <w:pPr>
              <w:rPr>
                <w:sz w:val="20"/>
                <w:szCs w:val="20"/>
              </w:rPr>
            </w:pPr>
            <w:r w:rsidRPr="00743D40">
              <w:rPr>
                <w:sz w:val="20"/>
                <w:szCs w:val="20"/>
              </w:rPr>
              <w:t>First Nations</w:t>
            </w:r>
            <w:r w:rsidR="0008741D" w:rsidRPr="00743D40">
              <w:rPr>
                <w:sz w:val="20"/>
                <w:szCs w:val="20"/>
              </w:rPr>
              <w:t xml:space="preserve"> people</w:t>
            </w:r>
          </w:p>
        </w:tc>
        <w:tc>
          <w:tcPr>
            <w:tcW w:w="1647" w:type="dxa"/>
          </w:tcPr>
          <w:p w14:paraId="56DAF8E5" w14:textId="2AC0F045" w:rsidR="00656CA5" w:rsidRPr="00743D40" w:rsidRDefault="00656CA5" w:rsidP="00656CA5">
            <w:pPr>
              <w:rPr>
                <w:sz w:val="20"/>
                <w:szCs w:val="20"/>
              </w:rPr>
            </w:pPr>
            <w:r w:rsidRPr="00743D40">
              <w:rPr>
                <w:sz w:val="20"/>
                <w:szCs w:val="20"/>
              </w:rPr>
              <w:t>People with disability</w:t>
            </w:r>
          </w:p>
        </w:tc>
      </w:tr>
      <w:tr w:rsidR="00656CA5" w:rsidRPr="00B26C3D" w14:paraId="188843D0" w14:textId="77777777" w:rsidTr="00743D40">
        <w:trPr>
          <w:trHeight w:val="381"/>
        </w:trPr>
        <w:tc>
          <w:tcPr>
            <w:tcW w:w="2410" w:type="dxa"/>
          </w:tcPr>
          <w:p w14:paraId="5D698928" w14:textId="6842C1E0" w:rsidR="00656CA5" w:rsidRPr="00743D40" w:rsidRDefault="00656CA5" w:rsidP="00656CA5">
            <w:pPr>
              <w:rPr>
                <w:sz w:val="20"/>
                <w:szCs w:val="20"/>
              </w:rPr>
            </w:pPr>
            <w:r w:rsidRPr="00743D40">
              <w:rPr>
                <w:sz w:val="20"/>
                <w:szCs w:val="20"/>
              </w:rPr>
              <w:t>Employment rate after completion (%)</w:t>
            </w:r>
          </w:p>
        </w:tc>
        <w:tc>
          <w:tcPr>
            <w:tcW w:w="1559" w:type="dxa"/>
          </w:tcPr>
          <w:p w14:paraId="34BFA7A3" w14:textId="0330525B" w:rsidR="00656CA5" w:rsidRPr="00743D40" w:rsidRDefault="00656CA5" w:rsidP="00656CA5">
            <w:pPr>
              <w:jc w:val="right"/>
              <w:rPr>
                <w:sz w:val="20"/>
                <w:szCs w:val="20"/>
              </w:rPr>
            </w:pPr>
            <w:r w:rsidRPr="00743D40">
              <w:rPr>
                <w:sz w:val="20"/>
                <w:szCs w:val="20"/>
              </w:rPr>
              <w:t>84%</w:t>
            </w:r>
          </w:p>
        </w:tc>
        <w:tc>
          <w:tcPr>
            <w:tcW w:w="1560" w:type="dxa"/>
          </w:tcPr>
          <w:p w14:paraId="378EE577" w14:textId="358CB4FE" w:rsidR="00656CA5" w:rsidRPr="00743D40" w:rsidRDefault="00656CA5" w:rsidP="00656CA5">
            <w:pPr>
              <w:jc w:val="right"/>
              <w:rPr>
                <w:sz w:val="20"/>
                <w:szCs w:val="20"/>
              </w:rPr>
            </w:pPr>
            <w:r w:rsidRPr="00743D40">
              <w:rPr>
                <w:sz w:val="20"/>
                <w:szCs w:val="20"/>
              </w:rPr>
              <w:t>83%</w:t>
            </w:r>
          </w:p>
        </w:tc>
        <w:tc>
          <w:tcPr>
            <w:tcW w:w="1701" w:type="dxa"/>
          </w:tcPr>
          <w:p w14:paraId="0005EA7D" w14:textId="409BA362" w:rsidR="00656CA5" w:rsidRPr="00743D40" w:rsidRDefault="00656CA5" w:rsidP="00656CA5">
            <w:pPr>
              <w:jc w:val="right"/>
              <w:rPr>
                <w:sz w:val="20"/>
                <w:szCs w:val="20"/>
              </w:rPr>
            </w:pPr>
            <w:r w:rsidRPr="00743D40">
              <w:rPr>
                <w:sz w:val="20"/>
                <w:szCs w:val="20"/>
              </w:rPr>
              <w:t>79%</w:t>
            </w:r>
          </w:p>
        </w:tc>
        <w:tc>
          <w:tcPr>
            <w:tcW w:w="1647" w:type="dxa"/>
          </w:tcPr>
          <w:p w14:paraId="7E01723B" w14:textId="4A34F2C1" w:rsidR="00656CA5" w:rsidRPr="00743D40" w:rsidRDefault="00656CA5" w:rsidP="00656CA5">
            <w:pPr>
              <w:jc w:val="right"/>
              <w:rPr>
                <w:sz w:val="20"/>
                <w:szCs w:val="20"/>
              </w:rPr>
            </w:pPr>
            <w:r w:rsidRPr="00743D40">
              <w:rPr>
                <w:sz w:val="20"/>
                <w:szCs w:val="20"/>
              </w:rPr>
              <w:t>65%</w:t>
            </w:r>
          </w:p>
        </w:tc>
      </w:tr>
      <w:tr w:rsidR="00656CA5" w:rsidRPr="00B26C3D" w14:paraId="4FCB50B4" w14:textId="77777777" w:rsidTr="00743D40">
        <w:trPr>
          <w:cnfStyle w:val="000000010000" w:firstRow="0" w:lastRow="0" w:firstColumn="0" w:lastColumn="0" w:oddVBand="0" w:evenVBand="0" w:oddHBand="0" w:evenHBand="1" w:firstRowFirstColumn="0" w:firstRowLastColumn="0" w:lastRowFirstColumn="0" w:lastRowLastColumn="0"/>
          <w:trHeight w:val="381"/>
        </w:trPr>
        <w:tc>
          <w:tcPr>
            <w:tcW w:w="2410" w:type="dxa"/>
          </w:tcPr>
          <w:p w14:paraId="3E9E4613" w14:textId="3DEF12C7" w:rsidR="00656CA5" w:rsidRPr="00743D40" w:rsidRDefault="00656CA5" w:rsidP="00656CA5">
            <w:pPr>
              <w:rPr>
                <w:sz w:val="20"/>
                <w:szCs w:val="20"/>
              </w:rPr>
            </w:pPr>
            <w:r w:rsidRPr="00743D40">
              <w:rPr>
                <w:sz w:val="20"/>
                <w:szCs w:val="20"/>
              </w:rPr>
              <w:t>Change in employment rate (</w:t>
            </w:r>
            <w:r w:rsidR="00743D40">
              <w:rPr>
                <w:sz w:val="20"/>
                <w:szCs w:val="20"/>
              </w:rPr>
              <w:t>p</w:t>
            </w:r>
            <w:r w:rsidRPr="00743D40">
              <w:rPr>
                <w:sz w:val="20"/>
                <w:szCs w:val="20"/>
              </w:rPr>
              <w:t>ercentage point</w:t>
            </w:r>
            <w:r w:rsidR="00743D40">
              <w:rPr>
                <w:sz w:val="20"/>
                <w:szCs w:val="20"/>
              </w:rPr>
              <w:t>s</w:t>
            </w:r>
            <w:r w:rsidRPr="00743D40">
              <w:rPr>
                <w:sz w:val="20"/>
                <w:szCs w:val="20"/>
              </w:rPr>
              <w:t>)</w:t>
            </w:r>
          </w:p>
        </w:tc>
        <w:tc>
          <w:tcPr>
            <w:tcW w:w="1559" w:type="dxa"/>
          </w:tcPr>
          <w:p w14:paraId="58F313A1" w14:textId="485E5383" w:rsidR="00656CA5" w:rsidRPr="00743D40" w:rsidRDefault="00656CA5" w:rsidP="00656CA5">
            <w:pPr>
              <w:jc w:val="right"/>
              <w:rPr>
                <w:sz w:val="20"/>
                <w:szCs w:val="20"/>
              </w:rPr>
            </w:pPr>
            <w:r w:rsidRPr="00743D40">
              <w:rPr>
                <w:sz w:val="20"/>
                <w:szCs w:val="20"/>
              </w:rPr>
              <w:t>15 percentage points</w:t>
            </w:r>
          </w:p>
        </w:tc>
        <w:tc>
          <w:tcPr>
            <w:tcW w:w="1560" w:type="dxa"/>
          </w:tcPr>
          <w:p w14:paraId="0044E155" w14:textId="2D22C95F" w:rsidR="00656CA5" w:rsidRPr="00743D40" w:rsidRDefault="00656CA5" w:rsidP="00656CA5">
            <w:pPr>
              <w:jc w:val="right"/>
              <w:rPr>
                <w:sz w:val="20"/>
                <w:szCs w:val="20"/>
              </w:rPr>
            </w:pPr>
            <w:r w:rsidRPr="00743D40">
              <w:rPr>
                <w:sz w:val="20"/>
                <w:szCs w:val="20"/>
              </w:rPr>
              <w:t>17 percentage points</w:t>
            </w:r>
          </w:p>
        </w:tc>
        <w:tc>
          <w:tcPr>
            <w:tcW w:w="1701" w:type="dxa"/>
          </w:tcPr>
          <w:p w14:paraId="6D85252F" w14:textId="0E0FA733" w:rsidR="00656CA5" w:rsidRPr="00743D40" w:rsidRDefault="00656CA5" w:rsidP="00656CA5">
            <w:pPr>
              <w:jc w:val="right"/>
              <w:rPr>
                <w:sz w:val="20"/>
                <w:szCs w:val="20"/>
              </w:rPr>
            </w:pPr>
            <w:r w:rsidRPr="00743D40">
              <w:rPr>
                <w:sz w:val="20"/>
                <w:szCs w:val="20"/>
              </w:rPr>
              <w:t>16 percentage points</w:t>
            </w:r>
          </w:p>
        </w:tc>
        <w:tc>
          <w:tcPr>
            <w:tcW w:w="1647" w:type="dxa"/>
          </w:tcPr>
          <w:p w14:paraId="27F07BD5" w14:textId="28F644F3" w:rsidR="00656CA5" w:rsidRPr="00743D40" w:rsidRDefault="00656CA5" w:rsidP="00656CA5">
            <w:pPr>
              <w:jc w:val="right"/>
              <w:rPr>
                <w:sz w:val="20"/>
                <w:szCs w:val="20"/>
              </w:rPr>
            </w:pPr>
            <w:r w:rsidRPr="00743D40">
              <w:rPr>
                <w:sz w:val="20"/>
                <w:szCs w:val="20"/>
              </w:rPr>
              <w:t>14 percentage points</w:t>
            </w:r>
          </w:p>
        </w:tc>
      </w:tr>
    </w:tbl>
    <w:p w14:paraId="6D6D9EC1" w14:textId="77777777" w:rsidR="00AC2606" w:rsidRPr="006A630A" w:rsidRDefault="00AC2606" w:rsidP="00107680">
      <w:pPr>
        <w:pStyle w:val="Source"/>
      </w:pPr>
      <w:r w:rsidRPr="006A630A">
        <w:t>Source: Personal Level Integrated Data Asset (PLIDA), 2002-2022, VET National Data Asset, ABS DataLab. Findings based on use of PLIDA data.</w:t>
      </w:r>
    </w:p>
    <w:p w14:paraId="3ED74694" w14:textId="77777777" w:rsidR="00484C70" w:rsidRPr="00484C70" w:rsidRDefault="00484C70" w:rsidP="00484C70">
      <w:pPr>
        <w:rPr>
          <w:rFonts w:cs="Arial"/>
        </w:rPr>
      </w:pPr>
      <w:r w:rsidRPr="00484C70">
        <w:rPr>
          <w:rFonts w:cs="Arial"/>
        </w:rPr>
        <w:t>Completion of a VET qualification also likely contributed to a medium income uplift for graduates of $11,800. The uplift was higher for First Nations graduates at $13,000. There was also an increase for females ($11,400) and people with disability ($9,100), although these were lower than the national figure. The top courses for uplift in employee income are predominantly in the fields of Engineering and Related Technologies, and Architecture and Building, demonstrating the importance of VET training in these areas.</w:t>
      </w:r>
    </w:p>
    <w:p w14:paraId="17C76169" w14:textId="3300EC72" w:rsidR="00A04B90" w:rsidRDefault="00484C70" w:rsidP="00484C70">
      <w:pPr>
        <w:rPr>
          <w:rFonts w:cs="Arial"/>
        </w:rPr>
      </w:pPr>
      <w:r w:rsidRPr="00484C70">
        <w:rPr>
          <w:rFonts w:cs="Arial"/>
        </w:rPr>
        <w:t xml:space="preserve">Completion of VET training may also contribute to the pursual of further study. As outlined in </w:t>
      </w:r>
      <w:r w:rsidR="00441427">
        <w:rPr>
          <w:rFonts w:cs="Arial"/>
        </w:rPr>
        <w:fldChar w:fldCharType="begin"/>
      </w:r>
      <w:r w:rsidR="00441427">
        <w:rPr>
          <w:rFonts w:cs="Arial"/>
        </w:rPr>
        <w:instrText xml:space="preserve"> REF _Ref181114327 \h </w:instrText>
      </w:r>
      <w:r w:rsidR="00441427">
        <w:rPr>
          <w:rFonts w:cs="Arial"/>
        </w:rPr>
      </w:r>
      <w:r w:rsidR="00441427">
        <w:rPr>
          <w:rFonts w:cs="Arial"/>
        </w:rPr>
        <w:fldChar w:fldCharType="separate"/>
      </w:r>
      <w:r w:rsidR="00C47A81">
        <w:t xml:space="preserve">Table </w:t>
      </w:r>
      <w:r w:rsidR="00C47A81">
        <w:rPr>
          <w:noProof/>
        </w:rPr>
        <w:t>2</w:t>
      </w:r>
      <w:r w:rsidR="00441427">
        <w:rPr>
          <w:rFonts w:cs="Arial"/>
        </w:rPr>
        <w:fldChar w:fldCharType="end"/>
      </w:r>
      <w:r w:rsidRPr="00484C70">
        <w:rPr>
          <w:rFonts w:cs="Arial"/>
        </w:rPr>
        <w:t>, a greater proportion of First Nations students, females, and people with disability who had completed VET training went on to pursue further VET programs at a higher level, compared with the national figure. For females, a greater proportion than the national figure also went on to pursue higher education through university. This may point to the relevance of VET as enabling pathway for historically disadvantaged cohorts to access more opportunities to participate, access safe and secure work, and thrive</w:t>
      </w:r>
      <w:r w:rsidR="00AC2606" w:rsidRPr="00AC0957">
        <w:rPr>
          <w:rFonts w:cs="Arial"/>
        </w:rPr>
        <w:t>.</w:t>
      </w:r>
      <w:bookmarkStart w:id="92" w:name="_Ref179895696"/>
    </w:p>
    <w:p w14:paraId="67ECD206" w14:textId="57027EB8" w:rsidR="006A630A" w:rsidRDefault="006A630A" w:rsidP="006A630A">
      <w:pPr>
        <w:pStyle w:val="Caption"/>
      </w:pPr>
      <w:bookmarkStart w:id="93" w:name="_Ref181114327"/>
      <w:r>
        <w:t xml:space="preserve">Table </w:t>
      </w:r>
      <w:r>
        <w:fldChar w:fldCharType="begin"/>
      </w:r>
      <w:r>
        <w:instrText xml:space="preserve"> SEQ Table \* ARABIC </w:instrText>
      </w:r>
      <w:r>
        <w:fldChar w:fldCharType="separate"/>
      </w:r>
      <w:r w:rsidR="00C47A81">
        <w:rPr>
          <w:noProof/>
        </w:rPr>
        <w:t>2</w:t>
      </w:r>
      <w:r>
        <w:fldChar w:fldCharType="end"/>
      </w:r>
      <w:bookmarkEnd w:id="92"/>
      <w:bookmarkEnd w:id="93"/>
      <w:r>
        <w:t xml:space="preserve">: </w:t>
      </w:r>
      <w:r w:rsidRPr="008A72AB">
        <w:t>Further study outcomes at the national level and by cohorts</w:t>
      </w:r>
    </w:p>
    <w:tbl>
      <w:tblPr>
        <w:tblStyle w:val="JSATable1"/>
        <w:tblW w:w="8877" w:type="dxa"/>
        <w:tblLayout w:type="fixed"/>
        <w:tblLook w:val="0020" w:firstRow="1" w:lastRow="0" w:firstColumn="0" w:lastColumn="0" w:noHBand="0" w:noVBand="0"/>
        <w:tblCaption w:val="Further study outcomes at the national level and by cohorts"/>
        <w:tblDescription w:val="This table shows further study outcomes broken down by progression to further VET and Progression to higher education, nationally, for females, for First Nations people and for people with disability. A greater proportion of First Nations students (20%), females (18%), and people with disability (21%) who had completed VET training went on to pursue further VET programs at a higher level, compared with the national figure (16%). The proportion for people with disability that progressed to Higher Education was comparable to the National figure, while First Nation graduates had a lower rate. For Females it was slightly higher than the National figure."/>
      </w:tblPr>
      <w:tblGrid>
        <w:gridCol w:w="2410"/>
        <w:gridCol w:w="1418"/>
        <w:gridCol w:w="1701"/>
        <w:gridCol w:w="1701"/>
        <w:gridCol w:w="1647"/>
      </w:tblGrid>
      <w:tr w:rsidR="00890C7B" w:rsidRPr="00B26C3D" w14:paraId="46DE6FF2" w14:textId="77777777" w:rsidTr="0049654A">
        <w:trPr>
          <w:cnfStyle w:val="100000000000" w:firstRow="1" w:lastRow="0" w:firstColumn="0" w:lastColumn="0" w:oddVBand="0" w:evenVBand="0" w:oddHBand="0" w:evenHBand="0" w:firstRowFirstColumn="0" w:firstRowLastColumn="0" w:lastRowFirstColumn="0" w:lastRowLastColumn="0"/>
          <w:trHeight w:val="731"/>
        </w:trPr>
        <w:tc>
          <w:tcPr>
            <w:tcW w:w="2410" w:type="dxa"/>
          </w:tcPr>
          <w:p w14:paraId="031B09BC" w14:textId="77777777" w:rsidR="00890C7B" w:rsidRPr="0049654A" w:rsidRDefault="00890C7B" w:rsidP="00472728">
            <w:pPr>
              <w:rPr>
                <w:sz w:val="20"/>
                <w:szCs w:val="20"/>
              </w:rPr>
            </w:pPr>
            <w:r w:rsidRPr="0049654A">
              <w:rPr>
                <w:sz w:val="20"/>
                <w:szCs w:val="20"/>
              </w:rPr>
              <w:t>Measure</w:t>
            </w:r>
          </w:p>
        </w:tc>
        <w:tc>
          <w:tcPr>
            <w:tcW w:w="1418" w:type="dxa"/>
          </w:tcPr>
          <w:p w14:paraId="3F5117CF" w14:textId="77777777" w:rsidR="00890C7B" w:rsidRPr="0049654A" w:rsidRDefault="00890C7B" w:rsidP="00472728">
            <w:pPr>
              <w:rPr>
                <w:sz w:val="20"/>
                <w:szCs w:val="20"/>
              </w:rPr>
            </w:pPr>
            <w:r w:rsidRPr="0049654A">
              <w:rPr>
                <w:sz w:val="20"/>
                <w:szCs w:val="20"/>
              </w:rPr>
              <w:t>National</w:t>
            </w:r>
          </w:p>
        </w:tc>
        <w:tc>
          <w:tcPr>
            <w:tcW w:w="1701" w:type="dxa"/>
          </w:tcPr>
          <w:p w14:paraId="250B47FB" w14:textId="77777777" w:rsidR="00890C7B" w:rsidRPr="0049654A" w:rsidRDefault="00890C7B" w:rsidP="00472728">
            <w:pPr>
              <w:rPr>
                <w:sz w:val="20"/>
                <w:szCs w:val="20"/>
              </w:rPr>
            </w:pPr>
            <w:r w:rsidRPr="0049654A">
              <w:rPr>
                <w:sz w:val="20"/>
                <w:szCs w:val="20"/>
              </w:rPr>
              <w:t>Females</w:t>
            </w:r>
          </w:p>
        </w:tc>
        <w:tc>
          <w:tcPr>
            <w:tcW w:w="1701" w:type="dxa"/>
          </w:tcPr>
          <w:p w14:paraId="3CD52241" w14:textId="35ADEA13" w:rsidR="00890C7B" w:rsidRPr="0049654A" w:rsidRDefault="00890C7B" w:rsidP="00472728">
            <w:pPr>
              <w:rPr>
                <w:sz w:val="20"/>
                <w:szCs w:val="20"/>
              </w:rPr>
            </w:pPr>
            <w:r w:rsidRPr="0049654A">
              <w:rPr>
                <w:sz w:val="20"/>
                <w:szCs w:val="20"/>
              </w:rPr>
              <w:t>First Nations</w:t>
            </w:r>
            <w:r w:rsidR="0008741D" w:rsidRPr="0049654A">
              <w:rPr>
                <w:sz w:val="20"/>
                <w:szCs w:val="20"/>
              </w:rPr>
              <w:t xml:space="preserve"> people</w:t>
            </w:r>
          </w:p>
        </w:tc>
        <w:tc>
          <w:tcPr>
            <w:tcW w:w="1647" w:type="dxa"/>
          </w:tcPr>
          <w:p w14:paraId="578FE8AF" w14:textId="77777777" w:rsidR="00890C7B" w:rsidRPr="0049654A" w:rsidRDefault="00890C7B" w:rsidP="00472728">
            <w:pPr>
              <w:rPr>
                <w:sz w:val="20"/>
                <w:szCs w:val="20"/>
              </w:rPr>
            </w:pPr>
            <w:r w:rsidRPr="0049654A">
              <w:rPr>
                <w:sz w:val="20"/>
                <w:szCs w:val="20"/>
              </w:rPr>
              <w:t>People with disability</w:t>
            </w:r>
          </w:p>
        </w:tc>
      </w:tr>
      <w:tr w:rsidR="00890C7B" w:rsidRPr="00B26C3D" w14:paraId="50A493B3" w14:textId="77777777" w:rsidTr="00890C7B">
        <w:trPr>
          <w:trHeight w:val="381"/>
        </w:trPr>
        <w:tc>
          <w:tcPr>
            <w:tcW w:w="2410" w:type="dxa"/>
          </w:tcPr>
          <w:p w14:paraId="5E795FBE" w14:textId="23AC119B" w:rsidR="00890C7B" w:rsidRPr="0049654A" w:rsidRDefault="00890C7B" w:rsidP="00890C7B">
            <w:pPr>
              <w:rPr>
                <w:sz w:val="20"/>
                <w:szCs w:val="20"/>
              </w:rPr>
            </w:pPr>
            <w:r w:rsidRPr="0049654A">
              <w:rPr>
                <w:sz w:val="20"/>
                <w:szCs w:val="20"/>
              </w:rPr>
              <w:t>Progression to further VET (%)</w:t>
            </w:r>
          </w:p>
        </w:tc>
        <w:tc>
          <w:tcPr>
            <w:tcW w:w="1418" w:type="dxa"/>
          </w:tcPr>
          <w:p w14:paraId="715AEB24" w14:textId="06851D43" w:rsidR="00890C7B" w:rsidRPr="0049654A" w:rsidRDefault="00890C7B" w:rsidP="00890C7B">
            <w:pPr>
              <w:jc w:val="right"/>
              <w:rPr>
                <w:sz w:val="20"/>
                <w:szCs w:val="20"/>
              </w:rPr>
            </w:pPr>
            <w:r w:rsidRPr="0049654A">
              <w:rPr>
                <w:sz w:val="20"/>
                <w:szCs w:val="20"/>
              </w:rPr>
              <w:t>16%</w:t>
            </w:r>
          </w:p>
        </w:tc>
        <w:tc>
          <w:tcPr>
            <w:tcW w:w="1701" w:type="dxa"/>
          </w:tcPr>
          <w:p w14:paraId="47FBAC3A" w14:textId="5D26F20A" w:rsidR="00890C7B" w:rsidRPr="0049654A" w:rsidRDefault="00890C7B" w:rsidP="00890C7B">
            <w:pPr>
              <w:jc w:val="right"/>
              <w:rPr>
                <w:sz w:val="20"/>
                <w:szCs w:val="20"/>
              </w:rPr>
            </w:pPr>
            <w:r w:rsidRPr="0049654A">
              <w:rPr>
                <w:sz w:val="20"/>
                <w:szCs w:val="20"/>
              </w:rPr>
              <w:t>18%</w:t>
            </w:r>
          </w:p>
        </w:tc>
        <w:tc>
          <w:tcPr>
            <w:tcW w:w="1701" w:type="dxa"/>
          </w:tcPr>
          <w:p w14:paraId="1D0B197E" w14:textId="07415729" w:rsidR="00890C7B" w:rsidRPr="0049654A" w:rsidRDefault="00890C7B" w:rsidP="00890C7B">
            <w:pPr>
              <w:jc w:val="right"/>
              <w:rPr>
                <w:sz w:val="20"/>
                <w:szCs w:val="20"/>
              </w:rPr>
            </w:pPr>
            <w:r w:rsidRPr="0049654A">
              <w:rPr>
                <w:sz w:val="20"/>
                <w:szCs w:val="20"/>
              </w:rPr>
              <w:t>20%</w:t>
            </w:r>
          </w:p>
        </w:tc>
        <w:tc>
          <w:tcPr>
            <w:tcW w:w="1647" w:type="dxa"/>
          </w:tcPr>
          <w:p w14:paraId="4DDDCA3E" w14:textId="16E4C5AB" w:rsidR="00890C7B" w:rsidRPr="0049654A" w:rsidRDefault="00890C7B" w:rsidP="00890C7B">
            <w:pPr>
              <w:jc w:val="right"/>
              <w:rPr>
                <w:sz w:val="20"/>
                <w:szCs w:val="20"/>
              </w:rPr>
            </w:pPr>
            <w:r w:rsidRPr="0049654A">
              <w:rPr>
                <w:sz w:val="20"/>
                <w:szCs w:val="20"/>
              </w:rPr>
              <w:t>21%</w:t>
            </w:r>
          </w:p>
        </w:tc>
      </w:tr>
      <w:tr w:rsidR="00890C7B" w:rsidRPr="00B26C3D" w14:paraId="37CE52D2" w14:textId="77777777" w:rsidTr="00890C7B">
        <w:trPr>
          <w:cnfStyle w:val="000000010000" w:firstRow="0" w:lastRow="0" w:firstColumn="0" w:lastColumn="0" w:oddVBand="0" w:evenVBand="0" w:oddHBand="0" w:evenHBand="1" w:firstRowFirstColumn="0" w:firstRowLastColumn="0" w:lastRowFirstColumn="0" w:lastRowLastColumn="0"/>
          <w:trHeight w:val="381"/>
        </w:trPr>
        <w:tc>
          <w:tcPr>
            <w:tcW w:w="2410" w:type="dxa"/>
          </w:tcPr>
          <w:p w14:paraId="54C31870" w14:textId="03070C88" w:rsidR="00890C7B" w:rsidRPr="0049654A" w:rsidRDefault="00890C7B" w:rsidP="00890C7B">
            <w:pPr>
              <w:rPr>
                <w:sz w:val="20"/>
                <w:szCs w:val="20"/>
              </w:rPr>
            </w:pPr>
            <w:r w:rsidRPr="0049654A">
              <w:rPr>
                <w:sz w:val="20"/>
                <w:szCs w:val="20"/>
              </w:rPr>
              <w:t>Progression to Higher Education (%)</w:t>
            </w:r>
          </w:p>
        </w:tc>
        <w:tc>
          <w:tcPr>
            <w:tcW w:w="1418" w:type="dxa"/>
          </w:tcPr>
          <w:p w14:paraId="5B8D556E" w14:textId="69DF8522" w:rsidR="00890C7B" w:rsidRPr="0049654A" w:rsidRDefault="00890C7B" w:rsidP="00890C7B">
            <w:pPr>
              <w:jc w:val="right"/>
              <w:rPr>
                <w:sz w:val="20"/>
                <w:szCs w:val="20"/>
              </w:rPr>
            </w:pPr>
            <w:r w:rsidRPr="0049654A">
              <w:rPr>
                <w:sz w:val="20"/>
                <w:szCs w:val="20"/>
              </w:rPr>
              <w:t>8%</w:t>
            </w:r>
          </w:p>
        </w:tc>
        <w:tc>
          <w:tcPr>
            <w:tcW w:w="1701" w:type="dxa"/>
          </w:tcPr>
          <w:p w14:paraId="58134782" w14:textId="7DD90214" w:rsidR="00890C7B" w:rsidRPr="0049654A" w:rsidRDefault="00890C7B" w:rsidP="00890C7B">
            <w:pPr>
              <w:jc w:val="right"/>
              <w:rPr>
                <w:sz w:val="20"/>
                <w:szCs w:val="20"/>
              </w:rPr>
            </w:pPr>
            <w:r w:rsidRPr="0049654A">
              <w:rPr>
                <w:sz w:val="20"/>
                <w:szCs w:val="20"/>
              </w:rPr>
              <w:t>10%</w:t>
            </w:r>
          </w:p>
        </w:tc>
        <w:tc>
          <w:tcPr>
            <w:tcW w:w="1701" w:type="dxa"/>
          </w:tcPr>
          <w:p w14:paraId="76AB2B4D" w14:textId="522C7335" w:rsidR="00890C7B" w:rsidRPr="0049654A" w:rsidRDefault="00890C7B" w:rsidP="00890C7B">
            <w:pPr>
              <w:jc w:val="right"/>
              <w:rPr>
                <w:sz w:val="20"/>
                <w:szCs w:val="20"/>
              </w:rPr>
            </w:pPr>
            <w:r w:rsidRPr="0049654A">
              <w:rPr>
                <w:sz w:val="20"/>
                <w:szCs w:val="20"/>
              </w:rPr>
              <w:t>5%</w:t>
            </w:r>
          </w:p>
        </w:tc>
        <w:tc>
          <w:tcPr>
            <w:tcW w:w="1647" w:type="dxa"/>
          </w:tcPr>
          <w:p w14:paraId="1FA92A73" w14:textId="2AE69062" w:rsidR="00890C7B" w:rsidRPr="0049654A" w:rsidRDefault="00890C7B" w:rsidP="00890C7B">
            <w:pPr>
              <w:jc w:val="right"/>
              <w:rPr>
                <w:sz w:val="20"/>
                <w:szCs w:val="20"/>
              </w:rPr>
            </w:pPr>
            <w:r w:rsidRPr="0049654A">
              <w:rPr>
                <w:sz w:val="20"/>
                <w:szCs w:val="20"/>
              </w:rPr>
              <w:t>7%</w:t>
            </w:r>
          </w:p>
        </w:tc>
      </w:tr>
    </w:tbl>
    <w:p w14:paraId="45D07590" w14:textId="77777777" w:rsidR="00AC2606" w:rsidRPr="00890C7B" w:rsidRDefault="00AC2606" w:rsidP="00890C7B">
      <w:pPr>
        <w:pStyle w:val="Source"/>
      </w:pPr>
      <w:r w:rsidRPr="00890C7B">
        <w:t>Source: Personal Level Integrated Data Asset (PLIDA), 2002-2022, VET National Data Asset, ABS DataLab. Findings based on use of PLIDA data.</w:t>
      </w:r>
    </w:p>
    <w:p w14:paraId="693AFB4A" w14:textId="1EE03919" w:rsidR="00AC2606" w:rsidRPr="00AC0957" w:rsidRDefault="007307A9" w:rsidP="00AC2606">
      <w:pPr>
        <w:rPr>
          <w:rFonts w:cs="Arial"/>
        </w:rPr>
      </w:pPr>
      <w:r w:rsidRPr="007307A9">
        <w:rPr>
          <w:rFonts w:cs="Arial"/>
        </w:rPr>
        <w:t>Another measure that can be used to help assess the impact of the VET system is the proportion of students that leave the income support system after their training is completed. Of the students that were on income support prior to study, 39% were no longer on income support two years after the completion of their VET course. This shows the likely contribution of the VET system in providing students with a pathway off income support and into the workforce. However, this proportion was lower for females (36%), First Nations students (34%) and students with disability (22%), highlighting that there is still work to be done in improving the outcomes of these cohorts (</w:t>
      </w:r>
      <w:r>
        <w:rPr>
          <w:rFonts w:cs="Arial"/>
        </w:rPr>
        <w:fldChar w:fldCharType="begin"/>
      </w:r>
      <w:r>
        <w:rPr>
          <w:rFonts w:cs="Arial"/>
        </w:rPr>
        <w:instrText xml:space="preserve"> REF _Ref179895741 \h </w:instrText>
      </w:r>
      <w:r>
        <w:rPr>
          <w:rFonts w:cs="Arial"/>
        </w:rPr>
      </w:r>
      <w:r>
        <w:rPr>
          <w:rFonts w:cs="Arial"/>
        </w:rPr>
        <w:fldChar w:fldCharType="separate"/>
      </w:r>
      <w:r w:rsidR="00C47A81">
        <w:t xml:space="preserve">Table </w:t>
      </w:r>
      <w:r w:rsidR="00C47A81">
        <w:rPr>
          <w:noProof/>
        </w:rPr>
        <w:t>3</w:t>
      </w:r>
      <w:r>
        <w:rPr>
          <w:rFonts w:cs="Arial"/>
        </w:rPr>
        <w:fldChar w:fldCharType="end"/>
      </w:r>
      <w:r w:rsidRPr="007307A9">
        <w:rPr>
          <w:rFonts w:cs="Arial"/>
        </w:rPr>
        <w:t>)</w:t>
      </w:r>
      <w:r w:rsidR="00AC2606" w:rsidRPr="00AC0957">
        <w:rPr>
          <w:rFonts w:cs="Arial"/>
        </w:rPr>
        <w:t>.</w:t>
      </w:r>
    </w:p>
    <w:p w14:paraId="7C3347A1" w14:textId="12DB6B0D" w:rsidR="009859E6" w:rsidRDefault="009859E6" w:rsidP="009859E6">
      <w:pPr>
        <w:pStyle w:val="Caption"/>
      </w:pPr>
      <w:bookmarkStart w:id="94" w:name="_Ref179895741"/>
      <w:r>
        <w:t xml:space="preserve">Table </w:t>
      </w:r>
      <w:r>
        <w:fldChar w:fldCharType="begin"/>
      </w:r>
      <w:r>
        <w:instrText xml:space="preserve"> SEQ Table \* ARABIC </w:instrText>
      </w:r>
      <w:r>
        <w:fldChar w:fldCharType="separate"/>
      </w:r>
      <w:r w:rsidR="00C47A81">
        <w:rPr>
          <w:noProof/>
        </w:rPr>
        <w:t>3</w:t>
      </w:r>
      <w:r>
        <w:fldChar w:fldCharType="end"/>
      </w:r>
      <w:bookmarkEnd w:id="94"/>
      <w:r>
        <w:t xml:space="preserve">: </w:t>
      </w:r>
      <w:r w:rsidRPr="00585CE5">
        <w:t>Income support exit rate at the national level and by cohorts</w:t>
      </w:r>
    </w:p>
    <w:tbl>
      <w:tblPr>
        <w:tblStyle w:val="JSATable1"/>
        <w:tblW w:w="8877" w:type="dxa"/>
        <w:tblLayout w:type="fixed"/>
        <w:tblLook w:val="0020" w:firstRow="1" w:lastRow="0" w:firstColumn="0" w:lastColumn="0" w:noHBand="0" w:noVBand="0"/>
        <w:tblCaption w:val="Income support exit rate at the national level and by cohorts"/>
        <w:tblDescription w:val="The table shows the income support exit rate post completion of VET course, nationally, for females, for First Nations people and for people with disability. Of the students that were on income support prior to study, 39% were no longer on income support two years after the completion of their VET course, however, this proportion was lower for females (36%), First Nations students (34%) and students with disability (22%)."/>
      </w:tblPr>
      <w:tblGrid>
        <w:gridCol w:w="2835"/>
        <w:gridCol w:w="1510"/>
        <w:gridCol w:w="1511"/>
        <w:gridCol w:w="1510"/>
        <w:gridCol w:w="1511"/>
      </w:tblGrid>
      <w:tr w:rsidR="007B662A" w:rsidRPr="00B26C3D" w14:paraId="7D756034" w14:textId="77777777" w:rsidTr="0049654A">
        <w:trPr>
          <w:cnfStyle w:val="100000000000" w:firstRow="1" w:lastRow="0" w:firstColumn="0" w:lastColumn="0" w:oddVBand="0" w:evenVBand="0" w:oddHBand="0" w:evenHBand="0" w:firstRowFirstColumn="0" w:firstRowLastColumn="0" w:lastRowFirstColumn="0" w:lastRowLastColumn="0"/>
          <w:trHeight w:val="946"/>
        </w:trPr>
        <w:tc>
          <w:tcPr>
            <w:tcW w:w="2835" w:type="dxa"/>
          </w:tcPr>
          <w:p w14:paraId="52630D33" w14:textId="77777777" w:rsidR="007B662A" w:rsidRPr="0049654A" w:rsidRDefault="007B662A" w:rsidP="00472728">
            <w:pPr>
              <w:rPr>
                <w:sz w:val="20"/>
                <w:szCs w:val="20"/>
              </w:rPr>
            </w:pPr>
            <w:r w:rsidRPr="0049654A">
              <w:rPr>
                <w:sz w:val="20"/>
                <w:szCs w:val="20"/>
              </w:rPr>
              <w:t>Measure</w:t>
            </w:r>
          </w:p>
        </w:tc>
        <w:tc>
          <w:tcPr>
            <w:tcW w:w="1510" w:type="dxa"/>
          </w:tcPr>
          <w:p w14:paraId="3CFE49CD" w14:textId="77777777" w:rsidR="007B662A" w:rsidRPr="0049654A" w:rsidRDefault="007B662A" w:rsidP="00472728">
            <w:pPr>
              <w:rPr>
                <w:sz w:val="20"/>
                <w:szCs w:val="20"/>
              </w:rPr>
            </w:pPr>
            <w:r w:rsidRPr="0049654A">
              <w:rPr>
                <w:sz w:val="20"/>
                <w:szCs w:val="20"/>
              </w:rPr>
              <w:t>National</w:t>
            </w:r>
          </w:p>
        </w:tc>
        <w:tc>
          <w:tcPr>
            <w:tcW w:w="1511" w:type="dxa"/>
          </w:tcPr>
          <w:p w14:paraId="02620303" w14:textId="77777777" w:rsidR="007B662A" w:rsidRPr="0049654A" w:rsidRDefault="007B662A" w:rsidP="00472728">
            <w:pPr>
              <w:rPr>
                <w:sz w:val="20"/>
                <w:szCs w:val="20"/>
              </w:rPr>
            </w:pPr>
            <w:r w:rsidRPr="0049654A">
              <w:rPr>
                <w:sz w:val="20"/>
                <w:szCs w:val="20"/>
              </w:rPr>
              <w:t>Females</w:t>
            </w:r>
          </w:p>
        </w:tc>
        <w:tc>
          <w:tcPr>
            <w:tcW w:w="1510" w:type="dxa"/>
          </w:tcPr>
          <w:p w14:paraId="051A2CC9" w14:textId="12360F1C" w:rsidR="007B662A" w:rsidRPr="0049654A" w:rsidRDefault="007B662A" w:rsidP="00472728">
            <w:pPr>
              <w:rPr>
                <w:sz w:val="20"/>
                <w:szCs w:val="20"/>
              </w:rPr>
            </w:pPr>
            <w:r w:rsidRPr="0049654A">
              <w:rPr>
                <w:sz w:val="20"/>
                <w:szCs w:val="20"/>
              </w:rPr>
              <w:t>First Nations</w:t>
            </w:r>
            <w:r w:rsidR="0008741D" w:rsidRPr="0049654A">
              <w:rPr>
                <w:sz w:val="20"/>
                <w:szCs w:val="20"/>
              </w:rPr>
              <w:t xml:space="preserve"> people</w:t>
            </w:r>
          </w:p>
        </w:tc>
        <w:tc>
          <w:tcPr>
            <w:tcW w:w="1511" w:type="dxa"/>
          </w:tcPr>
          <w:p w14:paraId="5834D251" w14:textId="77777777" w:rsidR="007B662A" w:rsidRPr="0049654A" w:rsidRDefault="007B662A" w:rsidP="00472728">
            <w:pPr>
              <w:rPr>
                <w:sz w:val="20"/>
                <w:szCs w:val="20"/>
              </w:rPr>
            </w:pPr>
            <w:r w:rsidRPr="0049654A">
              <w:rPr>
                <w:sz w:val="20"/>
                <w:szCs w:val="20"/>
              </w:rPr>
              <w:t>People with disability</w:t>
            </w:r>
          </w:p>
        </w:tc>
      </w:tr>
      <w:tr w:rsidR="007B662A" w:rsidRPr="00B26C3D" w14:paraId="42981795" w14:textId="77777777" w:rsidTr="0049654A">
        <w:trPr>
          <w:trHeight w:val="381"/>
        </w:trPr>
        <w:tc>
          <w:tcPr>
            <w:tcW w:w="2835" w:type="dxa"/>
          </w:tcPr>
          <w:p w14:paraId="1AF8A64D" w14:textId="469EDF60" w:rsidR="007B662A" w:rsidRPr="0049654A" w:rsidRDefault="007B662A" w:rsidP="007B662A">
            <w:pPr>
              <w:rPr>
                <w:sz w:val="20"/>
                <w:szCs w:val="20"/>
              </w:rPr>
            </w:pPr>
            <w:r w:rsidRPr="0049654A">
              <w:rPr>
                <w:sz w:val="20"/>
                <w:szCs w:val="20"/>
              </w:rPr>
              <w:t>Income support exit rate (%)</w:t>
            </w:r>
          </w:p>
        </w:tc>
        <w:tc>
          <w:tcPr>
            <w:tcW w:w="1510" w:type="dxa"/>
          </w:tcPr>
          <w:p w14:paraId="501091BE" w14:textId="1F8887CF" w:rsidR="007B662A" w:rsidRPr="0049654A" w:rsidRDefault="007B662A" w:rsidP="007B662A">
            <w:pPr>
              <w:jc w:val="right"/>
              <w:rPr>
                <w:sz w:val="20"/>
                <w:szCs w:val="20"/>
              </w:rPr>
            </w:pPr>
            <w:r w:rsidRPr="0049654A">
              <w:rPr>
                <w:sz w:val="20"/>
                <w:szCs w:val="20"/>
              </w:rPr>
              <w:t>39%</w:t>
            </w:r>
          </w:p>
        </w:tc>
        <w:tc>
          <w:tcPr>
            <w:tcW w:w="1511" w:type="dxa"/>
          </w:tcPr>
          <w:p w14:paraId="26B40196" w14:textId="3DD3D9EB" w:rsidR="007B662A" w:rsidRPr="0049654A" w:rsidRDefault="007B662A" w:rsidP="007B662A">
            <w:pPr>
              <w:jc w:val="right"/>
              <w:rPr>
                <w:sz w:val="20"/>
                <w:szCs w:val="20"/>
              </w:rPr>
            </w:pPr>
            <w:r w:rsidRPr="0049654A">
              <w:rPr>
                <w:sz w:val="20"/>
                <w:szCs w:val="20"/>
              </w:rPr>
              <w:t>36%</w:t>
            </w:r>
          </w:p>
        </w:tc>
        <w:tc>
          <w:tcPr>
            <w:tcW w:w="1510" w:type="dxa"/>
          </w:tcPr>
          <w:p w14:paraId="62ADAFFB" w14:textId="758A8F15" w:rsidR="007B662A" w:rsidRPr="0049654A" w:rsidRDefault="007B662A" w:rsidP="007B662A">
            <w:pPr>
              <w:jc w:val="right"/>
              <w:rPr>
                <w:sz w:val="20"/>
                <w:szCs w:val="20"/>
              </w:rPr>
            </w:pPr>
            <w:r w:rsidRPr="0049654A">
              <w:rPr>
                <w:sz w:val="20"/>
                <w:szCs w:val="20"/>
              </w:rPr>
              <w:t>34%</w:t>
            </w:r>
          </w:p>
        </w:tc>
        <w:tc>
          <w:tcPr>
            <w:tcW w:w="1511" w:type="dxa"/>
          </w:tcPr>
          <w:p w14:paraId="3C451DE1" w14:textId="1A7B456C" w:rsidR="007B662A" w:rsidRPr="0049654A" w:rsidRDefault="007B662A" w:rsidP="007B662A">
            <w:pPr>
              <w:jc w:val="right"/>
              <w:rPr>
                <w:sz w:val="20"/>
                <w:szCs w:val="20"/>
              </w:rPr>
            </w:pPr>
            <w:r w:rsidRPr="0049654A">
              <w:rPr>
                <w:sz w:val="20"/>
                <w:szCs w:val="20"/>
              </w:rPr>
              <w:t>22%</w:t>
            </w:r>
          </w:p>
        </w:tc>
      </w:tr>
    </w:tbl>
    <w:p w14:paraId="50551690" w14:textId="0AD996B4" w:rsidR="00AC2606" w:rsidRPr="009859E6" w:rsidRDefault="00AC2606" w:rsidP="00107680">
      <w:pPr>
        <w:pStyle w:val="Source"/>
      </w:pPr>
      <w:r w:rsidRPr="009859E6">
        <w:t xml:space="preserve">Source: Personal Level Integrated Data Asset (PLIDA), 2002-2022, VET National Data Asset, ABS DataLab. Findings based on use of PLIDA data. </w:t>
      </w:r>
    </w:p>
    <w:p w14:paraId="6B4F7331" w14:textId="77777777" w:rsidR="00AC2606" w:rsidRPr="00AC0957" w:rsidRDefault="00AC2606" w:rsidP="00AC2606">
      <w:pPr>
        <w:pStyle w:val="Heading2"/>
        <w:rPr>
          <w:rFonts w:cs="Arial"/>
        </w:rPr>
      </w:pPr>
      <w:bookmarkStart w:id="95" w:name="_Toc179887377"/>
      <w:bookmarkStart w:id="96" w:name="_Toc181371571"/>
      <w:r w:rsidRPr="00AC0957">
        <w:rPr>
          <w:rFonts w:cs="Arial"/>
        </w:rPr>
        <w:t>In summary</w:t>
      </w:r>
      <w:bookmarkEnd w:id="95"/>
      <w:bookmarkEnd w:id="96"/>
    </w:p>
    <w:p w14:paraId="1C78DBBA" w14:textId="77777777" w:rsidR="007E0F96" w:rsidRPr="007E0F96" w:rsidRDefault="007E0F96" w:rsidP="007E0F96">
      <w:pPr>
        <w:rPr>
          <w:rFonts w:cs="Arial"/>
          <w:lang w:val="en-US"/>
        </w:rPr>
      </w:pPr>
      <w:r w:rsidRPr="007E0F96">
        <w:rPr>
          <w:rFonts w:cs="Arial"/>
          <w:lang w:val="en-US"/>
        </w:rPr>
        <w:t>Understanding and tracking progress towards an inclusive full employment objective can be aided by understanding developments around a broad suite of measures that go beyond an examination of the unemployment rate in isolation.</w:t>
      </w:r>
    </w:p>
    <w:p w14:paraId="63922C76" w14:textId="77777777" w:rsidR="007E0F96" w:rsidRPr="007E0F96" w:rsidRDefault="007E0F96" w:rsidP="007E0F96">
      <w:pPr>
        <w:rPr>
          <w:rFonts w:cs="Arial"/>
          <w:lang w:val="en-US"/>
        </w:rPr>
      </w:pPr>
      <w:r w:rsidRPr="007E0F96">
        <w:rPr>
          <w:rFonts w:cs="Arial"/>
          <w:lang w:val="en-US"/>
        </w:rPr>
        <w:t xml:space="preserve">Reflecting the softening in labour market conditions that has occurred over the past year, it is not surprising to note that some full employment indicators have weakened slightly over the period but are still tracking well by historical standards. </w:t>
      </w:r>
    </w:p>
    <w:p w14:paraId="79C0860D" w14:textId="77777777" w:rsidR="007E0F96" w:rsidRPr="007E0F96" w:rsidRDefault="007E0F96" w:rsidP="007E0F96">
      <w:pPr>
        <w:rPr>
          <w:rFonts w:cs="Arial"/>
          <w:lang w:val="en-US"/>
        </w:rPr>
      </w:pPr>
      <w:r w:rsidRPr="007E0F96">
        <w:rPr>
          <w:rFonts w:cs="Arial"/>
          <w:lang w:val="en-US"/>
        </w:rPr>
        <w:t xml:space="preserve">Encouragingly, some indicators of </w:t>
      </w:r>
      <w:r w:rsidRPr="005D6A9C">
        <w:rPr>
          <w:rFonts w:cs="Arial"/>
          <w:i/>
          <w:iCs/>
          <w:lang w:val="en-US"/>
        </w:rPr>
        <w:t>inclusive</w:t>
      </w:r>
      <w:r w:rsidRPr="007E0F96">
        <w:rPr>
          <w:rFonts w:cs="Arial"/>
          <w:lang w:val="en-US"/>
        </w:rPr>
        <w:t xml:space="preserve"> full employment have improved over the last year – although more work needs to be done so the benefits of growth can be shared more equitably across a number of disadvantaged groups.</w:t>
      </w:r>
    </w:p>
    <w:p w14:paraId="69E3A318" w14:textId="77777777" w:rsidR="007E0F96" w:rsidRPr="007E0F96" w:rsidRDefault="007E0F96" w:rsidP="007E0F96">
      <w:pPr>
        <w:rPr>
          <w:rFonts w:cs="Arial"/>
          <w:lang w:val="en-US"/>
        </w:rPr>
      </w:pPr>
      <w:r w:rsidRPr="007E0F96">
        <w:rPr>
          <w:rFonts w:cs="Arial"/>
          <w:lang w:val="en-US"/>
        </w:rPr>
        <w:t>There have been improvements in outcomes for many cohorts. First Nations employment levels have improved, and women are participating in the workforce at higher levels than ever before. Indicators such as the employment share of lower-skilled occupations and incidence of part-time employment, however, show that there is more work to be done to achieve true equality in the workforce and that barriers to participation persist. Income volatility also exists for many Australians, which is an indicator of insecure work.</w:t>
      </w:r>
    </w:p>
    <w:p w14:paraId="5CF4D205" w14:textId="77777777" w:rsidR="007E0F96" w:rsidRPr="007E0F96" w:rsidRDefault="007E0F96" w:rsidP="007E0F96">
      <w:pPr>
        <w:rPr>
          <w:rFonts w:cs="Arial"/>
          <w:lang w:val="en-US"/>
        </w:rPr>
      </w:pPr>
      <w:r w:rsidRPr="007E0F96">
        <w:rPr>
          <w:rFonts w:cs="Arial"/>
          <w:lang w:val="en-US"/>
        </w:rPr>
        <w:t xml:space="preserve">JSA is undertaking a range of projects to better understand the barriers to full participation including an international students study and work to better understand the foundation skills levels of Australian adults. </w:t>
      </w:r>
    </w:p>
    <w:p w14:paraId="3729DEC9" w14:textId="77777777" w:rsidR="007E0F96" w:rsidRPr="007E0F96" w:rsidRDefault="007E0F96" w:rsidP="007E0F96">
      <w:pPr>
        <w:rPr>
          <w:rFonts w:cs="Arial"/>
          <w:lang w:val="en-US"/>
        </w:rPr>
      </w:pPr>
      <w:r w:rsidRPr="007E0F96">
        <w:rPr>
          <w:rFonts w:cs="Arial"/>
          <w:lang w:val="en-US"/>
        </w:rPr>
        <w:t xml:space="preserve">Education is an important enabler of successful participation in the workforce and society as a whole. VET pathways may be attractive options for groups that have historically experienced labour market and other disadvantage given the barriers to access can be lower in terms of cost, time, and entry requirements. Completion of VET training may contribute to higher levels of employment, income uplift, and pathways to undertaking further training at a higher level. </w:t>
      </w:r>
    </w:p>
    <w:p w14:paraId="0C159461" w14:textId="6A41D82B" w:rsidR="00AC2606" w:rsidRDefault="007E0F96" w:rsidP="007E0F96">
      <w:pPr>
        <w:rPr>
          <w:rFonts w:cs="Arial"/>
          <w:lang w:val="en-US"/>
        </w:rPr>
      </w:pPr>
      <w:r w:rsidRPr="007E0F96">
        <w:rPr>
          <w:rFonts w:cs="Arial"/>
          <w:lang w:val="en-US"/>
        </w:rPr>
        <w:t xml:space="preserve">Continued monitoring and exploration of the indicators of full inclusive participation will be important in measuring progress and developing beneficial interventions to break down social and structural barriers. JSA will continue to undertake relevant research and analysis to support and inform better understanding of persistent issues and possible </w:t>
      </w:r>
      <w:r w:rsidRPr="0061713E">
        <w:rPr>
          <w:rFonts w:cs="Arial"/>
          <w:lang w:val="en-US"/>
        </w:rPr>
        <w:t>solutions</w:t>
      </w:r>
      <w:r w:rsidR="005D6A9C">
        <w:rPr>
          <w:rFonts w:cs="Arial"/>
          <w:lang w:val="en-US"/>
        </w:rPr>
        <w:t>.</w:t>
      </w:r>
    </w:p>
    <w:p w14:paraId="1671E00E" w14:textId="77777777" w:rsidR="00A06692" w:rsidRPr="00AC0957" w:rsidRDefault="00A06692" w:rsidP="00AC2606">
      <w:pPr>
        <w:rPr>
          <w:rFonts w:cs="Arial"/>
        </w:rPr>
      </w:pPr>
    </w:p>
    <w:p w14:paraId="565C53D5" w14:textId="77777777" w:rsidR="00A06692" w:rsidRDefault="00A06692" w:rsidP="00AC2606">
      <w:pPr>
        <w:pStyle w:val="Heading1"/>
        <w:rPr>
          <w:rFonts w:cs="Arial"/>
        </w:rPr>
        <w:sectPr w:rsidR="00A06692" w:rsidSect="00934658">
          <w:headerReference w:type="even" r:id="rId48"/>
          <w:headerReference w:type="default" r:id="rId49"/>
          <w:footerReference w:type="even" r:id="rId50"/>
          <w:footerReference w:type="default" r:id="rId51"/>
          <w:pgSz w:w="11906" w:h="16838" w:code="9"/>
          <w:pgMar w:top="1276" w:right="1440" w:bottom="1134" w:left="1440" w:header="709" w:footer="709" w:gutter="0"/>
          <w:cols w:space="708"/>
          <w:docGrid w:linePitch="360"/>
        </w:sectPr>
      </w:pPr>
      <w:bookmarkStart w:id="97" w:name="_Toc179887378"/>
    </w:p>
    <w:p w14:paraId="2E6B6677" w14:textId="77777777" w:rsidR="00A06692" w:rsidRDefault="00A06692" w:rsidP="00A06692">
      <w:pPr>
        <w:pStyle w:val="Chaptergap"/>
      </w:pPr>
    </w:p>
    <w:p w14:paraId="58BF6068" w14:textId="271D69AA" w:rsidR="00AC2606" w:rsidRPr="00AC0957" w:rsidRDefault="00AC2606" w:rsidP="00AC2606">
      <w:pPr>
        <w:pStyle w:val="Heading1"/>
        <w:rPr>
          <w:rFonts w:cs="Arial"/>
        </w:rPr>
      </w:pPr>
      <w:bookmarkStart w:id="98" w:name="_Toc181371572"/>
      <w:r w:rsidRPr="00AC0957">
        <w:rPr>
          <w:rFonts w:cs="Arial"/>
        </w:rPr>
        <w:t xml:space="preserve">Chapter </w:t>
      </w:r>
      <w:r w:rsidR="00CB060C">
        <w:rPr>
          <w:rFonts w:cs="Arial"/>
        </w:rPr>
        <w:t>2:</w:t>
      </w:r>
      <w:r w:rsidRPr="00AC0957">
        <w:rPr>
          <w:rFonts w:cs="Arial"/>
        </w:rPr>
        <w:t xml:space="preserve"> Understanding today’s workforce</w:t>
      </w:r>
      <w:bookmarkEnd w:id="97"/>
      <w:bookmarkEnd w:id="98"/>
    </w:p>
    <w:p w14:paraId="25E6E3C1" w14:textId="77777777" w:rsidR="00A11935" w:rsidRPr="00A11935" w:rsidRDefault="00A11935" w:rsidP="00A11935">
      <w:pPr>
        <w:rPr>
          <w:rFonts w:cs="Arial"/>
        </w:rPr>
      </w:pPr>
      <w:r w:rsidRPr="00A11935">
        <w:rPr>
          <w:rFonts w:cs="Arial"/>
        </w:rPr>
        <w:t xml:space="preserve">A contemporary skilled workforce is critical for delivering for Australia today and into our future, and a truly inclusive economy ensures that all Australians who want a job can find one without searching for too long. Accurate and timely labour market insights enable employers, individuals, and governments to make good decisions about hiring, study, job transitions, policies, and programs that benefit our people, businesses, and the economy. </w:t>
      </w:r>
    </w:p>
    <w:p w14:paraId="25BC189D" w14:textId="780F6E94" w:rsidR="00A11935" w:rsidRPr="00A11935" w:rsidRDefault="00A11935" w:rsidP="00A11935">
      <w:pPr>
        <w:rPr>
          <w:rFonts w:cs="Arial"/>
        </w:rPr>
      </w:pPr>
      <w:r w:rsidRPr="00A11935">
        <w:rPr>
          <w:rFonts w:cs="Arial"/>
        </w:rPr>
        <w:t>This is why a key strategic function for JSA is to provide labour market information and analysis. Our enabling legislation outlines that a part of our role is to:</w:t>
      </w:r>
      <w:r w:rsidR="008C52B1">
        <w:rPr>
          <w:rFonts w:cs="Arial"/>
        </w:rPr>
        <w:t xml:space="preserve"> </w:t>
      </w:r>
    </w:p>
    <w:p w14:paraId="3C090D09" w14:textId="6EE18E70" w:rsidR="00A11935" w:rsidRPr="00A11935" w:rsidRDefault="00A11935" w:rsidP="00A11935">
      <w:pPr>
        <w:pStyle w:val="ListBullet"/>
      </w:pPr>
      <w:r w:rsidRPr="00A11935">
        <w:t>identify labour market imbalances and analyse the demand and supply of skills</w:t>
      </w:r>
    </w:p>
    <w:p w14:paraId="4245EF7B" w14:textId="2A579F57" w:rsidR="00A11935" w:rsidRPr="00A11935" w:rsidRDefault="00A11935" w:rsidP="00A11935">
      <w:pPr>
        <w:pStyle w:val="ListBullet"/>
      </w:pPr>
      <w:r w:rsidRPr="00A11935">
        <w:t>analyse skills needs and workforce needs, including in regional, rural and remote Australia, and in relation to migration</w:t>
      </w:r>
    </w:p>
    <w:p w14:paraId="10011A07" w14:textId="0D5BB4FA" w:rsidR="00A11935" w:rsidRPr="00A11935" w:rsidRDefault="00A11935" w:rsidP="00A11935">
      <w:pPr>
        <w:pStyle w:val="ListBullet"/>
      </w:pPr>
      <w:r w:rsidRPr="00A11935">
        <w:t>provide advice on Australia’s current and emerging labour market, including advice on workforce needs and priorities</w:t>
      </w:r>
    </w:p>
    <w:p w14:paraId="155037F1" w14:textId="063088CA" w:rsidR="00A11935" w:rsidRPr="00A11935" w:rsidRDefault="00A11935" w:rsidP="00A11935">
      <w:pPr>
        <w:pStyle w:val="ListBullet"/>
      </w:pPr>
      <w:r w:rsidRPr="00A11935">
        <w:t>provide advice on Australia’s current, emerging and future skills and training needs and priorities (including in relation to apprenticeships, VET and higher education).</w:t>
      </w:r>
    </w:p>
    <w:p w14:paraId="02640B61" w14:textId="288EBD0C" w:rsidR="00AC2606" w:rsidRPr="00AC0957" w:rsidRDefault="00A11935" w:rsidP="00A11935">
      <w:pPr>
        <w:rPr>
          <w:rFonts w:cs="Arial"/>
        </w:rPr>
      </w:pPr>
      <w:r w:rsidRPr="00A11935">
        <w:rPr>
          <w:rFonts w:cs="Arial"/>
        </w:rPr>
        <w:t>JSA’s intelligence can enable Australians to better understand the realities of today’s labour market, the opportunities present under current conditions, and the skills required to realise them. This chapter outlines key evidence about the economy and labour market over the past year, including skills shortages, their drivers, and the picture for Australia’s regions.</w:t>
      </w:r>
    </w:p>
    <w:p w14:paraId="625BDD4B" w14:textId="0C26AB0C" w:rsidR="00E307AB" w:rsidRDefault="00E307AB">
      <w:pPr>
        <w:spacing w:after="160" w:line="259" w:lineRule="auto"/>
        <w:rPr>
          <w:rFonts w:cs="Arial"/>
        </w:rPr>
      </w:pPr>
      <w:r>
        <w:rPr>
          <w:rFonts w:cs="Arial"/>
        </w:rPr>
        <w:br w:type="page"/>
      </w:r>
    </w:p>
    <w:p w14:paraId="427C98C4" w14:textId="77777777" w:rsidR="00230B0B" w:rsidRDefault="00230B0B" w:rsidP="00AC2606">
      <w:pPr>
        <w:pBdr>
          <w:bottom w:val="single" w:sz="12" w:space="1" w:color="auto"/>
        </w:pBdr>
        <w:rPr>
          <w:rFonts w:cs="Arial"/>
        </w:rPr>
      </w:pPr>
    </w:p>
    <w:p w14:paraId="475407F0" w14:textId="77777777" w:rsidR="00AC2606" w:rsidRPr="00AC0957" w:rsidRDefault="00AC2606" w:rsidP="00107680">
      <w:pPr>
        <w:pStyle w:val="Keythemes"/>
      </w:pPr>
      <w:r w:rsidRPr="00AC0957">
        <w:t>Key themes in this chapter:</w:t>
      </w:r>
    </w:p>
    <w:p w14:paraId="0BF9B2D4" w14:textId="77777777" w:rsidR="00230B0B" w:rsidRPr="00230B0B" w:rsidRDefault="00230B0B" w:rsidP="00230B0B">
      <w:pPr>
        <w:pStyle w:val="ListBullet"/>
      </w:pPr>
      <w:bookmarkStart w:id="99" w:name="_Toc179887379"/>
      <w:r w:rsidRPr="00230B0B">
        <w:t>Despite significant economic challenges, the Australian labour market has remained reasonably tight - although the unemployment rate has drifted up over the last year.</w:t>
      </w:r>
    </w:p>
    <w:p w14:paraId="24F50643" w14:textId="77777777" w:rsidR="00230B0B" w:rsidRPr="00230B0B" w:rsidRDefault="00230B0B" w:rsidP="00230B0B">
      <w:pPr>
        <w:pStyle w:val="ListBullet"/>
      </w:pPr>
      <w:r w:rsidRPr="00230B0B">
        <w:t>While the labour market outlook remains a little uncertain, a number of partial forward indicators of labour demand continue to point to a softening in labour market activity in the period ahead.</w:t>
      </w:r>
    </w:p>
    <w:p w14:paraId="38D34580" w14:textId="77777777" w:rsidR="00230B0B" w:rsidRPr="00230B0B" w:rsidRDefault="00230B0B" w:rsidP="00230B0B">
      <w:pPr>
        <w:pStyle w:val="ListBullet"/>
      </w:pPr>
      <w:r w:rsidRPr="00230B0B">
        <w:t xml:space="preserve">Skills shortages in the labour market are persistent, but the driving factors are varied and require different responses. </w:t>
      </w:r>
    </w:p>
    <w:p w14:paraId="48B39C4E" w14:textId="77777777" w:rsidR="00230B0B" w:rsidRPr="00230B0B" w:rsidRDefault="00230B0B" w:rsidP="00230B0B">
      <w:pPr>
        <w:pStyle w:val="ListBullet"/>
      </w:pPr>
      <w:r w:rsidRPr="00230B0B">
        <w:t>Our regions continue to face unique challenges, and categorising regional labour markets can help inform and target policy responses.</w:t>
      </w:r>
    </w:p>
    <w:p w14:paraId="625BE0BC" w14:textId="77777777" w:rsidR="00A06692" w:rsidRDefault="00A06692" w:rsidP="00AC2606">
      <w:pPr>
        <w:pStyle w:val="Heading2"/>
        <w:rPr>
          <w:rFonts w:cs="Arial"/>
        </w:rPr>
        <w:sectPr w:rsidR="00A06692" w:rsidSect="00934658">
          <w:headerReference w:type="even" r:id="rId52"/>
          <w:headerReference w:type="default" r:id="rId53"/>
          <w:footerReference w:type="even" r:id="rId54"/>
          <w:footerReference w:type="default" r:id="rId55"/>
          <w:pgSz w:w="11906" w:h="16838" w:code="9"/>
          <w:pgMar w:top="1276" w:right="1440" w:bottom="1134" w:left="1440" w:header="709" w:footer="709" w:gutter="0"/>
          <w:cols w:space="708"/>
          <w:docGrid w:linePitch="360"/>
        </w:sectPr>
      </w:pPr>
    </w:p>
    <w:p w14:paraId="1564CC25" w14:textId="77777777" w:rsidR="00AC2606" w:rsidRPr="00AC0957" w:rsidRDefault="00AC2606" w:rsidP="00AC2606">
      <w:pPr>
        <w:pStyle w:val="Heading2"/>
        <w:rPr>
          <w:rFonts w:cs="Arial"/>
        </w:rPr>
      </w:pPr>
      <w:bookmarkStart w:id="100" w:name="_Toc181371573"/>
      <w:r w:rsidRPr="00AC0957">
        <w:rPr>
          <w:rFonts w:cs="Arial"/>
        </w:rPr>
        <w:t>The big picture – Australia’s labour market today</w:t>
      </w:r>
      <w:bookmarkEnd w:id="99"/>
      <w:bookmarkEnd w:id="100"/>
    </w:p>
    <w:p w14:paraId="2DB701DD" w14:textId="77777777" w:rsidR="0093489D" w:rsidRPr="0093489D" w:rsidRDefault="0093489D" w:rsidP="0093489D">
      <w:pPr>
        <w:rPr>
          <w:rFonts w:cs="Arial"/>
        </w:rPr>
      </w:pPr>
      <w:r w:rsidRPr="0093489D">
        <w:rPr>
          <w:rFonts w:cs="Arial"/>
        </w:rPr>
        <w:t xml:space="preserve">The Australian labour market has displayed remarkable resilience against the backdrop of significant economic headwinds generated by the COVID-19 pandemic that commenced in March 2020. Nevertheless, we continue to face considerable economic challenges and some uncertainty around the economic and labour market outlook. </w:t>
      </w:r>
    </w:p>
    <w:p w14:paraId="1459B1CA" w14:textId="5A87F257" w:rsidR="00AC2606" w:rsidRDefault="0093489D" w:rsidP="0093489D">
      <w:pPr>
        <w:rPr>
          <w:rFonts w:cs="Arial"/>
        </w:rPr>
      </w:pPr>
      <w:r w:rsidRPr="0093489D">
        <w:rPr>
          <w:rFonts w:cs="Arial"/>
        </w:rPr>
        <w:t>Following the height of the COVID-19 pandemic, most major economies around the world experienced an increase in the rate of inflation. In Australia, the CPI index rose by 7.8% over the year to December 2022, the highest increase recorded since March 1990. More recently, the rate of inflation has begun to decline, with CPI rising by 3.8% in the year to June 2024, noting it remains above the Reserve Bank of Australia (RBA) inflation target band of between 2.0% to 3.0% per annum (</w:t>
      </w:r>
      <w:r>
        <w:rPr>
          <w:rFonts w:cs="Arial"/>
        </w:rPr>
        <w:fldChar w:fldCharType="begin"/>
      </w:r>
      <w:r>
        <w:rPr>
          <w:rFonts w:cs="Arial"/>
        </w:rPr>
        <w:instrText xml:space="preserve"> REF _Ref181117076 \h </w:instrText>
      </w:r>
      <w:r>
        <w:rPr>
          <w:rFonts w:cs="Arial"/>
        </w:rPr>
      </w:r>
      <w:r>
        <w:rPr>
          <w:rFonts w:cs="Arial"/>
        </w:rPr>
        <w:fldChar w:fldCharType="separate"/>
      </w:r>
      <w:r w:rsidR="00C47A81">
        <w:t xml:space="preserve">Figure </w:t>
      </w:r>
      <w:r w:rsidR="00C47A81">
        <w:rPr>
          <w:noProof/>
        </w:rPr>
        <w:t>19</w:t>
      </w:r>
      <w:r>
        <w:rPr>
          <w:rFonts w:cs="Arial"/>
        </w:rPr>
        <w:fldChar w:fldCharType="end"/>
      </w:r>
      <w:r w:rsidRPr="0093489D">
        <w:rPr>
          <w:rFonts w:cs="Arial"/>
        </w:rPr>
        <w:t>).</w:t>
      </w:r>
      <w:r w:rsidR="008C52B1">
        <w:rPr>
          <w:rFonts w:cs="Aria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779"/>
      </w:tblGrid>
      <w:tr w:rsidR="00CF006C" w14:paraId="0D671E46" w14:textId="77777777" w:rsidTr="00107680">
        <w:tc>
          <w:tcPr>
            <w:tcW w:w="4836" w:type="dxa"/>
          </w:tcPr>
          <w:p w14:paraId="118A0C34" w14:textId="1F7A0162" w:rsidR="00107680" w:rsidRDefault="00107680" w:rsidP="00107680">
            <w:pPr>
              <w:pStyle w:val="Caption"/>
            </w:pPr>
            <w:bookmarkStart w:id="101" w:name="_Ref181117076"/>
            <w:bookmarkStart w:id="102" w:name="_Toc181370321"/>
            <w:r>
              <w:t xml:space="preserve">Figure </w:t>
            </w:r>
            <w:r>
              <w:fldChar w:fldCharType="begin"/>
            </w:r>
            <w:r>
              <w:instrText xml:space="preserve"> SEQ Figure \* ARABIC </w:instrText>
            </w:r>
            <w:r>
              <w:fldChar w:fldCharType="separate"/>
            </w:r>
            <w:r w:rsidR="00C47A81">
              <w:rPr>
                <w:noProof/>
              </w:rPr>
              <w:t>19</w:t>
            </w:r>
            <w:r>
              <w:rPr>
                <w:noProof/>
              </w:rPr>
              <w:fldChar w:fldCharType="end"/>
            </w:r>
            <w:bookmarkEnd w:id="101"/>
            <w:r>
              <w:t xml:space="preserve">: </w:t>
            </w:r>
            <w:r w:rsidRPr="00F0406B">
              <w:t>Inflation</w:t>
            </w:r>
            <w:bookmarkEnd w:id="102"/>
          </w:p>
          <w:p w14:paraId="195F5B10" w14:textId="417AEA31" w:rsidR="006712AF" w:rsidRPr="006712AF" w:rsidRDefault="00BB46E9" w:rsidP="006712AF">
            <w:r>
              <w:rPr>
                <w:noProof/>
              </w:rPr>
              <w:drawing>
                <wp:inline distT="0" distB="0" distL="0" distR="0" wp14:anchorId="61463858" wp14:editId="7926BE32">
                  <wp:extent cx="2727297" cy="2165462"/>
                  <wp:effectExtent l="0" t="0" r="0" b="6350"/>
                  <wp:docPr id="1415519648" name="Picture 37" descr="A bar chart showing the annual change in the ABS Consumer Price Index (a measure of inflation) as compared with the RBA Inflation Target band of 2% to 3%. The findings show that in recent years inflation has risen above the RBA target band and stood at 3.8% in the year to June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519648" name="Picture 37" descr="A bar chart showing the annual change in the ABS Consumer Price Index (a measure of inflation) as compared with the RBA Inflation Target band of 2% to 3%. The findings show that in recent years inflation has risen above the RBA target band and stood at 3.8% in the year to June 202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45769" cy="2180129"/>
                          </a:xfrm>
                          <a:prstGeom prst="rect">
                            <a:avLst/>
                          </a:prstGeom>
                          <a:noFill/>
                        </pic:spPr>
                      </pic:pic>
                    </a:graphicData>
                  </a:graphic>
                </wp:inline>
              </w:drawing>
            </w:r>
          </w:p>
          <w:p w14:paraId="7DCB5B6B" w14:textId="5C5BE7D9" w:rsidR="00107680" w:rsidRDefault="00107680" w:rsidP="00107680">
            <w:pPr>
              <w:pStyle w:val="Source"/>
            </w:pPr>
            <w:r w:rsidRPr="00AC0957">
              <w:t xml:space="preserve">Source: </w:t>
            </w:r>
            <w:r w:rsidR="00404E2F" w:rsidRPr="00404E2F">
              <w:t>ABS Consumer Price Index, June 2024 and RBA Inflation Target</w:t>
            </w:r>
            <w:r w:rsidR="00404E2F">
              <w:t>.</w:t>
            </w:r>
          </w:p>
        </w:tc>
        <w:tc>
          <w:tcPr>
            <w:tcW w:w="4180" w:type="dxa"/>
          </w:tcPr>
          <w:p w14:paraId="0CD6EA60" w14:textId="3D03FFF4" w:rsidR="00107680" w:rsidRDefault="00107680" w:rsidP="00107680">
            <w:pPr>
              <w:pStyle w:val="Caption"/>
            </w:pPr>
            <w:bookmarkStart w:id="103" w:name="_Ref181117275"/>
            <w:bookmarkStart w:id="104" w:name="_Toc181370322"/>
            <w:r>
              <w:t xml:space="preserve">Figure </w:t>
            </w:r>
            <w:r>
              <w:fldChar w:fldCharType="begin"/>
            </w:r>
            <w:r>
              <w:instrText xml:space="preserve"> SEQ Figure \* ARABIC </w:instrText>
            </w:r>
            <w:r>
              <w:fldChar w:fldCharType="separate"/>
            </w:r>
            <w:r w:rsidR="00C47A81">
              <w:rPr>
                <w:noProof/>
              </w:rPr>
              <w:t>20</w:t>
            </w:r>
            <w:r>
              <w:rPr>
                <w:noProof/>
              </w:rPr>
              <w:fldChar w:fldCharType="end"/>
            </w:r>
            <w:bookmarkEnd w:id="103"/>
            <w:r>
              <w:t xml:space="preserve">: </w:t>
            </w:r>
            <w:r w:rsidR="00141A6E">
              <w:t>Wages</w:t>
            </w:r>
            <w:bookmarkEnd w:id="104"/>
          </w:p>
          <w:p w14:paraId="04F04B58" w14:textId="7135206E" w:rsidR="00107680" w:rsidRDefault="00CF006C" w:rsidP="00AC2606">
            <w:pPr>
              <w:rPr>
                <w:rFonts w:cs="Arial"/>
              </w:rPr>
            </w:pPr>
            <w:r>
              <w:rPr>
                <w:rFonts w:cs="Arial"/>
                <w:noProof/>
              </w:rPr>
              <w:drawing>
                <wp:inline distT="0" distB="0" distL="0" distR="0" wp14:anchorId="4FBC4D37" wp14:editId="4D890F00">
                  <wp:extent cx="3086717" cy="2115047"/>
                  <wp:effectExtent l="0" t="0" r="0" b="0"/>
                  <wp:docPr id="837313610" name="Picture 39" descr="A line chart showing an index of real wages in Australia (estimated using the ABS Wage Price Index and ABS Consumer Price Index) from 2004 to 2024. The findings show that real wages have declined in recent years to stand at a level in June 2024 that was equivalent to the level recorded in 2010, noting that real wages have stabilised in recent peri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313610" name="Picture 39" descr="A line chart showing an index of real wages in Australia (estimated using the ABS Wage Price Index and ABS Consumer Price Index) from 2004 to 2024. The findings show that real wages have declined in recent years to stand at a level in June 2024 that was equivalent to the level recorded in 2010, noting that real wages have stabilised in recent periods."/>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112193" cy="2132503"/>
                          </a:xfrm>
                          <a:prstGeom prst="rect">
                            <a:avLst/>
                          </a:prstGeom>
                          <a:noFill/>
                        </pic:spPr>
                      </pic:pic>
                    </a:graphicData>
                  </a:graphic>
                </wp:inline>
              </w:drawing>
            </w:r>
          </w:p>
          <w:p w14:paraId="7D7F081C" w14:textId="2F9A5802" w:rsidR="00107680" w:rsidRDefault="00107680" w:rsidP="00107680">
            <w:pPr>
              <w:pStyle w:val="Source"/>
            </w:pPr>
            <w:r w:rsidRPr="00AC0957">
              <w:t xml:space="preserve">Source: </w:t>
            </w:r>
            <w:r w:rsidR="00A74436" w:rsidRPr="00A74436">
              <w:t>ABS Wage Price Index and Consumer Price Index, June 2024</w:t>
            </w:r>
            <w:r w:rsidR="00B528D0">
              <w:t>.</w:t>
            </w:r>
          </w:p>
        </w:tc>
      </w:tr>
    </w:tbl>
    <w:p w14:paraId="667421D7" w14:textId="64CDEAD1" w:rsidR="00F32C41" w:rsidRDefault="00F32C41" w:rsidP="00F32C41">
      <w:r>
        <w:t>Initially, wages struggled to keep up with inflation, falling (in real terms) to the equivalent of 2010 levels (</w:t>
      </w:r>
      <w:r>
        <w:fldChar w:fldCharType="begin"/>
      </w:r>
      <w:r>
        <w:instrText xml:space="preserve"> REF _Ref181117275 \h </w:instrText>
      </w:r>
      <w:r>
        <w:fldChar w:fldCharType="separate"/>
      </w:r>
      <w:r w:rsidR="00C47A81">
        <w:t xml:space="preserve">Figure </w:t>
      </w:r>
      <w:r w:rsidR="00C47A81">
        <w:rPr>
          <w:noProof/>
        </w:rPr>
        <w:t>20</w:t>
      </w:r>
      <w:r>
        <w:fldChar w:fldCharType="end"/>
      </w:r>
      <w:r>
        <w:t xml:space="preserve">). More recently, wages growth has picked up, recording annual nominal growth exceeding 4.0% for four consecutive quarters for the first time in 15 years, with growth in award wages particularly strong </w:t>
      </w:r>
      <w:sdt>
        <w:sdtPr>
          <w:id w:val="-268004133"/>
          <w:citation/>
        </w:sdtPr>
        <w:sdtEndPr/>
        <w:sdtContent>
          <w:r>
            <w:fldChar w:fldCharType="begin"/>
          </w:r>
          <w:r>
            <w:instrText xml:space="preserve"> CITATION Res24 \l 3081 </w:instrText>
          </w:r>
          <w:r>
            <w:fldChar w:fldCharType="separate"/>
          </w:r>
          <w:r w:rsidR="00CA3587">
            <w:rPr>
              <w:noProof/>
            </w:rPr>
            <w:t>(Reserve Bank of Australia, 2024)</w:t>
          </w:r>
          <w:r>
            <w:fldChar w:fldCharType="end"/>
          </w:r>
        </w:sdtContent>
      </w:sdt>
      <w:r>
        <w:t>.</w:t>
      </w:r>
    </w:p>
    <w:p w14:paraId="104313F8" w14:textId="77777777" w:rsidR="00F32C41" w:rsidRDefault="00F32C41" w:rsidP="00F32C41">
      <w:r>
        <w:t xml:space="preserve">Nevertheless, the rate of economic growth has slowed considerably, with GDP rising by just 1.0% over the year to June 2024 (and declining by 1.5% over the period in per-capita terms). Despite these challenging economic conditions, the Australian labour market has remained reasonably tight and the pace of jobs growth has been strong over the last year. </w:t>
      </w:r>
    </w:p>
    <w:p w14:paraId="7861C2EB" w14:textId="77777777" w:rsidR="00F32C41" w:rsidRDefault="00F32C41" w:rsidP="00F32C41">
      <w:r>
        <w:t>For instance, ABS Labour Force Survey data show that the level of employment has risen by 374,200 (or 2.7%) over the period, to stand at a record high of 14,458,600 in August 2024, above the decade annual average growth rate (of 2.3%). That said, the pace of annual employment growth has eased from the robust rates recorded in late 2022 and early 2023.</w:t>
      </w:r>
    </w:p>
    <w:p w14:paraId="597FA98E" w14:textId="77777777" w:rsidR="00F32C41" w:rsidRDefault="00F32C41" w:rsidP="00F32C41">
      <w:r>
        <w:t xml:space="preserve">With respect to the composition of employment growth, full-time employment has increased by 164,200 (or 1.7%) over the last 12 months, to 9,979,100 in August 2024, while part-time employment has risen by 209,900 (or 4.9%), to a record high of 4,479,500. </w:t>
      </w:r>
    </w:p>
    <w:p w14:paraId="119893EA" w14:textId="0FAFDBE7" w:rsidR="00F32C41" w:rsidRDefault="00F32C41" w:rsidP="00F32C41">
      <w:pPr>
        <w:pStyle w:val="ListBullet"/>
      </w:pPr>
      <w:r>
        <w:t xml:space="preserve">While the annual rate of growth in full-time employment has picked up recently (from a low of 0.6% in May 2024), it remains below its decade average rate, of 2.2%, and is significantly lower than the current pace of annual part-time employment growth. </w:t>
      </w:r>
    </w:p>
    <w:p w14:paraId="256F3DFE" w14:textId="77777777" w:rsidR="00F32C41" w:rsidRDefault="00F32C41" w:rsidP="00F32C41"/>
    <w:p w14:paraId="2314A45A" w14:textId="6D2B90A0" w:rsidR="00AC2606" w:rsidRPr="00AC0957" w:rsidRDefault="00F32C41" w:rsidP="00F32C41">
      <w:r>
        <w:t xml:space="preserve">Against the backdrop of a resilient labour market, aggregate hours worked has also improved somewhat over recent months and has risen by 32.8 million hours (or 1.7%) over the year to August 2024. Nevertheless, it remains below the current pace of annual employment growth (of 2.7%) – as in </w:t>
      </w:r>
      <w:r w:rsidR="00FD08B0">
        <w:fldChar w:fldCharType="begin"/>
      </w:r>
      <w:r w:rsidR="00FD08B0">
        <w:instrText xml:space="preserve"> REF _Ref179897562 \h </w:instrText>
      </w:r>
      <w:r w:rsidR="00FD08B0">
        <w:fldChar w:fldCharType="separate"/>
      </w:r>
      <w:r w:rsidR="00C47A81">
        <w:t xml:space="preserve">Figure </w:t>
      </w:r>
      <w:r w:rsidR="00C47A81">
        <w:rPr>
          <w:noProof/>
        </w:rPr>
        <w:t>21</w:t>
      </w:r>
      <w:r w:rsidR="00FD08B0">
        <w:fldChar w:fldCharType="end"/>
      </w:r>
      <w:r w:rsidR="00AC2606" w:rsidRPr="00AC0957">
        <w:t xml:space="preserve">. </w:t>
      </w:r>
    </w:p>
    <w:p w14:paraId="05C15F8E" w14:textId="63CD598B" w:rsidR="00475C21" w:rsidRDefault="00475C21" w:rsidP="00475C21">
      <w:pPr>
        <w:pStyle w:val="Caption"/>
      </w:pPr>
      <w:bookmarkStart w:id="105" w:name="_Ref179897562"/>
      <w:bookmarkStart w:id="106" w:name="_Toc181370323"/>
      <w:r>
        <w:t xml:space="preserve">Figure </w:t>
      </w:r>
      <w:r>
        <w:fldChar w:fldCharType="begin"/>
      </w:r>
      <w:r>
        <w:instrText xml:space="preserve"> SEQ Figure \* ARABIC </w:instrText>
      </w:r>
      <w:r>
        <w:fldChar w:fldCharType="separate"/>
      </w:r>
      <w:r w:rsidR="00C47A81">
        <w:rPr>
          <w:noProof/>
        </w:rPr>
        <w:t>21</w:t>
      </w:r>
      <w:r>
        <w:fldChar w:fldCharType="end"/>
      </w:r>
      <w:bookmarkEnd w:id="105"/>
      <w:r>
        <w:t xml:space="preserve">: </w:t>
      </w:r>
      <w:r w:rsidRPr="003875D1">
        <w:t>Annual change in employment and aggregate hours worked (%), August 2019 to August 2024</w:t>
      </w:r>
      <w:bookmarkEnd w:id="106"/>
    </w:p>
    <w:p w14:paraId="685233C5" w14:textId="2D52E65C" w:rsidR="006200FA" w:rsidRPr="006200FA" w:rsidRDefault="00A54F7B" w:rsidP="006200FA">
      <w:r>
        <w:rPr>
          <w:noProof/>
        </w:rPr>
        <w:drawing>
          <wp:inline distT="0" distB="0" distL="0" distR="0" wp14:anchorId="042B902C" wp14:editId="177E609C">
            <wp:extent cx="5709600" cy="2757600"/>
            <wp:effectExtent l="0" t="0" r="5715" b="5080"/>
            <wp:docPr id="409234442" name="Picture 40" descr="This figure is a line and column chart showing the relationship between annual aggregate hours worked and annual employment growth from August 2019 to August 2024. The chart shows that aggregate hours worked tends to fall during periods of weak employment growth and rise during periods of strong and sustained employment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234442" name="Picture 40" descr="This figure is a line and column chart showing the relationship between annual aggregate hours worked and annual employment growth from August 2019 to August 2024. The chart shows that aggregate hours worked tends to fall during periods of weak employment growth and rise during periods of strong and sustained employment growth."/>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09600" cy="2757600"/>
                    </a:xfrm>
                    <a:prstGeom prst="rect">
                      <a:avLst/>
                    </a:prstGeom>
                    <a:noFill/>
                  </pic:spPr>
                </pic:pic>
              </a:graphicData>
            </a:graphic>
          </wp:inline>
        </w:drawing>
      </w:r>
    </w:p>
    <w:p w14:paraId="35E570A9" w14:textId="77777777" w:rsidR="00A819EB" w:rsidRPr="00475C21" w:rsidRDefault="00A819EB" w:rsidP="00A819EB">
      <w:pPr>
        <w:pStyle w:val="Source"/>
      </w:pPr>
      <w:r w:rsidRPr="00475C21">
        <w:t>Source: ABS, Labour Force, Australia, August 2024, seasonally adjusted data.</w:t>
      </w:r>
    </w:p>
    <w:p w14:paraId="31E2BCCC" w14:textId="24F68817" w:rsidR="000A3E76" w:rsidRDefault="000A3E76" w:rsidP="00107680">
      <w:pPr>
        <w:pStyle w:val="ChartorTableNote"/>
      </w:pPr>
      <w:r>
        <w:t xml:space="preserve">Note: </w:t>
      </w:r>
      <w:r w:rsidR="001A7AE2" w:rsidRPr="001A7AE2">
        <w:t>Annual percentage change is defined as the observation from the current month minus the observation from the equivalent month of the previous year, divided by the observation from the equivalent month of the previous year.</w:t>
      </w:r>
    </w:p>
    <w:p w14:paraId="799AA476" w14:textId="77777777" w:rsidR="00686EA2" w:rsidRPr="00686EA2" w:rsidRDefault="00686EA2" w:rsidP="00686EA2">
      <w:pPr>
        <w:rPr>
          <w:rFonts w:cs="Arial"/>
        </w:rPr>
      </w:pPr>
      <w:r w:rsidRPr="00686EA2">
        <w:rPr>
          <w:rFonts w:cs="Arial"/>
        </w:rPr>
        <w:t xml:space="preserve">The unemployment rate has increased over the year, from 3.7% in August 2023, to 4.2% in August 2024, although this has occurred in conjunction with a 0.4 percentage point rise in the participation rate over the period, to an equal record high of 67.1% in August 2024. These results suggest that the gradual increase in the unemployment rate has been due, predominantly, to stronger growth in labour supply. While labour demand has softened somewhat, employers appear to be choosing, at least in the first instance, to reduce hours worked instead of laying off workers. </w:t>
      </w:r>
    </w:p>
    <w:p w14:paraId="3CA43E0D" w14:textId="0051B747" w:rsidR="00686EA2" w:rsidRPr="00686EA2" w:rsidRDefault="00686EA2" w:rsidP="00686EA2">
      <w:pPr>
        <w:rPr>
          <w:rFonts w:cs="Arial"/>
        </w:rPr>
      </w:pPr>
      <w:r w:rsidRPr="00686EA2">
        <w:rPr>
          <w:rFonts w:cs="Arial"/>
        </w:rPr>
        <w:t xml:space="preserve">In line with the recent improvement in aggregate hours worked and pick-up in the pace of </w:t>
      </w:r>
      <w:r w:rsidR="00110490" w:rsidRPr="00686EA2">
        <w:rPr>
          <w:rFonts w:cs="Arial"/>
        </w:rPr>
        <w:t>full-time</w:t>
      </w:r>
      <w:r w:rsidRPr="00686EA2">
        <w:rPr>
          <w:rFonts w:cs="Arial"/>
        </w:rPr>
        <w:t xml:space="preserve"> jobs growth, the underemployment rate has decreased slightly, from 6.6% in August 2023, to 6.5% in August 2024, although it remains above the recent trough of 5.9% recorded in February 2023. </w:t>
      </w:r>
    </w:p>
    <w:p w14:paraId="03ED43E1" w14:textId="77777777" w:rsidR="00686EA2" w:rsidRPr="00686EA2" w:rsidRDefault="00686EA2" w:rsidP="00686EA2">
      <w:pPr>
        <w:rPr>
          <w:rFonts w:cs="Arial"/>
        </w:rPr>
      </w:pPr>
      <w:r w:rsidRPr="00686EA2">
        <w:rPr>
          <w:rFonts w:cs="Arial"/>
        </w:rPr>
        <w:t xml:space="preserve">The </w:t>
      </w:r>
      <w:r w:rsidRPr="00B6120F">
        <w:rPr>
          <w:rFonts w:cs="Arial"/>
          <w:i/>
          <w:iCs/>
        </w:rPr>
        <w:t>level</w:t>
      </w:r>
      <w:r w:rsidRPr="00686EA2">
        <w:rPr>
          <w:rFonts w:cs="Arial"/>
        </w:rPr>
        <w:t xml:space="preserve"> of underemployment, however, has risen by 14,100 (or 1.5%) over the last year, to stand at 975,600 in August 2024.</w:t>
      </w:r>
    </w:p>
    <w:p w14:paraId="4051C955" w14:textId="27D08D1D" w:rsidR="00686EA2" w:rsidRPr="00686EA2" w:rsidRDefault="00686EA2" w:rsidP="00686EA2">
      <w:pPr>
        <w:rPr>
          <w:rFonts w:cs="Arial"/>
        </w:rPr>
      </w:pPr>
      <w:r w:rsidRPr="00686EA2">
        <w:rPr>
          <w:rFonts w:cs="Arial"/>
        </w:rPr>
        <w:t>Conditions for young people (15-24 years) have been more mixed over the year, with the level of employment increasing by 42,300 (or 1.9%) over the period, below the decade average annual growth rate, of 2.1%. Moreover, the rise in employment for youth was due, entirely, to a robust increase in part-time jobs (up by 138,900 or 11.8%), while full-time employment decreased strongly, by 102,700 (or 10.2%) over the period</w:t>
      </w:r>
      <w:r w:rsidR="00963CCB">
        <w:rPr>
          <w:rStyle w:val="FootnoteReference"/>
          <w:rFonts w:cs="Arial"/>
        </w:rPr>
        <w:footnoteReference w:id="12"/>
      </w:r>
      <w:r w:rsidRPr="00686EA2">
        <w:rPr>
          <w:rFonts w:cs="Arial"/>
        </w:rPr>
        <w:t xml:space="preserve">. </w:t>
      </w:r>
    </w:p>
    <w:p w14:paraId="1CA59D5E" w14:textId="77777777" w:rsidR="00686EA2" w:rsidRPr="00686EA2" w:rsidRDefault="00686EA2" w:rsidP="00686EA2">
      <w:pPr>
        <w:rPr>
          <w:rFonts w:cs="Arial"/>
        </w:rPr>
      </w:pPr>
      <w:r w:rsidRPr="00686EA2">
        <w:rPr>
          <w:rFonts w:cs="Arial"/>
        </w:rPr>
        <w:t xml:space="preserve">Against the softer backdrop for the cohort, the youth unemployment rate rose significantly, from 8.3% in August 2023, to 10.0% in August 2024. In addition, the youth participation rate decreased over the year, by 0.1 percentage points, to 70.8% in August 2024. The easing in labour market conditions for youth reflects the fact that young people can be particularly vulnerable during periods of labour market softness, as they tend to have less education, skills and experience than their prime-age counterparts. </w:t>
      </w:r>
      <w:r w:rsidRPr="00686EA2">
        <w:rPr>
          <w:rFonts w:cs="Arial"/>
        </w:rPr>
        <w:tab/>
      </w:r>
    </w:p>
    <w:p w14:paraId="1892F0AC" w14:textId="77777777" w:rsidR="00686EA2" w:rsidRPr="00686EA2" w:rsidRDefault="00686EA2" w:rsidP="00686EA2">
      <w:pPr>
        <w:rPr>
          <w:rFonts w:cs="Arial"/>
        </w:rPr>
      </w:pPr>
      <w:r w:rsidRPr="00686EA2">
        <w:rPr>
          <w:rFonts w:cs="Arial"/>
        </w:rPr>
        <w:t xml:space="preserve">Similarly, the number of people who were long-term unemployed increased by 26,100 (or 24.3%) over the year, to stand at 133,200 in August 2024, and is now at its highest level since June 2022. It is also worth noting that long-term unemployment is 45,900 (or 52.6%) above the recent trough of 87,300 recorded in April 2023. </w:t>
      </w:r>
    </w:p>
    <w:p w14:paraId="5827C1F0" w14:textId="77777777" w:rsidR="00686EA2" w:rsidRPr="00686EA2" w:rsidRDefault="00686EA2" w:rsidP="00686EA2">
      <w:pPr>
        <w:rPr>
          <w:rFonts w:cs="Arial"/>
        </w:rPr>
      </w:pPr>
      <w:r w:rsidRPr="00686EA2">
        <w:rPr>
          <w:rFonts w:cs="Arial"/>
        </w:rPr>
        <w:t>Going forward, a number of partial indicators of labour demand continue to point to a further easing in labour market activity in the period ahead, consistent with the Government’s official economic forecasts from the 2024-25 Budget.</w:t>
      </w:r>
    </w:p>
    <w:p w14:paraId="0847EAA9" w14:textId="77777777" w:rsidR="00686EA2" w:rsidRPr="00686EA2" w:rsidRDefault="00686EA2" w:rsidP="00686EA2">
      <w:pPr>
        <w:rPr>
          <w:rFonts w:cs="Arial"/>
        </w:rPr>
      </w:pPr>
      <w:r w:rsidRPr="00686EA2">
        <w:rPr>
          <w:rFonts w:cs="Arial"/>
        </w:rPr>
        <w:t xml:space="preserve">For instance, while JSA’s Internet Vacancy Index (IVI) shows that online job advertisements increased by 4.8% (or 10,600 job advertisements) over the month, to 231,200 in August 2024, they are 16.9% (or 47,100) below the level recorded a year ago. That said, vacancies remain at relatively high levels historically. </w:t>
      </w:r>
    </w:p>
    <w:p w14:paraId="4A01FA09" w14:textId="7239DC51" w:rsidR="00686EA2" w:rsidRPr="00686EA2" w:rsidRDefault="00686EA2" w:rsidP="00686EA2">
      <w:pPr>
        <w:rPr>
          <w:rFonts w:cs="Arial"/>
        </w:rPr>
      </w:pPr>
      <w:r w:rsidRPr="00686EA2">
        <w:rPr>
          <w:rFonts w:cs="Arial"/>
        </w:rPr>
        <w:t>In addition, results from JSA’s Recruitment Experiences and Outlook Survey (REOS) show that recruitment activity</w:t>
      </w:r>
      <w:r w:rsidR="00430D73">
        <w:rPr>
          <w:rStyle w:val="FootnoteReference"/>
          <w:rFonts w:cs="Arial"/>
        </w:rPr>
        <w:footnoteReference w:id="13"/>
      </w:r>
      <w:r w:rsidR="008C52B1">
        <w:rPr>
          <w:rFonts w:cs="Arial"/>
        </w:rPr>
        <w:t xml:space="preserve"> </w:t>
      </w:r>
      <w:r w:rsidRPr="00686EA2">
        <w:rPr>
          <w:rFonts w:cs="Arial"/>
        </w:rPr>
        <w:t>declined by 1 percentage point over the month, to 43% of employers in August 2024, and is 3 percentage points lower than a year ago.</w:t>
      </w:r>
    </w:p>
    <w:p w14:paraId="48E1FE4A" w14:textId="4A9E5880" w:rsidR="00686EA2" w:rsidRPr="00686EA2" w:rsidRDefault="00686EA2" w:rsidP="00686EA2">
      <w:pPr>
        <w:rPr>
          <w:rFonts w:cs="Arial"/>
        </w:rPr>
      </w:pPr>
      <w:r w:rsidRPr="00686EA2">
        <w:rPr>
          <w:rFonts w:cs="Arial"/>
        </w:rPr>
        <w:t>Consistent with trends in labour market conditions mentioned above, data from the Survey of Employers who have Recently Advertised (SERA) showed that employers were finding it easier to fill advertised roles. The percentage of advertised vacancies filled (the fill rate) increased to 69.5% in June 2024, from 59.4% in June 2023. Moreover, the number of total applicants, qualified applicants and suitable applicants per vacancy increased in 2023-</w:t>
      </w:r>
      <w:r w:rsidR="008C52B1">
        <w:rPr>
          <w:rFonts w:cs="Arial"/>
        </w:rPr>
        <w:t>2</w:t>
      </w:r>
      <w:r w:rsidRPr="00686EA2">
        <w:rPr>
          <w:rFonts w:cs="Arial"/>
        </w:rPr>
        <w:t>4 compared to 2022-</w:t>
      </w:r>
      <w:r w:rsidR="008C52B1">
        <w:rPr>
          <w:rFonts w:cs="Arial"/>
        </w:rPr>
        <w:t>2</w:t>
      </w:r>
      <w:r w:rsidRPr="00686EA2">
        <w:rPr>
          <w:rFonts w:cs="Arial"/>
        </w:rPr>
        <w:t xml:space="preserve">3. In particular, the number of total and qualified applicants per vacancy increased by 8.1 and 1.9 persons per vacancy, respectively. </w:t>
      </w:r>
    </w:p>
    <w:p w14:paraId="31F0E2FA" w14:textId="373874D9" w:rsidR="00AC2606" w:rsidRPr="00AC0957" w:rsidRDefault="00686EA2" w:rsidP="00686EA2">
      <w:pPr>
        <w:rPr>
          <w:rFonts w:cs="Arial"/>
        </w:rPr>
      </w:pPr>
      <w:r w:rsidRPr="00686EA2">
        <w:rPr>
          <w:rFonts w:cs="Arial"/>
        </w:rPr>
        <w:t>Against the backdrop of challenging economic conditions, it is more critical than ever that our responses and interventions are inclusive (particularly for those who are most vulnerable in the labour market), joined up, and help to ensure that more Australians can participate to the best of their ability.</w:t>
      </w:r>
      <w:r w:rsidR="00AC2606" w:rsidRPr="00AC0957">
        <w:rPr>
          <w:rFonts w:cs="Arial"/>
        </w:rPr>
        <w:t xml:space="preserve"> </w:t>
      </w:r>
    </w:p>
    <w:p w14:paraId="3440CE12" w14:textId="77777777" w:rsidR="00EA4A1A" w:rsidRDefault="00EA4A1A">
      <w:pPr>
        <w:spacing w:after="160" w:line="259" w:lineRule="auto"/>
        <w:rPr>
          <w:rFonts w:eastAsiaTheme="majorEastAsia" w:cs="Arial"/>
          <w:b/>
          <w:sz w:val="32"/>
          <w:szCs w:val="26"/>
        </w:rPr>
      </w:pPr>
      <w:bookmarkStart w:id="107" w:name="_Toc179887380"/>
      <w:r>
        <w:rPr>
          <w:rFonts w:cs="Arial"/>
        </w:rPr>
        <w:br w:type="page"/>
      </w:r>
    </w:p>
    <w:p w14:paraId="0140657E" w14:textId="744FCB8D" w:rsidR="00AC2606" w:rsidRPr="00AC0957" w:rsidRDefault="00AC2606" w:rsidP="00AC2606">
      <w:pPr>
        <w:pStyle w:val="Heading2"/>
        <w:rPr>
          <w:rFonts w:cs="Arial"/>
        </w:rPr>
      </w:pPr>
      <w:bookmarkStart w:id="108" w:name="_Toc181371574"/>
      <w:r w:rsidRPr="00AC0957">
        <w:rPr>
          <w:rFonts w:cs="Arial"/>
        </w:rPr>
        <w:t>Understanding labour market shortages</w:t>
      </w:r>
      <w:bookmarkEnd w:id="107"/>
      <w:bookmarkEnd w:id="108"/>
    </w:p>
    <w:p w14:paraId="1E824FFE" w14:textId="3912075E" w:rsidR="00AC2606" w:rsidRPr="00AC0957" w:rsidRDefault="00094070" w:rsidP="00AC2606">
      <w:pPr>
        <w:rPr>
          <w:rFonts w:cs="Arial"/>
        </w:rPr>
      </w:pPr>
      <w:r w:rsidRPr="00094070">
        <w:rPr>
          <w:rFonts w:cs="Arial"/>
        </w:rPr>
        <w:t>The structure of Australia’s labour market has changed over the past few decades. Health Care and Social Assistance is now the largest employing industry, while in 1994 it was Manufacturing. There has also been a trend toward service-based industries as well as higher-skilled occupations (</w:t>
      </w:r>
      <w:r>
        <w:rPr>
          <w:rFonts w:cs="Arial"/>
        </w:rPr>
        <w:fldChar w:fldCharType="begin"/>
      </w:r>
      <w:r>
        <w:rPr>
          <w:rFonts w:cs="Arial"/>
        </w:rPr>
        <w:instrText xml:space="preserve"> REF _Ref179897599 \h </w:instrText>
      </w:r>
      <w:r>
        <w:rPr>
          <w:rFonts w:cs="Arial"/>
        </w:rPr>
      </w:r>
      <w:r>
        <w:rPr>
          <w:rFonts w:cs="Arial"/>
        </w:rPr>
        <w:fldChar w:fldCharType="separate"/>
      </w:r>
      <w:r w:rsidR="00C47A81">
        <w:t xml:space="preserve">Figure </w:t>
      </w:r>
      <w:r w:rsidR="00C47A81">
        <w:rPr>
          <w:noProof/>
        </w:rPr>
        <w:t>22</w:t>
      </w:r>
      <w:r>
        <w:rPr>
          <w:rFonts w:cs="Arial"/>
        </w:rPr>
        <w:fldChar w:fldCharType="end"/>
      </w:r>
      <w:r>
        <w:rPr>
          <w:rFonts w:cs="Arial"/>
        </w:rPr>
        <w:t xml:space="preserve"> </w:t>
      </w:r>
      <w:r w:rsidRPr="00094070">
        <w:rPr>
          <w:rFonts w:cs="Arial"/>
        </w:rPr>
        <w:t>and</w:t>
      </w:r>
      <w:r w:rsidR="00D748D9">
        <w:rPr>
          <w:rFonts w:cs="Arial"/>
        </w:rPr>
        <w:t xml:space="preserve"> </w:t>
      </w:r>
      <w:r w:rsidR="00D748D9">
        <w:rPr>
          <w:rFonts w:cs="Arial"/>
        </w:rPr>
        <w:fldChar w:fldCharType="begin"/>
      </w:r>
      <w:r w:rsidR="00D748D9">
        <w:rPr>
          <w:rFonts w:cs="Arial"/>
        </w:rPr>
        <w:instrText xml:space="preserve"> REF _Ref181200913 \h </w:instrText>
      </w:r>
      <w:r w:rsidR="00D748D9">
        <w:rPr>
          <w:rFonts w:cs="Arial"/>
        </w:rPr>
      </w:r>
      <w:r w:rsidR="00D748D9">
        <w:rPr>
          <w:rFonts w:cs="Arial"/>
        </w:rPr>
        <w:fldChar w:fldCharType="separate"/>
      </w:r>
      <w:r w:rsidR="00C47A81">
        <w:t xml:space="preserve">Figure </w:t>
      </w:r>
      <w:r w:rsidR="00C47A81">
        <w:rPr>
          <w:noProof/>
        </w:rPr>
        <w:t>23</w:t>
      </w:r>
      <w:r w:rsidR="00D748D9">
        <w:rPr>
          <w:rFonts w:cs="Arial"/>
        </w:rPr>
        <w:fldChar w:fldCharType="end"/>
      </w:r>
      <w:r w:rsidR="0061713E">
        <w:rPr>
          <w:rFonts w:cs="Arial"/>
        </w:rPr>
        <w:t>)</w:t>
      </w:r>
      <w:r w:rsidR="00AC2606" w:rsidRPr="00AC0957">
        <w:rPr>
          <w:rFonts w:cs="Arial"/>
        </w:rPr>
        <w:t xml:space="preserve">. </w:t>
      </w:r>
    </w:p>
    <w:p w14:paraId="31FC909B" w14:textId="5D84C45E" w:rsidR="003671A8" w:rsidRPr="003671A8" w:rsidRDefault="00121E0C" w:rsidP="003671A8">
      <w:pPr>
        <w:pStyle w:val="Caption"/>
      </w:pPr>
      <w:bookmarkStart w:id="109" w:name="_Ref179897599"/>
      <w:bookmarkStart w:id="110" w:name="_Toc181370324"/>
      <w:r>
        <w:t xml:space="preserve">Figure </w:t>
      </w:r>
      <w:r>
        <w:fldChar w:fldCharType="begin"/>
      </w:r>
      <w:r>
        <w:instrText xml:space="preserve"> SEQ Figure \* ARABIC </w:instrText>
      </w:r>
      <w:r>
        <w:fldChar w:fldCharType="separate"/>
      </w:r>
      <w:r w:rsidR="00C47A81">
        <w:rPr>
          <w:noProof/>
        </w:rPr>
        <w:t>22</w:t>
      </w:r>
      <w:r>
        <w:fldChar w:fldCharType="end"/>
      </w:r>
      <w:bookmarkEnd w:id="109"/>
      <w:r>
        <w:t xml:space="preserve">: </w:t>
      </w:r>
      <w:r w:rsidR="00630667">
        <w:t>Industry</w:t>
      </w:r>
      <w:r>
        <w:t xml:space="preserve"> share of total employment 1994 and 20</w:t>
      </w:r>
      <w:r w:rsidR="00B528D0">
        <w:t>2</w:t>
      </w:r>
      <w:r>
        <w:t xml:space="preserve">4, </w:t>
      </w:r>
      <w:r w:rsidRPr="003B7A62">
        <w:t>grouped by ‘Service Industries’ and ‘</w:t>
      </w:r>
      <w:r w:rsidR="00630667">
        <w:t>Producing</w:t>
      </w:r>
      <w:r w:rsidRPr="003B7A62">
        <w:t xml:space="preserve"> Industries’</w:t>
      </w:r>
      <w:bookmarkEnd w:id="110"/>
    </w:p>
    <w:p w14:paraId="217CC66A" w14:textId="03183E0E" w:rsidR="00AC2606" w:rsidRPr="00AC0957" w:rsidRDefault="00C626C7" w:rsidP="0061713E">
      <w:pPr>
        <w:jc w:val="center"/>
        <w:rPr>
          <w:rFonts w:cs="Arial"/>
        </w:rPr>
      </w:pPr>
      <w:r>
        <w:rPr>
          <w:rFonts w:cs="Arial"/>
          <w:noProof/>
        </w:rPr>
        <w:drawing>
          <wp:inline distT="0" distB="0" distL="0" distR="0" wp14:anchorId="04960DBE" wp14:editId="53482D55">
            <wp:extent cx="5713200" cy="4219200"/>
            <wp:effectExtent l="0" t="0" r="1905" b="0"/>
            <wp:docPr id="1746574325" name="Picture 41" descr="This bar chart shows the industry share of Australian employment in 1994 and 2024. Shows that Health Care and Social Assistance is the industry with the largest share of employment in 2024, while Manufacturing had the largest share in 1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574325" name="Picture 41" descr="This bar chart shows the industry share of Australian employment in 1994 and 2024. Shows that Health Care and Social Assistance is the industry with the largest share of employment in 2024, while Manufacturing had the largest share in 199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13200" cy="4219200"/>
                    </a:xfrm>
                    <a:prstGeom prst="rect">
                      <a:avLst/>
                    </a:prstGeom>
                    <a:noFill/>
                  </pic:spPr>
                </pic:pic>
              </a:graphicData>
            </a:graphic>
          </wp:inline>
        </w:drawing>
      </w:r>
    </w:p>
    <w:p w14:paraId="10997318" w14:textId="699B4F8C" w:rsidR="0013690B" w:rsidRDefault="0013690B" w:rsidP="0013690B">
      <w:pPr>
        <w:pStyle w:val="Source"/>
        <w:rPr>
          <w:b/>
          <w:bCs/>
        </w:rPr>
      </w:pPr>
      <w:bookmarkStart w:id="111" w:name="_Ref179897607"/>
      <w:r w:rsidRPr="0013690B">
        <w:t>Source: ABS, Labour Force, Detailed, August 2024, data trended by Jobs and Skills Australia</w:t>
      </w:r>
      <w:r>
        <w:t>.</w:t>
      </w:r>
    </w:p>
    <w:p w14:paraId="02C7506C" w14:textId="1F88732D" w:rsidR="008A59DB" w:rsidRPr="008A59DB" w:rsidRDefault="00085BB7" w:rsidP="008A59DB">
      <w:pPr>
        <w:pStyle w:val="Caption"/>
      </w:pPr>
      <w:bookmarkStart w:id="112" w:name="_Ref181200913"/>
      <w:bookmarkStart w:id="113" w:name="_Toc181370325"/>
      <w:r>
        <w:t xml:space="preserve">Figure </w:t>
      </w:r>
      <w:r>
        <w:fldChar w:fldCharType="begin"/>
      </w:r>
      <w:r>
        <w:instrText xml:space="preserve"> SEQ Figure \* ARABIC </w:instrText>
      </w:r>
      <w:r>
        <w:fldChar w:fldCharType="separate"/>
      </w:r>
      <w:r w:rsidR="00C47A81">
        <w:rPr>
          <w:noProof/>
        </w:rPr>
        <w:t>23</w:t>
      </w:r>
      <w:r>
        <w:fldChar w:fldCharType="end"/>
      </w:r>
      <w:bookmarkEnd w:id="111"/>
      <w:bookmarkEnd w:id="112"/>
      <w:r>
        <w:t xml:space="preserve">: </w:t>
      </w:r>
      <w:r w:rsidRPr="00E47D26">
        <w:t xml:space="preserve">Change in share of employment </w:t>
      </w:r>
      <w:r>
        <w:t>1994 and 20</w:t>
      </w:r>
      <w:r w:rsidR="00B528D0">
        <w:t>2</w:t>
      </w:r>
      <w:r>
        <w:t xml:space="preserve">4 </w:t>
      </w:r>
      <w:r w:rsidRPr="00E47D26">
        <w:t>(skill level)</w:t>
      </w:r>
      <w:bookmarkEnd w:id="113"/>
    </w:p>
    <w:p w14:paraId="453E0F41" w14:textId="53B66702" w:rsidR="00AC2606" w:rsidRPr="00AC0957" w:rsidRDefault="00E4364B" w:rsidP="00A851D9">
      <w:pPr>
        <w:jc w:val="center"/>
        <w:rPr>
          <w:rFonts w:cs="Arial"/>
        </w:rPr>
      </w:pPr>
      <w:r>
        <w:rPr>
          <w:rFonts w:cs="Arial"/>
          <w:noProof/>
        </w:rPr>
        <w:drawing>
          <wp:inline distT="0" distB="0" distL="0" distR="0" wp14:anchorId="55535B56" wp14:editId="49EAC9C7">
            <wp:extent cx="5720400" cy="2721600"/>
            <wp:effectExtent l="0" t="0" r="0" b="3175"/>
            <wp:docPr id="1615614374" name="Picture 42" descr="This bar chart shows the share of employment by skill level in 1994 compared with 2024. It shows that the proportion of skill level one jobs has increased, while the proportion of skill level 5 jobs has decreas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614374" name="Picture 42" descr="This bar chart shows the share of employment by skill level in 1994 compared with 2024. It shows that the proportion of skill level one jobs has increased, while the proportion of skill level 5 jobs has decreased.   "/>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20400" cy="2721600"/>
                    </a:xfrm>
                    <a:prstGeom prst="rect">
                      <a:avLst/>
                    </a:prstGeom>
                    <a:noFill/>
                  </pic:spPr>
                </pic:pic>
              </a:graphicData>
            </a:graphic>
          </wp:inline>
        </w:drawing>
      </w:r>
    </w:p>
    <w:p w14:paraId="2CB7D3BF" w14:textId="2524FD9E" w:rsidR="00AC2606" w:rsidRPr="00107680" w:rsidRDefault="002B7C59" w:rsidP="00107680">
      <w:pPr>
        <w:pStyle w:val="Source"/>
      </w:pPr>
      <w:r w:rsidRPr="002B7C59">
        <w:t>Source: ABS, Labour Force, Detailed, August 2024, data trended by Jobs and Skills Australia</w:t>
      </w:r>
      <w:r w:rsidR="001B2944" w:rsidRPr="001B2944">
        <w:t>.</w:t>
      </w:r>
    </w:p>
    <w:p w14:paraId="6BBD2A05" w14:textId="77777777" w:rsidR="009D7A25" w:rsidRPr="009D7A25" w:rsidRDefault="009D7A25" w:rsidP="009D7A25">
      <w:pPr>
        <w:rPr>
          <w:rFonts w:cs="Arial"/>
        </w:rPr>
      </w:pPr>
      <w:r w:rsidRPr="009D7A25">
        <w:rPr>
          <w:rFonts w:cs="Arial"/>
        </w:rPr>
        <w:t xml:space="preserve">These broad trends are also reflected in the proportion of occupations found to be in shortage from 2021-2024, which indicated a higher demand for skilled workers across industries, with a large proportion in both Health Care and Social Assistance and Other Services encompassing a broad range of service-based occupations. </w:t>
      </w:r>
    </w:p>
    <w:p w14:paraId="5D0AD2DA" w14:textId="5301F834" w:rsidR="00AC2606" w:rsidRPr="00AC0957" w:rsidRDefault="009D7A25" w:rsidP="009D7A25">
      <w:pPr>
        <w:rPr>
          <w:rFonts w:cs="Arial"/>
        </w:rPr>
      </w:pPr>
      <w:r w:rsidRPr="009D7A25">
        <w:rPr>
          <w:rFonts w:cs="Arial"/>
        </w:rPr>
        <w:t>Occupations are considered to be in shortage when employers are unable to fill or experience considerable difficulty filling vacancies for that occupation or cannot meet specialised skill needs within that occupation. This difficulty must also be experienced at current levels of remuneration and conditions of employment, and in reasonably accessible locations. Based on this, the primary measure of an occupation shortage is the ability of employers to fill vacancies (fill rate)</w:t>
      </w:r>
      <w:r w:rsidR="00AC2606" w:rsidRPr="00AC0957">
        <w:rPr>
          <w:rFonts w:cs="Arial"/>
        </w:rPr>
        <w:t xml:space="preserve">. </w:t>
      </w:r>
    </w:p>
    <w:p w14:paraId="0347CD17" w14:textId="7CFE26A3" w:rsidR="00AC2606" w:rsidRPr="00AC0957" w:rsidRDefault="0027614F" w:rsidP="00230B0F">
      <w:pPr>
        <w:pStyle w:val="Heading3"/>
      </w:pPr>
      <w:bookmarkStart w:id="114" w:name="_Toc179887381"/>
      <w:bookmarkStart w:id="115" w:name="_Toc181371575"/>
      <w:r>
        <w:t>P</w:t>
      </w:r>
      <w:r w:rsidR="00AC2606" w:rsidRPr="00230B0F">
        <w:t>revalen</w:t>
      </w:r>
      <w:r>
        <w:t>ce of shortages</w:t>
      </w:r>
      <w:r w:rsidR="00AC2606" w:rsidRPr="00AC0957">
        <w:t xml:space="preserve"> in higher skilled occupations</w:t>
      </w:r>
      <w:bookmarkEnd w:id="114"/>
      <w:bookmarkEnd w:id="115"/>
    </w:p>
    <w:p w14:paraId="7493A14D" w14:textId="2CBF03B4" w:rsidR="00AC2606" w:rsidRPr="00AC0957" w:rsidRDefault="007752B9" w:rsidP="00AC2606">
      <w:pPr>
        <w:rPr>
          <w:rFonts w:cs="Arial"/>
        </w:rPr>
      </w:pPr>
      <w:r w:rsidRPr="007752B9">
        <w:rPr>
          <w:rFonts w:cs="Arial"/>
        </w:rPr>
        <w:t>Against the backdrop of current labour market conditions, the percentage of occupations in shortage has declined in Australia</w:t>
      </w:r>
      <w:r w:rsidR="00E12BC3">
        <w:rPr>
          <w:rStyle w:val="FootnoteReference"/>
          <w:rFonts w:cs="Arial"/>
        </w:rPr>
        <w:footnoteReference w:id="14"/>
      </w:r>
      <w:r w:rsidRPr="007752B9">
        <w:rPr>
          <w:rFonts w:cs="Arial"/>
        </w:rPr>
        <w:t>. As shown in the 2024 OSL, 33% of occupations (303 out of 916 assessed occupations) are in national level shortage (</w:t>
      </w:r>
      <w:r w:rsidR="00C20A83">
        <w:rPr>
          <w:rFonts w:cs="Arial"/>
        </w:rPr>
        <w:fldChar w:fldCharType="begin"/>
      </w:r>
      <w:r w:rsidR="00C20A83">
        <w:rPr>
          <w:rFonts w:cs="Arial"/>
        </w:rPr>
        <w:instrText xml:space="preserve"> REF _Ref179897618 \h </w:instrText>
      </w:r>
      <w:r w:rsidR="00C20A83">
        <w:rPr>
          <w:rFonts w:cs="Arial"/>
        </w:rPr>
      </w:r>
      <w:r w:rsidR="00C20A83">
        <w:rPr>
          <w:rFonts w:cs="Arial"/>
        </w:rPr>
        <w:fldChar w:fldCharType="separate"/>
      </w:r>
      <w:r w:rsidR="00C47A81">
        <w:t xml:space="preserve">Figure </w:t>
      </w:r>
      <w:r w:rsidR="00C47A81">
        <w:rPr>
          <w:noProof/>
        </w:rPr>
        <w:t>24</w:t>
      </w:r>
      <w:r w:rsidR="00C20A83">
        <w:rPr>
          <w:rFonts w:cs="Arial"/>
        </w:rPr>
        <w:fldChar w:fldCharType="end"/>
      </w:r>
      <w:r w:rsidRPr="007752B9">
        <w:rPr>
          <w:rFonts w:cs="Arial"/>
        </w:rPr>
        <w:t>). This is 3 percentage points less than the result in 2023 (36%) but is 1 percentage point higher than the 2022 result (32%)</w:t>
      </w:r>
      <w:r w:rsidR="00AC2606" w:rsidRPr="00AC0957">
        <w:rPr>
          <w:rFonts w:cs="Arial"/>
        </w:rPr>
        <w:t xml:space="preserve">. </w:t>
      </w:r>
    </w:p>
    <w:p w14:paraId="05B86F7B" w14:textId="2281299F" w:rsidR="005B5643" w:rsidRDefault="005B5643" w:rsidP="005B5643">
      <w:pPr>
        <w:pStyle w:val="Caption"/>
      </w:pPr>
      <w:bookmarkStart w:id="116" w:name="_Ref179897618"/>
      <w:bookmarkStart w:id="117" w:name="_Toc181370326"/>
      <w:r>
        <w:t xml:space="preserve">Figure </w:t>
      </w:r>
      <w:r>
        <w:fldChar w:fldCharType="begin"/>
      </w:r>
      <w:r>
        <w:instrText xml:space="preserve"> SEQ Figure \* ARABIC </w:instrText>
      </w:r>
      <w:r>
        <w:fldChar w:fldCharType="separate"/>
      </w:r>
      <w:r w:rsidR="00C47A81">
        <w:rPr>
          <w:noProof/>
        </w:rPr>
        <w:t>24</w:t>
      </w:r>
      <w:r>
        <w:fldChar w:fldCharType="end"/>
      </w:r>
      <w:bookmarkEnd w:id="116"/>
      <w:r>
        <w:t xml:space="preserve">: </w:t>
      </w:r>
      <w:r w:rsidRPr="00F251C0">
        <w:t xml:space="preserve">Percentage of occupations in </w:t>
      </w:r>
      <w:r w:rsidR="006852F7">
        <w:t>s</w:t>
      </w:r>
      <w:r w:rsidR="006852F7" w:rsidRPr="00F251C0">
        <w:t xml:space="preserve">hortage </w:t>
      </w:r>
      <w:r w:rsidRPr="00F251C0">
        <w:t>(%) in 2021 to 2024 OSL</w:t>
      </w:r>
      <w:bookmarkEnd w:id="117"/>
    </w:p>
    <w:p w14:paraId="2403FD1D" w14:textId="0F6F1019" w:rsidR="005B5643" w:rsidRPr="008A59DB" w:rsidRDefault="00DB7323" w:rsidP="005B5643">
      <w:r>
        <w:rPr>
          <w:noProof/>
        </w:rPr>
        <w:drawing>
          <wp:inline distT="0" distB="0" distL="0" distR="0" wp14:anchorId="25562AAA" wp14:editId="2D12B630">
            <wp:extent cx="5698800" cy="2376000"/>
            <wp:effectExtent l="0" t="0" r="0" b="5715"/>
            <wp:docPr id="820946587" name="Picture 44" descr="This bar chart shows the proportion of occupations in shortage in the 2021-2024 OSLs. The 2024 OSL shows that 33% of occupations are experiencing national shortage, with 303 out of 916 occupations affected. This represents a decrease of 3 percentage points from the 2023 figure of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946587" name="Picture 44" descr="This bar chart shows the proportion of occupations in shortage in the 2021-2024 OSLs. The 2024 OSL shows that 33% of occupations are experiencing national shortage, with 303 out of 916 occupations affected. This represents a decrease of 3 percentage points from the 2023 figure of 3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98800" cy="2376000"/>
                    </a:xfrm>
                    <a:prstGeom prst="rect">
                      <a:avLst/>
                    </a:prstGeom>
                    <a:noFill/>
                  </pic:spPr>
                </pic:pic>
              </a:graphicData>
            </a:graphic>
          </wp:inline>
        </w:drawing>
      </w:r>
    </w:p>
    <w:p w14:paraId="3AFE4082" w14:textId="4F525141" w:rsidR="00AC2606" w:rsidRPr="005B5643" w:rsidRDefault="00AC2606" w:rsidP="00107680">
      <w:pPr>
        <w:pStyle w:val="Source"/>
      </w:pPr>
      <w:r w:rsidRPr="005B5643">
        <w:t>Source: Jobs and Skills Australia, Occupation Shortage List, 2021–24.</w:t>
      </w:r>
    </w:p>
    <w:p w14:paraId="44FA255E" w14:textId="77777777" w:rsidR="00C20A83" w:rsidRPr="00C20A83" w:rsidRDefault="00C20A83" w:rsidP="00C20A83">
      <w:pPr>
        <w:keepLines/>
        <w:rPr>
          <w:rFonts w:cs="Arial"/>
        </w:rPr>
      </w:pPr>
      <w:r w:rsidRPr="00C20A83">
        <w:rPr>
          <w:rFonts w:cs="Arial"/>
        </w:rPr>
        <w:t xml:space="preserve">The easing labour market conditions primarily impacted on the major groups which have a higher concentration of lower skill level occupations. In 2024, occupations in shortage within the Machinery Operators and Drivers and Labourers were respectively 10 percentage points and 18 percentage points lower than in the 2023 OSL. </w:t>
      </w:r>
    </w:p>
    <w:p w14:paraId="080D6D35" w14:textId="52BB2D3D" w:rsidR="00AC2606" w:rsidRPr="00AC0957" w:rsidRDefault="00C20A83" w:rsidP="00C20A83">
      <w:pPr>
        <w:keepLines/>
        <w:rPr>
          <w:rFonts w:cs="Arial"/>
        </w:rPr>
      </w:pPr>
      <w:r w:rsidRPr="00C20A83">
        <w:rPr>
          <w:rFonts w:cs="Arial"/>
        </w:rPr>
        <w:t>The recruitment difficulty rates for higher skilled occupations (Skill Levels 1–3), remained mostly elevated over 2023 and parts of 2024, while below the peak recorded in the second half of 2022. In contrast, the recruitment difficulty rates for lower skilled occupations (Skill Levels 4–5) fell over the same period. This is evident when viewing occupations in shortage by skill level (</w:t>
      </w:r>
      <w:r>
        <w:rPr>
          <w:rFonts w:cs="Arial"/>
        </w:rPr>
        <w:fldChar w:fldCharType="begin"/>
      </w:r>
      <w:r>
        <w:rPr>
          <w:rFonts w:cs="Arial"/>
        </w:rPr>
        <w:instrText xml:space="preserve"> REF _Ref179897627 \h </w:instrText>
      </w:r>
      <w:r>
        <w:rPr>
          <w:rFonts w:cs="Arial"/>
        </w:rPr>
      </w:r>
      <w:r>
        <w:rPr>
          <w:rFonts w:cs="Arial"/>
        </w:rPr>
        <w:fldChar w:fldCharType="separate"/>
      </w:r>
      <w:r w:rsidR="00C47A81">
        <w:t xml:space="preserve">Figure </w:t>
      </w:r>
      <w:r w:rsidR="00C47A81">
        <w:rPr>
          <w:noProof/>
        </w:rPr>
        <w:t>25</w:t>
      </w:r>
      <w:r>
        <w:rPr>
          <w:rFonts w:cs="Arial"/>
        </w:rPr>
        <w:fldChar w:fldCharType="end"/>
      </w:r>
      <w:r w:rsidRPr="00C20A83">
        <w:rPr>
          <w:rFonts w:cs="Arial"/>
        </w:rPr>
        <w:t>)</w:t>
      </w:r>
      <w:r w:rsidR="00AC2606" w:rsidRPr="00AC0957">
        <w:rPr>
          <w:rFonts w:cs="Arial"/>
        </w:rPr>
        <w:t xml:space="preserve">. </w:t>
      </w:r>
    </w:p>
    <w:p w14:paraId="26A735D7" w14:textId="73F666DB" w:rsidR="005211CC" w:rsidRDefault="005211CC" w:rsidP="005211CC">
      <w:pPr>
        <w:pStyle w:val="Caption"/>
      </w:pPr>
      <w:bookmarkStart w:id="118" w:name="_Ref179897627"/>
      <w:bookmarkStart w:id="119" w:name="_Toc181370327"/>
      <w:r>
        <w:t xml:space="preserve">Figure </w:t>
      </w:r>
      <w:r>
        <w:fldChar w:fldCharType="begin"/>
      </w:r>
      <w:r>
        <w:instrText xml:space="preserve"> SEQ Figure \* ARABIC </w:instrText>
      </w:r>
      <w:r>
        <w:fldChar w:fldCharType="separate"/>
      </w:r>
      <w:r w:rsidR="00C47A81">
        <w:rPr>
          <w:noProof/>
        </w:rPr>
        <w:t>25</w:t>
      </w:r>
      <w:r>
        <w:fldChar w:fldCharType="end"/>
      </w:r>
      <w:bookmarkEnd w:id="118"/>
      <w:r>
        <w:t xml:space="preserve">: </w:t>
      </w:r>
      <w:r w:rsidRPr="00C7197A">
        <w:t xml:space="preserve">Percentage of occupations in </w:t>
      </w:r>
      <w:r w:rsidR="006852F7">
        <w:t>s</w:t>
      </w:r>
      <w:r w:rsidRPr="00C7197A">
        <w:t>hortage (%), by Skill Level, 2021–24</w:t>
      </w:r>
      <w:bookmarkEnd w:id="119"/>
    </w:p>
    <w:p w14:paraId="2A44CFAE" w14:textId="4CB06053" w:rsidR="008A59DB" w:rsidRPr="008A59DB" w:rsidRDefault="00BE4CE9" w:rsidP="008A59DB">
      <w:r>
        <w:rPr>
          <w:noProof/>
        </w:rPr>
        <w:drawing>
          <wp:inline distT="0" distB="0" distL="0" distR="0" wp14:anchorId="3398FF3D" wp14:editId="1665B9F7">
            <wp:extent cx="5702400" cy="2754000"/>
            <wp:effectExtent l="0" t="0" r="0" b="8255"/>
            <wp:docPr id="1311596120" name="Picture 45" descr="This chart shows the percentage of occupations in shortage in 2021-24 across Skill Levels 1 to 4. Compared to 2023, the percentage of occupations in shortage for Skill Level 4 were lower in 2024 by over 7 percentage points; that is, it fell from 23% to 15%.  However, Skill Level 1 and 3 occupations in shortage remain largely elevated (39% and 46%, respectively). The results reflect the large percentage of Professionals and Technicians and Trades Workers occupations in shortage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596120" name="Picture 45" descr="This chart shows the percentage of occupations in shortage in 2021-24 across Skill Levels 1 to 4. Compared to 2023, the percentage of occupations in shortage for Skill Level 4 were lower in 2024 by over 7 percentage points; that is, it fell from 23% to 15%.  However, Skill Level 1 and 3 occupations in shortage remain largely elevated (39% and 46%, respectively). The results reflect the large percentage of Professionals and Technicians and Trades Workers occupations in shortage in 202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02400" cy="2754000"/>
                    </a:xfrm>
                    <a:prstGeom prst="rect">
                      <a:avLst/>
                    </a:prstGeom>
                    <a:noFill/>
                  </pic:spPr>
                </pic:pic>
              </a:graphicData>
            </a:graphic>
          </wp:inline>
        </w:drawing>
      </w:r>
    </w:p>
    <w:p w14:paraId="1082A66E" w14:textId="30D102CF" w:rsidR="00AC2606" w:rsidRPr="00AC0957" w:rsidRDefault="00AC2606" w:rsidP="00107680">
      <w:pPr>
        <w:pStyle w:val="Source"/>
        <w:rPr>
          <w:sz w:val="22"/>
          <w:szCs w:val="22"/>
        </w:rPr>
      </w:pPr>
      <w:r w:rsidRPr="005211CC">
        <w:t xml:space="preserve">Source: Jobs and Skills Australia, </w:t>
      </w:r>
      <w:r w:rsidRPr="00107680">
        <w:t>Occupation</w:t>
      </w:r>
      <w:r w:rsidRPr="005211CC">
        <w:t xml:space="preserve"> Shortage List, 2021–24.</w:t>
      </w:r>
    </w:p>
    <w:p w14:paraId="42173D59" w14:textId="77777777" w:rsidR="003247E3" w:rsidRDefault="003247E3" w:rsidP="00AC2606">
      <w:pPr>
        <w:rPr>
          <w:rFonts w:cs="Arial"/>
        </w:rPr>
      </w:pPr>
    </w:p>
    <w:p w14:paraId="7F37769D" w14:textId="2BB42C52" w:rsidR="00AC2606" w:rsidRPr="00AC0957" w:rsidRDefault="009A14BC" w:rsidP="00AC2606">
      <w:pPr>
        <w:rPr>
          <w:rFonts w:cs="Arial"/>
        </w:rPr>
      </w:pPr>
      <w:r w:rsidRPr="009A14BC">
        <w:rPr>
          <w:rFonts w:cs="Arial"/>
        </w:rPr>
        <w:t>Compared to 2023, the percentage of occupations in shortage for Skill Level 4 were lower in 2024 by over 7 percentage points; that is, it fell from 23% to 15%</w:t>
      </w:r>
      <w:r w:rsidR="00F61152">
        <w:rPr>
          <w:rStyle w:val="FootnoteReference"/>
          <w:rFonts w:cs="Arial"/>
        </w:rPr>
        <w:footnoteReference w:id="15"/>
      </w:r>
      <w:r w:rsidRPr="009A14BC">
        <w:rPr>
          <w:rFonts w:cs="Arial"/>
        </w:rPr>
        <w:t>.</w:t>
      </w:r>
      <w:r w:rsidR="008C52B1">
        <w:rPr>
          <w:rFonts w:cs="Arial"/>
        </w:rPr>
        <w:t xml:space="preserve"> </w:t>
      </w:r>
      <w:r w:rsidRPr="009A14BC">
        <w:rPr>
          <w:rFonts w:cs="Arial"/>
        </w:rPr>
        <w:t>However, Skill Level 1 and 3 occupations in shortage remain largely elevated (39% and 46%, respectively). The results reflect the large percentage of Professionals and Technicians and Trades Workers occupations in shortage in 2024. That is, occupations with higher education and VET as the primary pathway to the labour market had a larger percentage of occupations in shortage.</w:t>
      </w:r>
      <w:r w:rsidR="00AC2606" w:rsidRPr="00AC0957">
        <w:rPr>
          <w:rFonts w:cs="Arial"/>
        </w:rPr>
        <w:t xml:space="preserve"> </w:t>
      </w:r>
    </w:p>
    <w:p w14:paraId="0DCE6F22" w14:textId="77777777" w:rsidR="00AC2606" w:rsidRPr="00AC0957" w:rsidRDefault="00AC2606" w:rsidP="00230B0F">
      <w:pPr>
        <w:pStyle w:val="Heading3"/>
      </w:pPr>
      <w:bookmarkStart w:id="120" w:name="_Toc179887382"/>
      <w:bookmarkStart w:id="121" w:name="_Toc181371576"/>
      <w:r w:rsidRPr="00AC0957">
        <w:t xml:space="preserve">Importance of </w:t>
      </w:r>
      <w:r w:rsidRPr="00230B0F">
        <w:t>shortages</w:t>
      </w:r>
      <w:bookmarkEnd w:id="120"/>
      <w:bookmarkEnd w:id="121"/>
      <w:r w:rsidRPr="00AC0957">
        <w:t xml:space="preserve"> </w:t>
      </w:r>
    </w:p>
    <w:p w14:paraId="438A15D6" w14:textId="56B8C9CA" w:rsidR="00AC2606" w:rsidRPr="00AC0957" w:rsidRDefault="00CB00B3" w:rsidP="00AC2606">
      <w:pPr>
        <w:rPr>
          <w:rFonts w:cs="Arial"/>
        </w:rPr>
      </w:pPr>
      <w:r w:rsidRPr="00CB00B3">
        <w:rPr>
          <w:rFonts w:cs="Arial"/>
        </w:rPr>
        <w:t>The OSL percentage of occupations in shortage are based on the count of occupations in shortage relative to the total number of occupations assessed. This calculation treats all occupations equally regardless of their employment size or growth. For example, cyber security roles have shown rapid employment growth due to increasing demand, whereas occupations like Printing Table Worker have seen negative growth due to technological advances. Therefore, the total number and percentage of occupations in shortage may be skewed by a large number of very small employing occupations, or by occupations with declining employment</w:t>
      </w:r>
      <w:r w:rsidR="00AC2606" w:rsidRPr="00AC0957">
        <w:rPr>
          <w:rFonts w:cs="Arial"/>
        </w:rPr>
        <w:t xml:space="preserve">. </w:t>
      </w:r>
    </w:p>
    <w:p w14:paraId="4933A272" w14:textId="77777777" w:rsidR="00AC2606" w:rsidRPr="00AC0957" w:rsidRDefault="00AC2606" w:rsidP="00EA4A1A">
      <w:pPr>
        <w:pStyle w:val="Heading4"/>
        <w:keepNext/>
      </w:pPr>
      <w:r w:rsidRPr="00AC0957">
        <w:t xml:space="preserve">Occupations in </w:t>
      </w:r>
      <w:r w:rsidRPr="00230B0F">
        <w:t>shortage</w:t>
      </w:r>
      <w:r w:rsidRPr="00AC0957">
        <w:t xml:space="preserve">, accounting for employment size and growth </w:t>
      </w:r>
    </w:p>
    <w:p w14:paraId="40099B88" w14:textId="77777777" w:rsidR="00E9547C" w:rsidRPr="00E9547C" w:rsidRDefault="00E9547C" w:rsidP="00E9547C">
      <w:pPr>
        <w:rPr>
          <w:rFonts w:cs="Arial"/>
        </w:rPr>
      </w:pPr>
      <w:r w:rsidRPr="00E9547C">
        <w:rPr>
          <w:rFonts w:cs="Arial"/>
        </w:rPr>
        <w:t xml:space="preserve">Employment levels from 2021 ABS Census of Population and Housing (ABS Census) were incorporated into the 2021 to 2024 OSL shortage results to better gauge implications of larger or growing occupations in shortage on overall labour market performance. </w:t>
      </w:r>
    </w:p>
    <w:p w14:paraId="4BA0872C" w14:textId="426C4314" w:rsidR="00E9547C" w:rsidRPr="00E9547C" w:rsidRDefault="00E9547C" w:rsidP="00E9547C">
      <w:pPr>
        <w:rPr>
          <w:rFonts w:cs="Arial"/>
        </w:rPr>
      </w:pPr>
      <w:r w:rsidRPr="00E9547C">
        <w:rPr>
          <w:rFonts w:cs="Arial"/>
        </w:rPr>
        <w:t>All assessed occupations were scaled by their employment share using 2021 ABS Census</w:t>
      </w:r>
      <w:r w:rsidR="00F7574B">
        <w:rPr>
          <w:rStyle w:val="FootnoteReference"/>
          <w:rFonts w:cs="Arial"/>
        </w:rPr>
        <w:footnoteReference w:id="16"/>
      </w:r>
      <w:r w:rsidRPr="00E9547C">
        <w:rPr>
          <w:rFonts w:cs="Arial"/>
        </w:rPr>
        <w:t>.</w:t>
      </w:r>
      <w:r w:rsidR="008C52B1">
        <w:rPr>
          <w:rFonts w:cs="Arial"/>
        </w:rPr>
        <w:t xml:space="preserve"> </w:t>
      </w:r>
      <w:r w:rsidRPr="00E9547C">
        <w:rPr>
          <w:rFonts w:cs="Arial"/>
        </w:rPr>
        <w:t>Essentially, this provides a proxy for the percentage of workforce shortage.</w:t>
      </w:r>
    </w:p>
    <w:p w14:paraId="2B06D280" w14:textId="1642B69D" w:rsidR="00AC2606" w:rsidRPr="00AC0957" w:rsidRDefault="00E9547C" w:rsidP="00E9547C">
      <w:pPr>
        <w:rPr>
          <w:rFonts w:cs="Arial"/>
        </w:rPr>
      </w:pPr>
      <w:r w:rsidRPr="00E9547C">
        <w:rPr>
          <w:rFonts w:cs="Arial"/>
        </w:rPr>
        <w:t xml:space="preserve">Further, to remove the impact of occupations that may not be material to overall labour market performance, occupations with declining employment between 2016 and 2021 ABS Census and occupations with fewer than 1,500 workers as at 2021 ABS Census were assumed to be not in shortage. The results are presented in </w:t>
      </w:r>
      <w:r>
        <w:rPr>
          <w:rFonts w:cs="Arial"/>
        </w:rPr>
        <w:fldChar w:fldCharType="begin"/>
      </w:r>
      <w:r>
        <w:rPr>
          <w:rFonts w:cs="Arial"/>
        </w:rPr>
        <w:instrText xml:space="preserve"> REF _Ref179897664 \h </w:instrText>
      </w:r>
      <w:r>
        <w:rPr>
          <w:rFonts w:cs="Arial"/>
        </w:rPr>
      </w:r>
      <w:r>
        <w:rPr>
          <w:rFonts w:cs="Arial"/>
        </w:rPr>
        <w:fldChar w:fldCharType="separate"/>
      </w:r>
      <w:r w:rsidR="00C47A81">
        <w:t xml:space="preserve">Figure </w:t>
      </w:r>
      <w:r w:rsidR="00C47A81">
        <w:rPr>
          <w:noProof/>
        </w:rPr>
        <w:t>26</w:t>
      </w:r>
      <w:r>
        <w:rPr>
          <w:rFonts w:cs="Arial"/>
        </w:rPr>
        <w:fldChar w:fldCharType="end"/>
      </w:r>
      <w:r w:rsidR="00AC2606" w:rsidRPr="00AC0957">
        <w:rPr>
          <w:rFonts w:cs="Arial"/>
        </w:rPr>
        <w:t xml:space="preserve">. </w:t>
      </w:r>
    </w:p>
    <w:p w14:paraId="444DCDFF" w14:textId="17665529" w:rsidR="005211CC" w:rsidRDefault="005211CC" w:rsidP="005211CC">
      <w:pPr>
        <w:pStyle w:val="Caption"/>
      </w:pPr>
      <w:bookmarkStart w:id="122" w:name="_Ref179897664"/>
      <w:bookmarkStart w:id="123" w:name="_Toc181370328"/>
      <w:r>
        <w:t xml:space="preserve">Figure </w:t>
      </w:r>
      <w:r>
        <w:fldChar w:fldCharType="begin"/>
      </w:r>
      <w:r>
        <w:instrText xml:space="preserve"> SEQ Figure \* ARABIC </w:instrText>
      </w:r>
      <w:r>
        <w:fldChar w:fldCharType="separate"/>
      </w:r>
      <w:r w:rsidR="00C47A81">
        <w:rPr>
          <w:noProof/>
        </w:rPr>
        <w:t>26</w:t>
      </w:r>
      <w:r>
        <w:fldChar w:fldCharType="end"/>
      </w:r>
      <w:bookmarkEnd w:id="122"/>
      <w:r>
        <w:t xml:space="preserve">: </w:t>
      </w:r>
      <w:r w:rsidRPr="005D3A58">
        <w:t xml:space="preserve">Percentage of occupations in national </w:t>
      </w:r>
      <w:r w:rsidR="003247E3">
        <w:t>s</w:t>
      </w:r>
      <w:r w:rsidRPr="005D3A58">
        <w:t>hortage (%), 2021-24 OSL, without and with employment size and growth thresholds.</w:t>
      </w:r>
      <w:bookmarkEnd w:id="123"/>
    </w:p>
    <w:p w14:paraId="6EA95875" w14:textId="70F44829" w:rsidR="008A59DB" w:rsidRPr="008A59DB" w:rsidRDefault="0069351F" w:rsidP="008A59DB">
      <w:r>
        <w:rPr>
          <w:noProof/>
        </w:rPr>
        <w:drawing>
          <wp:inline distT="0" distB="0" distL="0" distR="0" wp14:anchorId="6E0BE10E" wp14:editId="10D3A4A1">
            <wp:extent cx="5709600" cy="3168000"/>
            <wp:effectExtent l="0" t="0" r="5715" b="0"/>
            <wp:docPr id="13811140" name="Picture 46" descr="This chart shows the percentage of occupations in shortage, nationally, from the 2021-24 OSL, without or with employment size and growth thresholds. When weighted by employment size and rating occupations with negative growth or less than 1500 workers as No Shortage, the percentage of occupations in shortage was 3 to 6 percentage points higher than without considering employment size and threshold. However, the trends over 2021-24 remained the same, specifically, shortages increased from 2022 to 2023 and then decreased to a level similar to 2022 in 20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1140" name="Picture 46" descr="This chart shows the percentage of occupations in shortage, nationally, from the 2021-24 OSL, without or with employment size and growth thresholds. When weighted by employment size and rating occupations with negative growth or less than 1500 workers as No Shortage, the percentage of occupations in shortage was 3 to 6 percentage points higher than without considering employment size and threshold. However, the trends over 2021-24 remained the same, specifically, shortages increased from 2022 to 2023 and then decreased to a level similar to 2022 in 2024. "/>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09600" cy="3168000"/>
                    </a:xfrm>
                    <a:prstGeom prst="rect">
                      <a:avLst/>
                    </a:prstGeom>
                    <a:noFill/>
                  </pic:spPr>
                </pic:pic>
              </a:graphicData>
            </a:graphic>
          </wp:inline>
        </w:drawing>
      </w:r>
    </w:p>
    <w:p w14:paraId="0E27F3D8" w14:textId="32F191A8" w:rsidR="00651691" w:rsidRDefault="00AC2606" w:rsidP="00651691">
      <w:pPr>
        <w:pStyle w:val="ChartorTableNote"/>
      </w:pPr>
      <w:r w:rsidRPr="005211CC">
        <w:t>Source: Jobs and Skills Australia, Occupation Shortage List, 2021–24; ABS, 2021 Census of Population and Housing</w:t>
      </w:r>
      <w:r w:rsidR="00193680">
        <w:t xml:space="preserve">. </w:t>
      </w:r>
    </w:p>
    <w:p w14:paraId="75182028" w14:textId="4D9FFFDF" w:rsidR="00966691" w:rsidRPr="00966691" w:rsidRDefault="00966691" w:rsidP="00651691">
      <w:pPr>
        <w:pStyle w:val="ChartorTableNote"/>
      </w:pPr>
      <w:r w:rsidRPr="00966691">
        <w:t>Note: This analysis is based on the ABS 2013 ANZSCO version</w:t>
      </w:r>
      <w:r w:rsidR="00193680">
        <w:t xml:space="preserve">. </w:t>
      </w:r>
    </w:p>
    <w:p w14:paraId="36242571" w14:textId="77777777" w:rsidR="00D70B65" w:rsidRPr="00D70B65" w:rsidRDefault="00D70B65" w:rsidP="00D70B65">
      <w:r w:rsidRPr="00D70B65">
        <w:t xml:space="preserve">The overall pattern of workforce shortage from 2021 to 2024 is similar between the 2024 OSL and the alternative analysis. They both indicate that shortages peaked in 2023 and then fell in 2024, in line with changes in labour market conditions over that time. </w:t>
      </w:r>
    </w:p>
    <w:p w14:paraId="23BD23A3" w14:textId="4523DF5E" w:rsidR="00D70B65" w:rsidRPr="00D70B65" w:rsidRDefault="00D70B65" w:rsidP="00D70B65">
      <w:r w:rsidRPr="00D70B65">
        <w:t>The alternative analysis suggests that in 2024, there was a workforce shortage of 36%, whereas the 2024 OSL results show that 33% of occupations were in shortage in 2024. The reason for the difference is due to the fact that occupations that were considered to be in shortage, on average, were larger employing occupations</w:t>
      </w:r>
      <w:r w:rsidR="00645FC4">
        <w:rPr>
          <w:rStyle w:val="FootnoteReference"/>
        </w:rPr>
        <w:footnoteReference w:id="17"/>
      </w:r>
      <w:r w:rsidRPr="00D70B65">
        <w:t>.</w:t>
      </w:r>
      <w:r w:rsidR="008C52B1">
        <w:t xml:space="preserve"> </w:t>
      </w:r>
    </w:p>
    <w:p w14:paraId="2A0CF7E9" w14:textId="77777777" w:rsidR="00D70B65" w:rsidRPr="00D70B65" w:rsidRDefault="00D70B65" w:rsidP="00D70B65">
      <w:r w:rsidRPr="00D70B65">
        <w:t>Further, unlike the 2024 OSL results, the alternative analysis suggests that there was a smaller workforce shortage in 2024 than in 2022 (36% compared to 37%). Given the way the analysis was produced, this might mean that there were fewer large employing and growing occupations in shortage in 2024 than in 2022. This reinforces the conclusion that shortages have eased with the easing labour market.</w:t>
      </w:r>
    </w:p>
    <w:p w14:paraId="4E8F7B5D" w14:textId="77777777" w:rsidR="00D70B65" w:rsidRPr="00D70B65" w:rsidRDefault="00D70B65" w:rsidP="00D70B65">
      <w:r w:rsidRPr="00D70B65">
        <w:t>Accounting for employment size and growth in occupations may provide a clearer sense of the impacts of structural change on occupations in shortage. For example, the economy is shifting toward health, care, education and business services. With that, the overall percentage of occupations in shortage may remain elevated overtime (in the absence of any policy response) if:</w:t>
      </w:r>
    </w:p>
    <w:p w14:paraId="717C70D4" w14:textId="77777777" w:rsidR="00D70B65" w:rsidRPr="00D70B65" w:rsidRDefault="00D70B65" w:rsidP="00D70B65">
      <w:pPr>
        <w:pStyle w:val="ListBullet"/>
      </w:pPr>
      <w:r w:rsidRPr="00D70B65">
        <w:t>large employing and growing occupations related to health and care, teaching and early childhood education, and engineering remain in shortage</w:t>
      </w:r>
    </w:p>
    <w:p w14:paraId="73608871" w14:textId="4E01713F" w:rsidR="00AC2606" w:rsidRPr="00D70B65" w:rsidRDefault="00D70B65" w:rsidP="00D70B65">
      <w:pPr>
        <w:pStyle w:val="ListBullet"/>
      </w:pPr>
      <w:r w:rsidRPr="00D70B65">
        <w:t>small employing but fast-growing occupations related to business services remain in shortage</w:t>
      </w:r>
      <w:r w:rsidR="00AC2606" w:rsidRPr="00D70B65">
        <w:t xml:space="preserve">. </w:t>
      </w:r>
    </w:p>
    <w:p w14:paraId="595F5B86" w14:textId="5F29EB55" w:rsidR="00AC2606" w:rsidRPr="00AC0957" w:rsidRDefault="00AC2606" w:rsidP="00230B0F">
      <w:pPr>
        <w:pStyle w:val="Heading3"/>
      </w:pPr>
      <w:bookmarkStart w:id="124" w:name="_Toc179887383"/>
      <w:bookmarkStart w:id="125" w:name="_Toc181371577"/>
      <w:r w:rsidRPr="00AC0957" w:rsidDel="00627AA9">
        <w:t>S</w:t>
      </w:r>
      <w:r w:rsidRPr="00AC0957">
        <w:t>hortage</w:t>
      </w:r>
      <w:r w:rsidR="0027614F">
        <w:t>s</w:t>
      </w:r>
      <w:r w:rsidRPr="00AC0957">
        <w:t xml:space="preserve"> </w:t>
      </w:r>
      <w:bookmarkEnd w:id="124"/>
      <w:r w:rsidR="00470DDB">
        <w:t xml:space="preserve">by </w:t>
      </w:r>
      <w:r w:rsidRPr="00AC0957">
        <w:t>industr</w:t>
      </w:r>
      <w:r w:rsidR="00470DDB">
        <w:t>y</w:t>
      </w:r>
      <w:bookmarkEnd w:id="125"/>
    </w:p>
    <w:p w14:paraId="3A4702EA" w14:textId="4E009611" w:rsidR="00AC2606" w:rsidRPr="00AC0957" w:rsidRDefault="00E13C0E" w:rsidP="00AC2606">
      <w:pPr>
        <w:rPr>
          <w:rFonts w:cs="Arial"/>
        </w:rPr>
      </w:pPr>
      <w:r w:rsidRPr="00E13C0E">
        <w:rPr>
          <w:rFonts w:cs="Arial"/>
        </w:rPr>
        <w:t>An industry is likely to feel shortage pressures when the largest employing occupations within that industry are in shortage. To explore this, employment sizes of occupations within an industry that were in shortage in the 2024 OSL were summed and divided by the total employment size of that industry (</w:t>
      </w:r>
      <w:r>
        <w:rPr>
          <w:rFonts w:cs="Arial"/>
        </w:rPr>
        <w:fldChar w:fldCharType="begin"/>
      </w:r>
      <w:r>
        <w:rPr>
          <w:rFonts w:cs="Arial"/>
        </w:rPr>
        <w:instrText xml:space="preserve"> REF _Ref179897687 \h </w:instrText>
      </w:r>
      <w:r>
        <w:rPr>
          <w:rFonts w:cs="Arial"/>
        </w:rPr>
      </w:r>
      <w:r>
        <w:rPr>
          <w:rFonts w:cs="Arial"/>
        </w:rPr>
        <w:fldChar w:fldCharType="separate"/>
      </w:r>
      <w:r w:rsidR="00C47A81">
        <w:t xml:space="preserve">Figure </w:t>
      </w:r>
      <w:r w:rsidR="00C47A81">
        <w:rPr>
          <w:noProof/>
        </w:rPr>
        <w:t>27</w:t>
      </w:r>
      <w:r>
        <w:rPr>
          <w:rFonts w:cs="Arial"/>
        </w:rPr>
        <w:fldChar w:fldCharType="end"/>
      </w:r>
      <w:r w:rsidRPr="00E13C0E">
        <w:rPr>
          <w:rFonts w:cs="Arial"/>
        </w:rPr>
        <w:t>)</w:t>
      </w:r>
      <w:r w:rsidR="001406BD">
        <w:rPr>
          <w:rStyle w:val="FootnoteReference"/>
          <w:rFonts w:cs="Arial"/>
        </w:rPr>
        <w:footnoteReference w:id="18"/>
      </w:r>
      <w:r w:rsidRPr="00E13C0E">
        <w:rPr>
          <w:rFonts w:cs="Arial"/>
        </w:rPr>
        <w:t>.</w:t>
      </w:r>
      <w:r w:rsidR="008C52B1">
        <w:rPr>
          <w:rFonts w:cs="Arial"/>
        </w:rPr>
        <w:t xml:space="preserve"> </w:t>
      </w:r>
      <w:r w:rsidRPr="00E13C0E">
        <w:rPr>
          <w:rFonts w:cs="Arial"/>
        </w:rPr>
        <w:t>Essentially, occupation shortage ratings at the national level were weighted by the within-industry distribution of employment</w:t>
      </w:r>
      <w:r w:rsidR="00AC2606" w:rsidRPr="00AC0957">
        <w:rPr>
          <w:rFonts w:cs="Arial"/>
        </w:rPr>
        <w:t xml:space="preserve">. </w:t>
      </w:r>
    </w:p>
    <w:p w14:paraId="7EDD9578" w14:textId="5B097333" w:rsidR="007A1802" w:rsidRDefault="007A1802" w:rsidP="007A1802">
      <w:pPr>
        <w:pStyle w:val="Caption"/>
      </w:pPr>
      <w:bookmarkStart w:id="126" w:name="_Ref179897687"/>
      <w:bookmarkStart w:id="127" w:name="_Toc181370329"/>
      <w:r>
        <w:t xml:space="preserve">Figure </w:t>
      </w:r>
      <w:r>
        <w:fldChar w:fldCharType="begin"/>
      </w:r>
      <w:r>
        <w:instrText xml:space="preserve"> SEQ Figure \* ARABIC </w:instrText>
      </w:r>
      <w:r>
        <w:fldChar w:fldCharType="separate"/>
      </w:r>
      <w:r w:rsidR="00C47A81">
        <w:rPr>
          <w:noProof/>
        </w:rPr>
        <w:t>27</w:t>
      </w:r>
      <w:r>
        <w:fldChar w:fldCharType="end"/>
      </w:r>
      <w:bookmarkEnd w:id="126"/>
      <w:r>
        <w:t xml:space="preserve">: </w:t>
      </w:r>
      <w:r w:rsidRPr="00F97EB4">
        <w:t>Workforce shortage pressures (%), by industry, 2021–24</w:t>
      </w:r>
      <w:bookmarkEnd w:id="127"/>
    </w:p>
    <w:p w14:paraId="2C63DBB3" w14:textId="3D2644FF" w:rsidR="00FE6847" w:rsidRPr="00FE6847" w:rsidRDefault="00743C4D" w:rsidP="00FE6847">
      <w:r>
        <w:rPr>
          <w:noProof/>
        </w:rPr>
        <w:drawing>
          <wp:inline distT="0" distB="0" distL="0" distR="0" wp14:anchorId="7E3D4741" wp14:editId="1808D7CA">
            <wp:extent cx="5691600" cy="2847600"/>
            <wp:effectExtent l="0" t="0" r="4445" b="0"/>
            <wp:docPr id="440305148" name="Picture 47" descr="This chart shows the proportion of occupations in shortage from 2021-2024, by industry. Construction, Health Care and Social Assistance, Mining, Other Services, and Education and Training appear to have the most acute shortage pressures. Compared to other industries, the shares of occupations in shortage are much higher in these five industries, and they are all above 50% particularly from 2022 to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05148" name="Picture 47" descr="This chart shows the proportion of occupations in shortage from 2021-2024, by industry. Construction, Health Care and Social Assistance, Mining, Other Services, and Education and Training appear to have the most acute shortage pressures. Compared to other industries, the shares of occupations in shortage are much higher in these five industries, and they are all above 50% particularly from 2022 to 202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91600" cy="2847600"/>
                    </a:xfrm>
                    <a:prstGeom prst="rect">
                      <a:avLst/>
                    </a:prstGeom>
                    <a:noFill/>
                  </pic:spPr>
                </pic:pic>
              </a:graphicData>
            </a:graphic>
          </wp:inline>
        </w:drawing>
      </w:r>
    </w:p>
    <w:p w14:paraId="43C5936D" w14:textId="73F38BC6" w:rsidR="00AC2606" w:rsidRPr="00AC0957" w:rsidRDefault="00AF69FF" w:rsidP="00AF69FF">
      <w:pPr>
        <w:pStyle w:val="Source"/>
        <w:rPr>
          <w:sz w:val="22"/>
          <w:szCs w:val="22"/>
        </w:rPr>
      </w:pPr>
      <w:r w:rsidRPr="00743C4D">
        <w:t>S</w:t>
      </w:r>
      <w:r w:rsidR="00AC2606" w:rsidRPr="00743C4D">
        <w:t>ource: Jobs and Skills Australia, Occupation Shortage List, 2021–24; ABS, 2021 Census of Population and Housing</w:t>
      </w:r>
      <w:r w:rsidR="004811EC">
        <w:t>.</w:t>
      </w:r>
    </w:p>
    <w:p w14:paraId="1E503387" w14:textId="7EE41EC8" w:rsidR="004E74A9" w:rsidRPr="004E74A9" w:rsidRDefault="004E74A9" w:rsidP="004E74A9">
      <w:pPr>
        <w:rPr>
          <w:rFonts w:cs="Arial"/>
        </w:rPr>
      </w:pPr>
      <w:r w:rsidRPr="004E74A9">
        <w:rPr>
          <w:rFonts w:cs="Arial"/>
        </w:rPr>
        <w:t>Compared to other industries, Construction, Health Care and Social Assistance, Mining, Other Services, and Education and Training appear to have more acute shortage pressures</w:t>
      </w:r>
      <w:r w:rsidR="00963013">
        <w:rPr>
          <w:rStyle w:val="FootnoteReference"/>
          <w:rFonts w:cs="Arial"/>
        </w:rPr>
        <w:footnoteReference w:id="19"/>
      </w:r>
      <w:r w:rsidRPr="004E74A9">
        <w:rPr>
          <w:rFonts w:cs="Arial"/>
        </w:rPr>
        <w:t>.</w:t>
      </w:r>
      <w:r w:rsidR="008C52B1">
        <w:rPr>
          <w:rFonts w:cs="Arial"/>
        </w:rPr>
        <w:t xml:space="preserve"> </w:t>
      </w:r>
      <w:r w:rsidRPr="004E74A9">
        <w:rPr>
          <w:rFonts w:cs="Arial"/>
        </w:rPr>
        <w:t xml:space="preserve">All 5 of these industries have had shortage pressures of 51% to 72%, in the period since 2022. While not as high as the top 5, Professional, Scientific and Technical Services also had relatively high shortage pressures at 45%. </w:t>
      </w:r>
    </w:p>
    <w:p w14:paraId="0CA65DDA" w14:textId="7EA0EE4C" w:rsidR="00AC2606" w:rsidRPr="00AC0957" w:rsidRDefault="004E74A9" w:rsidP="004E74A9">
      <w:pPr>
        <w:rPr>
          <w:rFonts w:cs="Arial"/>
        </w:rPr>
      </w:pPr>
      <w:r w:rsidRPr="004E74A9">
        <w:rPr>
          <w:rFonts w:cs="Arial"/>
        </w:rPr>
        <w:t>Except for Mining and Other Services, these industries are large employing, including those where the share of employment has been increasing over</w:t>
      </w:r>
      <w:r w:rsidR="009837C4">
        <w:rPr>
          <w:rFonts w:cs="Arial"/>
        </w:rPr>
        <w:t xml:space="preserve"> </w:t>
      </w:r>
      <w:r w:rsidRPr="004E74A9">
        <w:rPr>
          <w:rFonts w:cs="Arial"/>
        </w:rPr>
        <w:t xml:space="preserve">time. The results reflect the impacts of structural change such as impacts of an ageing population and the flow on increasing demand for health and care services, technology change and the shift towards a knowledge-services based economy, increasing the demand for high skilled workers. Further, the impact of </w:t>
      </w:r>
      <w:r w:rsidR="009837C4">
        <w:rPr>
          <w:rFonts w:cs="Arial"/>
        </w:rPr>
        <w:t xml:space="preserve">a </w:t>
      </w:r>
      <w:r w:rsidRPr="004E74A9">
        <w:rPr>
          <w:rFonts w:cs="Arial"/>
        </w:rPr>
        <w:t xml:space="preserve">backlog of infrastructure projects </w:t>
      </w:r>
      <w:r w:rsidR="009837C4">
        <w:rPr>
          <w:rFonts w:cs="Arial"/>
        </w:rPr>
        <w:t>i</w:t>
      </w:r>
      <w:r w:rsidRPr="004E74A9">
        <w:rPr>
          <w:rFonts w:cs="Arial"/>
        </w:rPr>
        <w:t>n the Construction industry is also a factor</w:t>
      </w:r>
      <w:r w:rsidR="00AC2606" w:rsidRPr="00AC0957">
        <w:rPr>
          <w:rFonts w:cs="Arial"/>
        </w:rPr>
        <w:t xml:space="preserve">. </w:t>
      </w:r>
    </w:p>
    <w:p w14:paraId="656B2665" w14:textId="676AE223" w:rsidR="00AC2606" w:rsidRPr="00AC0957" w:rsidRDefault="00AC2606" w:rsidP="00230B0F">
      <w:pPr>
        <w:pStyle w:val="Heading3"/>
      </w:pPr>
      <w:bookmarkStart w:id="128" w:name="_Toc179887384"/>
      <w:bookmarkStart w:id="129" w:name="_Toc181371578"/>
      <w:r w:rsidRPr="00AC0957">
        <w:t xml:space="preserve">Occupation shortages </w:t>
      </w:r>
      <w:r w:rsidR="00DD3A7F">
        <w:t>by major occupation group</w:t>
      </w:r>
      <w:bookmarkEnd w:id="128"/>
      <w:bookmarkEnd w:id="129"/>
    </w:p>
    <w:p w14:paraId="2C5E47C4" w14:textId="4F09EE1A" w:rsidR="00460587" w:rsidRPr="00460587" w:rsidRDefault="00460587" w:rsidP="00934658">
      <w:pPr>
        <w:keepLines/>
        <w:rPr>
          <w:rFonts w:cs="Arial"/>
        </w:rPr>
      </w:pPr>
      <w:r w:rsidRPr="00460587">
        <w:rPr>
          <w:rFonts w:cs="Arial"/>
        </w:rPr>
        <w:t xml:space="preserve">Occupations in shortage for 3 or more years are defined as being in persistent </w:t>
      </w:r>
      <w:r w:rsidR="00BC574C">
        <w:rPr>
          <w:rFonts w:cs="Arial"/>
        </w:rPr>
        <w:t>s</w:t>
      </w:r>
      <w:r w:rsidRPr="00460587">
        <w:rPr>
          <w:rFonts w:cs="Arial"/>
        </w:rPr>
        <w:t xml:space="preserve">hortage. There were 136 occupations in persistent </w:t>
      </w:r>
      <w:r w:rsidR="00BC574C">
        <w:rPr>
          <w:rFonts w:cs="Arial"/>
        </w:rPr>
        <w:t>s</w:t>
      </w:r>
      <w:r w:rsidRPr="00460587">
        <w:rPr>
          <w:rFonts w:cs="Arial"/>
        </w:rPr>
        <w:t>hortage from 2021 to 2024 (</w:t>
      </w:r>
      <w:r>
        <w:rPr>
          <w:rFonts w:cs="Arial"/>
        </w:rPr>
        <w:fldChar w:fldCharType="begin"/>
      </w:r>
      <w:r>
        <w:rPr>
          <w:rFonts w:cs="Arial"/>
        </w:rPr>
        <w:instrText xml:space="preserve"> REF _Ref179897697 \h </w:instrText>
      </w:r>
      <w:r>
        <w:rPr>
          <w:rFonts w:cs="Arial"/>
        </w:rPr>
      </w:r>
      <w:r>
        <w:rPr>
          <w:rFonts w:cs="Arial"/>
        </w:rPr>
        <w:fldChar w:fldCharType="separate"/>
      </w:r>
      <w:r w:rsidR="00C47A81">
        <w:t xml:space="preserve">Table </w:t>
      </w:r>
      <w:r w:rsidR="00C47A81">
        <w:rPr>
          <w:noProof/>
        </w:rPr>
        <w:t>4</w:t>
      </w:r>
      <w:r>
        <w:rPr>
          <w:rFonts w:cs="Arial"/>
        </w:rPr>
        <w:fldChar w:fldCharType="end"/>
      </w:r>
      <w:r w:rsidRPr="00460587">
        <w:rPr>
          <w:rFonts w:cs="Arial"/>
        </w:rPr>
        <w:t xml:space="preserve">). Of these, 49% (67 out of 136) were in the Technicians and Trades Workers major group, while occupations in the Professionals major group made up 40% (55 out of 136). </w:t>
      </w:r>
    </w:p>
    <w:p w14:paraId="37F3ECBE" w14:textId="77777777" w:rsidR="00460587" w:rsidRPr="00460587" w:rsidRDefault="00460587" w:rsidP="00460587">
      <w:pPr>
        <w:rPr>
          <w:rFonts w:cs="Arial"/>
        </w:rPr>
      </w:pPr>
      <w:r w:rsidRPr="00460587">
        <w:rPr>
          <w:rFonts w:cs="Arial"/>
        </w:rPr>
        <w:t xml:space="preserve">Several of these occupations were among the top 20 largest employing occupations in shortage in the 2024 OSL. Occupations within the Technicians and Trades Workers major group included Electrician (General), Carpenter, Chef and Motor Mechanic (General), while occupations in the Professionals major group included Software Engineer, General Practitioner and Developer Programmer. </w:t>
      </w:r>
    </w:p>
    <w:p w14:paraId="12F60E84" w14:textId="7A463551" w:rsidR="00AC2606" w:rsidRPr="00AC0957" w:rsidRDefault="00460587" w:rsidP="00460587">
      <w:pPr>
        <w:rPr>
          <w:rFonts w:cs="Arial"/>
        </w:rPr>
      </w:pPr>
      <w:r w:rsidRPr="00460587">
        <w:rPr>
          <w:rFonts w:cs="Arial"/>
        </w:rPr>
        <w:t>The reasons for persistent shortages are likely to be multifaceted. They include an ageing population, technological advances, and other impacts of structural changes in the labour market, such as constraints in the supply of qualified and experienced workers, working conditions and pay. Any future solutions to address persistent shortages will, therefore, likely need to be long-term and holistic</w:t>
      </w:r>
      <w:r w:rsidR="00AC2606" w:rsidRPr="00AC0957">
        <w:rPr>
          <w:rFonts w:cs="Arial"/>
        </w:rPr>
        <w:t>.</w:t>
      </w:r>
    </w:p>
    <w:p w14:paraId="02F7E0F8" w14:textId="339CE02E" w:rsidR="007A1802" w:rsidRDefault="007A1802" w:rsidP="007A1802">
      <w:pPr>
        <w:pStyle w:val="Caption"/>
      </w:pPr>
      <w:bookmarkStart w:id="130" w:name="_Ref179897697"/>
      <w:r>
        <w:t xml:space="preserve">Table </w:t>
      </w:r>
      <w:r>
        <w:fldChar w:fldCharType="begin"/>
      </w:r>
      <w:r>
        <w:instrText xml:space="preserve"> SEQ Table \* ARABIC </w:instrText>
      </w:r>
      <w:r>
        <w:fldChar w:fldCharType="separate"/>
      </w:r>
      <w:r w:rsidR="00C47A81">
        <w:rPr>
          <w:noProof/>
        </w:rPr>
        <w:t>4</w:t>
      </w:r>
      <w:r>
        <w:fldChar w:fldCharType="end"/>
      </w:r>
      <w:bookmarkEnd w:id="130"/>
      <w:r>
        <w:t xml:space="preserve">: </w:t>
      </w:r>
      <w:r w:rsidRPr="00DB076F">
        <w:t xml:space="preserve">Summary of major groups in persistent </w:t>
      </w:r>
      <w:r w:rsidR="00460587">
        <w:t>s</w:t>
      </w:r>
      <w:r w:rsidRPr="00DB076F">
        <w:t>hortage in the 2021–24 OSLs</w:t>
      </w:r>
    </w:p>
    <w:tbl>
      <w:tblPr>
        <w:tblStyle w:val="JSATable1"/>
        <w:tblW w:w="5000" w:type="pct"/>
        <w:tblLook w:val="0020" w:firstRow="1" w:lastRow="0" w:firstColumn="0" w:lastColumn="0" w:noHBand="0" w:noVBand="0"/>
        <w:tblCaption w:val="Summary of major groups in persistent shortage in the 2021-24 OSLs"/>
        <w:tblDescription w:val="This table shows across the major occupation groups, the number of occupations and percentage of occupations in persistent shortage in the 2021-24 OSL. There were 136 occupations in persistent Shortage from 2021 to 2024. Of these, 49% were in the Technicians and Trades Workers major group, while occupations in the Professionals major group made up 40%. "/>
      </w:tblPr>
      <w:tblGrid>
        <w:gridCol w:w="4859"/>
        <w:gridCol w:w="2163"/>
        <w:gridCol w:w="2004"/>
      </w:tblGrid>
      <w:tr w:rsidR="00AC2606" w:rsidRPr="00AC0957" w14:paraId="20889509" w14:textId="77777777">
        <w:trPr>
          <w:cnfStyle w:val="100000000000" w:firstRow="1" w:lastRow="0" w:firstColumn="0" w:lastColumn="0" w:oddVBand="0" w:evenVBand="0" w:oddHBand="0" w:evenHBand="0" w:firstRowFirstColumn="0" w:firstRowLastColumn="0" w:lastRowFirstColumn="0" w:lastRowLastColumn="0"/>
        </w:trPr>
        <w:tc>
          <w:tcPr>
            <w:tcW w:w="2692" w:type="pct"/>
          </w:tcPr>
          <w:p w14:paraId="46CF8DD4" w14:textId="77777777" w:rsidR="00AC2606" w:rsidRPr="00B86D65" w:rsidRDefault="00AC2606">
            <w:pPr>
              <w:rPr>
                <w:rFonts w:cs="Arial"/>
                <w:sz w:val="20"/>
                <w:szCs w:val="20"/>
              </w:rPr>
            </w:pPr>
            <w:r w:rsidRPr="00B86D65">
              <w:rPr>
                <w:rFonts w:cs="Arial"/>
                <w:sz w:val="20"/>
                <w:szCs w:val="20"/>
                <w:lang w:eastAsia="en-AU"/>
              </w:rPr>
              <w:t>In Shortage from 2021 to 2024</w:t>
            </w:r>
          </w:p>
        </w:tc>
        <w:tc>
          <w:tcPr>
            <w:tcW w:w="1198" w:type="pct"/>
          </w:tcPr>
          <w:p w14:paraId="2380E56B" w14:textId="77777777" w:rsidR="00AC2606" w:rsidRPr="00B86D65" w:rsidRDefault="00AC2606">
            <w:pPr>
              <w:rPr>
                <w:rFonts w:cs="Arial"/>
                <w:sz w:val="20"/>
                <w:szCs w:val="20"/>
              </w:rPr>
            </w:pPr>
            <w:r w:rsidRPr="00B86D65">
              <w:rPr>
                <w:rFonts w:cs="Arial"/>
                <w:sz w:val="20"/>
                <w:szCs w:val="20"/>
                <w:lang w:eastAsia="en-AU"/>
              </w:rPr>
              <w:t>Occupations (No.)</w:t>
            </w:r>
          </w:p>
        </w:tc>
        <w:tc>
          <w:tcPr>
            <w:tcW w:w="1110" w:type="pct"/>
          </w:tcPr>
          <w:p w14:paraId="22EE06D3" w14:textId="77777777" w:rsidR="00AC2606" w:rsidRPr="00B86D65" w:rsidRDefault="00AC2606">
            <w:pPr>
              <w:rPr>
                <w:rFonts w:cs="Arial"/>
                <w:sz w:val="20"/>
                <w:szCs w:val="20"/>
              </w:rPr>
            </w:pPr>
            <w:r w:rsidRPr="00B86D65">
              <w:rPr>
                <w:rFonts w:cs="Arial"/>
                <w:sz w:val="20"/>
                <w:szCs w:val="20"/>
                <w:lang w:eastAsia="en-AU"/>
              </w:rPr>
              <w:t>Occupations (%)</w:t>
            </w:r>
          </w:p>
        </w:tc>
      </w:tr>
      <w:tr w:rsidR="00AC2606" w:rsidRPr="00AC0957" w14:paraId="013CE898" w14:textId="77777777">
        <w:tc>
          <w:tcPr>
            <w:tcW w:w="2692" w:type="pct"/>
          </w:tcPr>
          <w:p w14:paraId="32CA3F94" w14:textId="77777777" w:rsidR="00AC2606" w:rsidRPr="00B86D65" w:rsidRDefault="00AC2606">
            <w:pPr>
              <w:rPr>
                <w:rFonts w:cs="Arial"/>
                <w:sz w:val="20"/>
                <w:szCs w:val="20"/>
              </w:rPr>
            </w:pPr>
            <w:r w:rsidRPr="00B86D65">
              <w:rPr>
                <w:rFonts w:cs="Arial"/>
                <w:sz w:val="20"/>
                <w:szCs w:val="20"/>
                <w:lang w:eastAsia="en-AU"/>
              </w:rPr>
              <w:t>Managers</w:t>
            </w:r>
          </w:p>
        </w:tc>
        <w:tc>
          <w:tcPr>
            <w:tcW w:w="1198" w:type="pct"/>
          </w:tcPr>
          <w:p w14:paraId="13F5EB48" w14:textId="77777777" w:rsidR="00AC2606" w:rsidRPr="00B86D65" w:rsidRDefault="00AC2606">
            <w:pPr>
              <w:jc w:val="right"/>
              <w:rPr>
                <w:rFonts w:cs="Arial"/>
                <w:sz w:val="20"/>
                <w:szCs w:val="20"/>
              </w:rPr>
            </w:pPr>
            <w:r w:rsidRPr="00B86D65">
              <w:rPr>
                <w:rFonts w:cs="Arial"/>
                <w:sz w:val="20"/>
                <w:szCs w:val="20"/>
              </w:rPr>
              <w:t>3</w:t>
            </w:r>
          </w:p>
        </w:tc>
        <w:tc>
          <w:tcPr>
            <w:tcW w:w="1110" w:type="pct"/>
          </w:tcPr>
          <w:p w14:paraId="5C4FECD1" w14:textId="77777777" w:rsidR="00AC2606" w:rsidRPr="00B86D65" w:rsidRDefault="00AC2606">
            <w:pPr>
              <w:jc w:val="right"/>
              <w:rPr>
                <w:rFonts w:cs="Arial"/>
                <w:sz w:val="20"/>
                <w:szCs w:val="20"/>
              </w:rPr>
            </w:pPr>
            <w:r w:rsidRPr="00B86D65">
              <w:rPr>
                <w:rFonts w:cs="Arial"/>
                <w:sz w:val="20"/>
                <w:szCs w:val="20"/>
              </w:rPr>
              <w:t>2</w:t>
            </w:r>
          </w:p>
        </w:tc>
      </w:tr>
      <w:tr w:rsidR="00AC2606" w:rsidRPr="00AC0957" w14:paraId="296FDEF6" w14:textId="77777777">
        <w:trPr>
          <w:cnfStyle w:val="000000010000" w:firstRow="0" w:lastRow="0" w:firstColumn="0" w:lastColumn="0" w:oddVBand="0" w:evenVBand="0" w:oddHBand="0" w:evenHBand="1" w:firstRowFirstColumn="0" w:firstRowLastColumn="0" w:lastRowFirstColumn="0" w:lastRowLastColumn="0"/>
        </w:trPr>
        <w:tc>
          <w:tcPr>
            <w:tcW w:w="2692" w:type="pct"/>
          </w:tcPr>
          <w:p w14:paraId="18B3BA75" w14:textId="77777777" w:rsidR="00AC2606" w:rsidRPr="00B86D65" w:rsidRDefault="00AC2606">
            <w:pPr>
              <w:rPr>
                <w:rFonts w:cs="Arial"/>
                <w:sz w:val="20"/>
                <w:szCs w:val="20"/>
              </w:rPr>
            </w:pPr>
            <w:r w:rsidRPr="00B86D65">
              <w:rPr>
                <w:rFonts w:cs="Arial"/>
                <w:sz w:val="20"/>
                <w:szCs w:val="20"/>
                <w:lang w:eastAsia="en-AU"/>
              </w:rPr>
              <w:t>Professionals</w:t>
            </w:r>
          </w:p>
        </w:tc>
        <w:tc>
          <w:tcPr>
            <w:tcW w:w="1198" w:type="pct"/>
          </w:tcPr>
          <w:p w14:paraId="4204C690" w14:textId="77777777" w:rsidR="00AC2606" w:rsidRPr="00B86D65" w:rsidRDefault="00AC2606">
            <w:pPr>
              <w:jc w:val="right"/>
              <w:rPr>
                <w:rFonts w:cs="Arial"/>
                <w:sz w:val="20"/>
                <w:szCs w:val="20"/>
              </w:rPr>
            </w:pPr>
            <w:r w:rsidRPr="00B86D65">
              <w:rPr>
                <w:rFonts w:cs="Arial"/>
                <w:sz w:val="20"/>
                <w:szCs w:val="20"/>
              </w:rPr>
              <w:t>55</w:t>
            </w:r>
          </w:p>
        </w:tc>
        <w:tc>
          <w:tcPr>
            <w:tcW w:w="1110" w:type="pct"/>
          </w:tcPr>
          <w:p w14:paraId="4C426029" w14:textId="77777777" w:rsidR="00AC2606" w:rsidRPr="00B86D65" w:rsidRDefault="00AC2606">
            <w:pPr>
              <w:jc w:val="right"/>
              <w:rPr>
                <w:rFonts w:cs="Arial"/>
                <w:sz w:val="20"/>
                <w:szCs w:val="20"/>
              </w:rPr>
            </w:pPr>
            <w:r w:rsidRPr="00B86D65">
              <w:rPr>
                <w:rFonts w:cs="Arial"/>
                <w:sz w:val="20"/>
                <w:szCs w:val="20"/>
              </w:rPr>
              <w:t>40</w:t>
            </w:r>
          </w:p>
        </w:tc>
      </w:tr>
      <w:tr w:rsidR="00AC2606" w:rsidRPr="00AC0957" w14:paraId="60A9504A" w14:textId="77777777">
        <w:tc>
          <w:tcPr>
            <w:tcW w:w="2692" w:type="pct"/>
          </w:tcPr>
          <w:p w14:paraId="43C94395" w14:textId="77777777" w:rsidR="00AC2606" w:rsidRPr="00B86D65" w:rsidRDefault="00AC2606">
            <w:pPr>
              <w:rPr>
                <w:rFonts w:cs="Arial"/>
                <w:sz w:val="20"/>
                <w:szCs w:val="20"/>
              </w:rPr>
            </w:pPr>
            <w:r w:rsidRPr="00B86D65">
              <w:rPr>
                <w:rFonts w:cs="Arial"/>
                <w:sz w:val="20"/>
                <w:szCs w:val="20"/>
                <w:lang w:eastAsia="en-AU"/>
              </w:rPr>
              <w:t>Technicians and Trades Workers</w:t>
            </w:r>
          </w:p>
        </w:tc>
        <w:tc>
          <w:tcPr>
            <w:tcW w:w="1198" w:type="pct"/>
          </w:tcPr>
          <w:p w14:paraId="1B327828" w14:textId="77777777" w:rsidR="00AC2606" w:rsidRPr="00B86D65" w:rsidRDefault="00AC2606">
            <w:pPr>
              <w:jc w:val="right"/>
              <w:rPr>
                <w:rFonts w:cs="Arial"/>
                <w:sz w:val="20"/>
                <w:szCs w:val="20"/>
              </w:rPr>
            </w:pPr>
            <w:r w:rsidRPr="00B86D65">
              <w:rPr>
                <w:rFonts w:cs="Arial"/>
                <w:sz w:val="20"/>
                <w:szCs w:val="20"/>
              </w:rPr>
              <w:t>67</w:t>
            </w:r>
          </w:p>
        </w:tc>
        <w:tc>
          <w:tcPr>
            <w:tcW w:w="1110" w:type="pct"/>
          </w:tcPr>
          <w:p w14:paraId="7A3865E1" w14:textId="77777777" w:rsidR="00AC2606" w:rsidRPr="00B86D65" w:rsidRDefault="00AC2606">
            <w:pPr>
              <w:jc w:val="right"/>
              <w:rPr>
                <w:rFonts w:cs="Arial"/>
                <w:sz w:val="20"/>
                <w:szCs w:val="20"/>
              </w:rPr>
            </w:pPr>
            <w:r w:rsidRPr="00B86D65">
              <w:rPr>
                <w:rFonts w:cs="Arial"/>
                <w:sz w:val="20"/>
                <w:szCs w:val="20"/>
              </w:rPr>
              <w:t>49</w:t>
            </w:r>
          </w:p>
        </w:tc>
      </w:tr>
      <w:tr w:rsidR="00AC2606" w:rsidRPr="00AC0957" w14:paraId="645FCA75" w14:textId="77777777">
        <w:trPr>
          <w:cnfStyle w:val="000000010000" w:firstRow="0" w:lastRow="0" w:firstColumn="0" w:lastColumn="0" w:oddVBand="0" w:evenVBand="0" w:oddHBand="0" w:evenHBand="1" w:firstRowFirstColumn="0" w:firstRowLastColumn="0" w:lastRowFirstColumn="0" w:lastRowLastColumn="0"/>
        </w:trPr>
        <w:tc>
          <w:tcPr>
            <w:tcW w:w="2692" w:type="pct"/>
          </w:tcPr>
          <w:p w14:paraId="5A7A01EB" w14:textId="77777777" w:rsidR="00AC2606" w:rsidRPr="00B86D65" w:rsidRDefault="00AC2606">
            <w:pPr>
              <w:rPr>
                <w:rFonts w:cs="Arial"/>
                <w:sz w:val="20"/>
                <w:szCs w:val="20"/>
              </w:rPr>
            </w:pPr>
            <w:r w:rsidRPr="00B86D65">
              <w:rPr>
                <w:rFonts w:cs="Arial"/>
                <w:sz w:val="20"/>
                <w:szCs w:val="20"/>
                <w:lang w:eastAsia="en-AU"/>
              </w:rPr>
              <w:t>Community and Personal Service Workers</w:t>
            </w:r>
          </w:p>
        </w:tc>
        <w:tc>
          <w:tcPr>
            <w:tcW w:w="1198" w:type="pct"/>
          </w:tcPr>
          <w:p w14:paraId="15A888D0" w14:textId="77777777" w:rsidR="00AC2606" w:rsidRPr="00B86D65" w:rsidRDefault="00AC2606">
            <w:pPr>
              <w:jc w:val="right"/>
              <w:rPr>
                <w:rFonts w:cs="Arial"/>
                <w:sz w:val="20"/>
                <w:szCs w:val="20"/>
              </w:rPr>
            </w:pPr>
            <w:r w:rsidRPr="00B86D65">
              <w:rPr>
                <w:rFonts w:cs="Arial"/>
                <w:sz w:val="20"/>
                <w:szCs w:val="20"/>
              </w:rPr>
              <w:t>4</w:t>
            </w:r>
          </w:p>
        </w:tc>
        <w:tc>
          <w:tcPr>
            <w:tcW w:w="1110" w:type="pct"/>
          </w:tcPr>
          <w:p w14:paraId="7D955160" w14:textId="77777777" w:rsidR="00AC2606" w:rsidRPr="00B86D65" w:rsidRDefault="00AC2606">
            <w:pPr>
              <w:jc w:val="right"/>
              <w:rPr>
                <w:rFonts w:cs="Arial"/>
                <w:sz w:val="20"/>
                <w:szCs w:val="20"/>
              </w:rPr>
            </w:pPr>
            <w:r w:rsidRPr="00B86D65">
              <w:rPr>
                <w:rFonts w:cs="Arial"/>
                <w:sz w:val="20"/>
                <w:szCs w:val="20"/>
              </w:rPr>
              <w:t>3</w:t>
            </w:r>
          </w:p>
        </w:tc>
      </w:tr>
      <w:tr w:rsidR="00AC2606" w:rsidRPr="00AC0957" w14:paraId="1AA6225B" w14:textId="77777777">
        <w:tc>
          <w:tcPr>
            <w:tcW w:w="2692" w:type="pct"/>
          </w:tcPr>
          <w:p w14:paraId="49E6CAA3" w14:textId="77777777" w:rsidR="00AC2606" w:rsidRPr="00B86D65" w:rsidRDefault="00AC2606">
            <w:pPr>
              <w:rPr>
                <w:rFonts w:cs="Arial"/>
                <w:sz w:val="20"/>
                <w:szCs w:val="20"/>
              </w:rPr>
            </w:pPr>
            <w:r w:rsidRPr="00B86D65">
              <w:rPr>
                <w:rFonts w:cs="Arial"/>
                <w:sz w:val="20"/>
                <w:szCs w:val="20"/>
                <w:lang w:eastAsia="en-AU"/>
              </w:rPr>
              <w:t>Machinery Operators and Drivers</w:t>
            </w:r>
          </w:p>
        </w:tc>
        <w:tc>
          <w:tcPr>
            <w:tcW w:w="1198" w:type="pct"/>
          </w:tcPr>
          <w:p w14:paraId="35F8AAC7" w14:textId="77777777" w:rsidR="00AC2606" w:rsidRPr="00B86D65" w:rsidRDefault="00AC2606">
            <w:pPr>
              <w:jc w:val="right"/>
              <w:rPr>
                <w:rFonts w:cs="Arial"/>
                <w:sz w:val="20"/>
                <w:szCs w:val="20"/>
              </w:rPr>
            </w:pPr>
            <w:r w:rsidRPr="00B86D65">
              <w:rPr>
                <w:rFonts w:cs="Arial"/>
                <w:sz w:val="20"/>
                <w:szCs w:val="20"/>
              </w:rPr>
              <w:t>7</w:t>
            </w:r>
          </w:p>
        </w:tc>
        <w:tc>
          <w:tcPr>
            <w:tcW w:w="1110" w:type="pct"/>
          </w:tcPr>
          <w:p w14:paraId="1FBC6CC9" w14:textId="77777777" w:rsidR="00AC2606" w:rsidRPr="00B86D65" w:rsidRDefault="00AC2606">
            <w:pPr>
              <w:jc w:val="right"/>
              <w:rPr>
                <w:rFonts w:cs="Arial"/>
                <w:sz w:val="20"/>
                <w:szCs w:val="20"/>
              </w:rPr>
            </w:pPr>
            <w:r w:rsidRPr="00B86D65">
              <w:rPr>
                <w:rFonts w:cs="Arial"/>
                <w:sz w:val="20"/>
                <w:szCs w:val="20"/>
              </w:rPr>
              <w:t>5</w:t>
            </w:r>
          </w:p>
        </w:tc>
      </w:tr>
      <w:tr w:rsidR="00AC2606" w:rsidRPr="00AC0957" w14:paraId="059FEDE9" w14:textId="77777777">
        <w:trPr>
          <w:cnfStyle w:val="000000010000" w:firstRow="0" w:lastRow="0" w:firstColumn="0" w:lastColumn="0" w:oddVBand="0" w:evenVBand="0" w:oddHBand="0" w:evenHBand="1" w:firstRowFirstColumn="0" w:firstRowLastColumn="0" w:lastRowFirstColumn="0" w:lastRowLastColumn="0"/>
        </w:trPr>
        <w:tc>
          <w:tcPr>
            <w:tcW w:w="2692" w:type="pct"/>
          </w:tcPr>
          <w:p w14:paraId="7280AD89" w14:textId="77777777" w:rsidR="00AC2606" w:rsidRPr="00B86D65" w:rsidRDefault="00AC2606">
            <w:pPr>
              <w:rPr>
                <w:rFonts w:cs="Arial"/>
                <w:sz w:val="20"/>
                <w:szCs w:val="20"/>
              </w:rPr>
            </w:pPr>
            <w:r w:rsidRPr="00B86D65">
              <w:rPr>
                <w:rFonts w:cs="Arial"/>
                <w:b/>
                <w:sz w:val="20"/>
                <w:szCs w:val="20"/>
                <w:lang w:eastAsia="en-AU"/>
              </w:rPr>
              <w:t>All occupations</w:t>
            </w:r>
          </w:p>
        </w:tc>
        <w:tc>
          <w:tcPr>
            <w:tcW w:w="1198" w:type="pct"/>
          </w:tcPr>
          <w:p w14:paraId="4D8E4E9D" w14:textId="77777777" w:rsidR="00AC2606" w:rsidRPr="00B86D65" w:rsidRDefault="00AC2606">
            <w:pPr>
              <w:jc w:val="right"/>
              <w:rPr>
                <w:rFonts w:cs="Arial"/>
                <w:sz w:val="20"/>
                <w:szCs w:val="20"/>
              </w:rPr>
            </w:pPr>
            <w:r w:rsidRPr="00B86D65">
              <w:rPr>
                <w:rFonts w:cs="Arial"/>
                <w:b/>
                <w:sz w:val="20"/>
                <w:szCs w:val="20"/>
              </w:rPr>
              <w:t>136</w:t>
            </w:r>
          </w:p>
        </w:tc>
        <w:tc>
          <w:tcPr>
            <w:tcW w:w="1110" w:type="pct"/>
          </w:tcPr>
          <w:p w14:paraId="676AC1F6" w14:textId="77777777" w:rsidR="00AC2606" w:rsidRPr="00B86D65" w:rsidRDefault="00AC2606">
            <w:pPr>
              <w:jc w:val="right"/>
              <w:rPr>
                <w:rFonts w:cs="Arial"/>
                <w:sz w:val="20"/>
                <w:szCs w:val="20"/>
              </w:rPr>
            </w:pPr>
            <w:r w:rsidRPr="00B86D65">
              <w:rPr>
                <w:rFonts w:cs="Arial"/>
                <w:b/>
                <w:sz w:val="20"/>
                <w:szCs w:val="20"/>
              </w:rPr>
              <w:t>100</w:t>
            </w:r>
          </w:p>
        </w:tc>
      </w:tr>
    </w:tbl>
    <w:p w14:paraId="6376BA91" w14:textId="77777777" w:rsidR="00AC2606" w:rsidRPr="00AC0957" w:rsidRDefault="00AC2606" w:rsidP="00D73E19">
      <w:pPr>
        <w:pStyle w:val="Source"/>
        <w:rPr>
          <w:rFonts w:eastAsiaTheme="minorEastAsia"/>
          <w:sz w:val="22"/>
          <w:szCs w:val="22"/>
        </w:rPr>
      </w:pPr>
      <w:r w:rsidRPr="007A1802">
        <w:t xml:space="preserve">Source: Jobs and </w:t>
      </w:r>
      <w:r w:rsidRPr="00D73E19">
        <w:t>Skills</w:t>
      </w:r>
      <w:r w:rsidRPr="007A1802">
        <w:t xml:space="preserve"> Australia, Occupation Shortage List, 2021–24.</w:t>
      </w:r>
    </w:p>
    <w:p w14:paraId="5CE02BFC" w14:textId="5014BAC5" w:rsidR="00AC2606" w:rsidRPr="00AC0957" w:rsidRDefault="007C16A9" w:rsidP="00D73E19">
      <w:pPr>
        <w:pStyle w:val="Heading3"/>
      </w:pPr>
      <w:bookmarkStart w:id="131" w:name="_Toc179887385"/>
      <w:bookmarkStart w:id="132" w:name="_Toc181371579"/>
      <w:r>
        <w:t xml:space="preserve">Impact of age on </w:t>
      </w:r>
      <w:r w:rsidR="00443F53">
        <w:t>o</w:t>
      </w:r>
      <w:r w:rsidR="00AC2606" w:rsidRPr="00D73E19">
        <w:t>ccupation</w:t>
      </w:r>
      <w:r>
        <w:t xml:space="preserve"> shortage</w:t>
      </w:r>
      <w:r w:rsidR="00AC2606" w:rsidRPr="00D73E19">
        <w:t>s</w:t>
      </w:r>
      <w:bookmarkEnd w:id="131"/>
      <w:bookmarkEnd w:id="132"/>
      <w:r w:rsidR="00AC2606" w:rsidRPr="00AC0957">
        <w:t xml:space="preserve"> </w:t>
      </w:r>
    </w:p>
    <w:p w14:paraId="2752B1BE" w14:textId="3E624FCF" w:rsidR="00344295" w:rsidRPr="00344295" w:rsidRDefault="00344295" w:rsidP="00344295">
      <w:r w:rsidRPr="00344295">
        <w:t>Analysis of the age composition of the workforce can help explain the role of inclusion of older workers in skills shortages</w:t>
      </w:r>
      <w:sdt>
        <w:sdtPr>
          <w:id w:val="1770187341"/>
          <w:citation/>
        </w:sdtPr>
        <w:sdtEndPr/>
        <w:sdtContent>
          <w:r w:rsidR="003B489D">
            <w:fldChar w:fldCharType="begin"/>
          </w:r>
          <w:r w:rsidR="00E52B87">
            <w:instrText xml:space="preserve">CITATION Job4e \l 3081 </w:instrText>
          </w:r>
          <w:r w:rsidR="003B489D">
            <w:fldChar w:fldCharType="separate"/>
          </w:r>
          <w:r w:rsidR="00CA3587">
            <w:rPr>
              <w:noProof/>
            </w:rPr>
            <w:t xml:space="preserve"> (Jobs and Skills Australia, 2024b)</w:t>
          </w:r>
          <w:r w:rsidR="003B489D">
            <w:fldChar w:fldCharType="end"/>
          </w:r>
        </w:sdtContent>
      </w:sdt>
      <w:r w:rsidRPr="00344295">
        <w:t xml:space="preserve">. </w:t>
      </w:r>
      <w:r w:rsidR="00FE2FC3">
        <w:fldChar w:fldCharType="begin"/>
      </w:r>
      <w:r w:rsidR="00FE2FC3">
        <w:instrText xml:space="preserve"> REF _Ref178680195 \h </w:instrText>
      </w:r>
      <w:r w:rsidR="00FE2FC3">
        <w:fldChar w:fldCharType="separate"/>
      </w:r>
      <w:r w:rsidR="00C47A81" w:rsidRPr="008A59DB">
        <w:t xml:space="preserve">Figure </w:t>
      </w:r>
      <w:r w:rsidR="00C47A81">
        <w:rPr>
          <w:noProof/>
        </w:rPr>
        <w:t>28</w:t>
      </w:r>
      <w:r w:rsidR="00FE2FC3">
        <w:fldChar w:fldCharType="end"/>
      </w:r>
      <w:r w:rsidR="00FE2FC3">
        <w:t xml:space="preserve"> </w:t>
      </w:r>
      <w:r w:rsidRPr="00344295">
        <w:t xml:space="preserve">shows the percentage of occupations in shortage, by the composition of mature aged workers (aged 55 or older). Each occupation has been categorised into 1 of 3 groups: </w:t>
      </w:r>
    </w:p>
    <w:p w14:paraId="2A798CD5" w14:textId="77777777" w:rsidR="00344295" w:rsidRPr="00344295" w:rsidRDefault="00344295" w:rsidP="00344295">
      <w:pPr>
        <w:pStyle w:val="ListBullet"/>
      </w:pPr>
      <w:r w:rsidRPr="00344295">
        <w:t xml:space="preserve">less than 10% of mature aged workers </w:t>
      </w:r>
    </w:p>
    <w:p w14:paraId="141C93CF" w14:textId="77777777" w:rsidR="00344295" w:rsidRPr="00344295" w:rsidRDefault="00344295" w:rsidP="00344295">
      <w:pPr>
        <w:pStyle w:val="ListBullet"/>
      </w:pPr>
      <w:r w:rsidRPr="00344295">
        <w:t xml:space="preserve">between 10% and 30% of mature aged workers </w:t>
      </w:r>
    </w:p>
    <w:p w14:paraId="79304666" w14:textId="6F8681AD" w:rsidR="00AC2606" w:rsidRPr="00344295" w:rsidRDefault="00344295" w:rsidP="00344295">
      <w:pPr>
        <w:pStyle w:val="ListBullet"/>
      </w:pPr>
      <w:r w:rsidRPr="00344295">
        <w:t xml:space="preserve">more than 30% of mature aged </w:t>
      </w:r>
      <w:r w:rsidRPr="00464AD5">
        <w:t>workers</w:t>
      </w:r>
      <w:r w:rsidRPr="00344295">
        <w:t>.</w:t>
      </w:r>
    </w:p>
    <w:p w14:paraId="4C09ACE1" w14:textId="01FBEA42" w:rsidR="00AC2606" w:rsidRDefault="00AC2606" w:rsidP="00AC2606">
      <w:pPr>
        <w:pStyle w:val="Caption"/>
      </w:pPr>
      <w:bookmarkStart w:id="133" w:name="_Ref178680195"/>
      <w:bookmarkStart w:id="134" w:name="_Ref176193024"/>
      <w:bookmarkStart w:id="135" w:name="_Ref175140158"/>
      <w:bookmarkStart w:id="136" w:name="_Toc177116717"/>
      <w:bookmarkStart w:id="137" w:name="_Toc181370330"/>
      <w:r w:rsidRPr="008A59DB">
        <w:t xml:space="preserve">Figure </w:t>
      </w:r>
      <w:r w:rsidR="003F02BF" w:rsidRPr="008A59DB">
        <w:fldChar w:fldCharType="begin"/>
      </w:r>
      <w:r w:rsidR="003F02BF" w:rsidRPr="008A59DB">
        <w:instrText xml:space="preserve"> SEQ Figure \* ARABIC </w:instrText>
      </w:r>
      <w:r w:rsidR="003F02BF" w:rsidRPr="008A59DB">
        <w:fldChar w:fldCharType="separate"/>
      </w:r>
      <w:r w:rsidR="00C47A81">
        <w:rPr>
          <w:noProof/>
        </w:rPr>
        <w:t>28</w:t>
      </w:r>
      <w:r w:rsidR="003F02BF" w:rsidRPr="008A59DB">
        <w:fldChar w:fldCharType="end"/>
      </w:r>
      <w:bookmarkEnd w:id="133"/>
      <w:bookmarkEnd w:id="134"/>
      <w:bookmarkEnd w:id="135"/>
      <w:r w:rsidRPr="008A59DB">
        <w:t xml:space="preserve">: Percentage of occupations in </w:t>
      </w:r>
      <w:r w:rsidR="000534F4">
        <w:t>s</w:t>
      </w:r>
      <w:r w:rsidRPr="008A59DB">
        <w:t>hortage (%), by mature age worker composition, 2021-202</w:t>
      </w:r>
      <w:bookmarkEnd w:id="136"/>
      <w:r w:rsidRPr="008A59DB">
        <w:t>4</w:t>
      </w:r>
      <w:bookmarkEnd w:id="137"/>
    </w:p>
    <w:p w14:paraId="1BFF37C5" w14:textId="61FB8510" w:rsidR="008A59DB" w:rsidRPr="008A59DB" w:rsidRDefault="00EA45A7" w:rsidP="008A59DB">
      <w:r>
        <w:rPr>
          <w:noProof/>
        </w:rPr>
        <w:drawing>
          <wp:inline distT="0" distB="0" distL="0" distR="0" wp14:anchorId="2F007D23" wp14:editId="1BB407CB">
            <wp:extent cx="5698800" cy="2750400"/>
            <wp:effectExtent l="0" t="0" r="0" b="0"/>
            <wp:docPr id="1903606299" name="Picture 48" descr="This shows the percentage of  occupations that were in shortage by mature age worker composition in 2021-2024 OSLs. In 2024, 19% of occupations with at least 30% of mature aged workers were in shortage, whereas 36% and 44% of occupations were in shortage when workers were 10-30% and less than 10% of the workforce, respective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606299" name="Picture 48" descr="This shows the percentage of  occupations that were in shortage by mature age worker composition in 2021-2024 OSLs. In 2024, 19% of occupations with at least 30% of mature aged workers were in shortage, whereas 36% and 44% of occupations were in shortage when workers were 10-30% and less than 10% of the workforce, respectively. "/>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98800" cy="2750400"/>
                    </a:xfrm>
                    <a:prstGeom prst="rect">
                      <a:avLst/>
                    </a:prstGeom>
                    <a:noFill/>
                  </pic:spPr>
                </pic:pic>
              </a:graphicData>
            </a:graphic>
          </wp:inline>
        </w:drawing>
      </w:r>
    </w:p>
    <w:p w14:paraId="10EB2FA6" w14:textId="77777777" w:rsidR="00AC2606" w:rsidRPr="007A1802" w:rsidRDefault="00AC2606" w:rsidP="00D73E19">
      <w:pPr>
        <w:pStyle w:val="Source"/>
      </w:pPr>
      <w:r w:rsidRPr="007A1802">
        <w:t>Source: Jobs and Skills Australia, Occupation Shortage List, 2021–24; ABS, 2021 Census of Population and Housing.</w:t>
      </w:r>
    </w:p>
    <w:p w14:paraId="731475F4" w14:textId="5A61E746" w:rsidR="000534F4" w:rsidRPr="000534F4" w:rsidRDefault="000534F4" w:rsidP="000534F4">
      <w:pPr>
        <w:rPr>
          <w:rFonts w:cs="Arial"/>
        </w:rPr>
      </w:pPr>
      <w:r>
        <w:rPr>
          <w:rFonts w:cs="Arial"/>
        </w:rPr>
        <w:fldChar w:fldCharType="begin"/>
      </w:r>
      <w:r>
        <w:rPr>
          <w:rFonts w:cs="Arial"/>
        </w:rPr>
        <w:instrText xml:space="preserve"> REF _Ref178680195 \h </w:instrText>
      </w:r>
      <w:r>
        <w:rPr>
          <w:rFonts w:cs="Arial"/>
        </w:rPr>
      </w:r>
      <w:r>
        <w:rPr>
          <w:rFonts w:cs="Arial"/>
        </w:rPr>
        <w:fldChar w:fldCharType="separate"/>
      </w:r>
      <w:r w:rsidR="00C47A81" w:rsidRPr="008A59DB">
        <w:t xml:space="preserve">Figure </w:t>
      </w:r>
      <w:r w:rsidR="00C47A81">
        <w:rPr>
          <w:noProof/>
        </w:rPr>
        <w:t>28</w:t>
      </w:r>
      <w:r>
        <w:rPr>
          <w:rFonts w:cs="Arial"/>
        </w:rPr>
        <w:fldChar w:fldCharType="end"/>
      </w:r>
      <w:r>
        <w:rPr>
          <w:rFonts w:cs="Arial"/>
        </w:rPr>
        <w:t xml:space="preserve"> </w:t>
      </w:r>
      <w:r w:rsidRPr="000534F4">
        <w:rPr>
          <w:rFonts w:cs="Arial"/>
        </w:rPr>
        <w:t xml:space="preserve">implies that an occupation that has a larger proportion of its workforce aged 55 years or older were less likely to have a shortage rating. </w:t>
      </w:r>
    </w:p>
    <w:p w14:paraId="72FE0913" w14:textId="77777777" w:rsidR="000534F4" w:rsidRPr="000534F4" w:rsidRDefault="000534F4" w:rsidP="00A12218">
      <w:pPr>
        <w:pStyle w:val="ListBullet"/>
      </w:pPr>
      <w:r w:rsidRPr="000534F4">
        <w:t>For occupations with at least 30% of workers aged 55 and above, 19% were in shortage.</w:t>
      </w:r>
    </w:p>
    <w:p w14:paraId="16AF0C6D" w14:textId="77777777" w:rsidR="000534F4" w:rsidRPr="000534F4" w:rsidRDefault="000534F4" w:rsidP="00A12218">
      <w:pPr>
        <w:pStyle w:val="ListBullet"/>
      </w:pPr>
      <w:r w:rsidRPr="000534F4">
        <w:t>For occupations with no more than 10% of workers aged 55 and above, 44% were in shortage.</w:t>
      </w:r>
    </w:p>
    <w:p w14:paraId="20D4FCA9" w14:textId="4436C9B1" w:rsidR="00AC2606" w:rsidRPr="00AC0957" w:rsidRDefault="000534F4" w:rsidP="00AC2606">
      <w:pPr>
        <w:rPr>
          <w:rFonts w:cs="Arial"/>
        </w:rPr>
      </w:pPr>
      <w:r w:rsidRPr="000534F4">
        <w:rPr>
          <w:rFonts w:cs="Arial"/>
        </w:rPr>
        <w:t xml:space="preserve">The above results points to the importance of age-inclusiveness in employment particularly in an ageing population as increasing employment for older workers may help to alleviate occupations in </w:t>
      </w:r>
      <w:r w:rsidRPr="007C5070">
        <w:rPr>
          <w:rFonts w:cs="Arial"/>
        </w:rPr>
        <w:t>shortage</w:t>
      </w:r>
      <w:r w:rsidR="00AC2606" w:rsidRPr="007C5070">
        <w:rPr>
          <w:rFonts w:cs="Arial"/>
        </w:rPr>
        <w:t>.</w:t>
      </w:r>
    </w:p>
    <w:p w14:paraId="25EDA634" w14:textId="10BD94C9" w:rsidR="00AC2606" w:rsidRPr="00AC0957" w:rsidRDefault="00AC2606" w:rsidP="00D73E19">
      <w:pPr>
        <w:pStyle w:val="Heading3"/>
      </w:pPr>
      <w:bookmarkStart w:id="138" w:name="_Toc179887386"/>
      <w:bookmarkStart w:id="139" w:name="_Toc181371580"/>
      <w:r w:rsidRPr="00AC0957">
        <w:t>Occupation shortage drivers</w:t>
      </w:r>
      <w:bookmarkEnd w:id="138"/>
      <w:bookmarkEnd w:id="139"/>
    </w:p>
    <w:p w14:paraId="3502FCF3" w14:textId="77777777" w:rsidR="002705D7" w:rsidRPr="002705D7" w:rsidRDefault="002705D7" w:rsidP="002705D7">
      <w:pPr>
        <w:rPr>
          <w:rFonts w:cs="Arial"/>
        </w:rPr>
      </w:pPr>
      <w:r w:rsidRPr="002705D7">
        <w:rPr>
          <w:rFonts w:cs="Arial"/>
        </w:rPr>
        <w:t xml:space="preserve">Analysis of the driving factors for shortage of relevant occupations can help industries, employers and policy makers to identify barriers to recruitment and possible interventions. </w:t>
      </w:r>
    </w:p>
    <w:p w14:paraId="4EAEB54B" w14:textId="714FF13F" w:rsidR="002705D7" w:rsidRPr="002705D7" w:rsidRDefault="002705D7" w:rsidP="002705D7">
      <w:pPr>
        <w:rPr>
          <w:rFonts w:cs="Arial"/>
        </w:rPr>
      </w:pPr>
      <w:r w:rsidRPr="002705D7">
        <w:rPr>
          <w:rFonts w:cs="Arial"/>
        </w:rPr>
        <w:t xml:space="preserve">JSA’s Occupation Shortage Drivers (OSD) is a classification of occupation shortages into 4 types, based on the most likely cause of the shortage. The 4 types were based on data from the </w:t>
      </w:r>
      <w:r w:rsidRPr="000A2684">
        <w:rPr>
          <w:rFonts w:cs="Arial"/>
          <w:i/>
          <w:iCs/>
        </w:rPr>
        <w:t>Survey of Employers who have Recently Advertised</w:t>
      </w:r>
      <w:r w:rsidRPr="002705D7">
        <w:rPr>
          <w:rFonts w:cs="Arial"/>
        </w:rPr>
        <w:t xml:space="preserve"> (SERA). The categorisation was based on a typology published by Sue Richardson</w:t>
      </w:r>
      <w:sdt>
        <w:sdtPr>
          <w:rPr>
            <w:rFonts w:cs="Arial"/>
          </w:rPr>
          <w:id w:val="1707606639"/>
          <w:citation/>
        </w:sdtPr>
        <w:sdtEndPr/>
        <w:sdtContent>
          <w:r w:rsidR="00584500">
            <w:rPr>
              <w:rFonts w:cs="Arial"/>
            </w:rPr>
            <w:fldChar w:fldCharType="begin"/>
          </w:r>
          <w:r w:rsidR="00584500">
            <w:rPr>
              <w:rFonts w:cs="Arial"/>
            </w:rPr>
            <w:instrText xml:space="preserve"> CITATION Ric07 \l 3081 </w:instrText>
          </w:r>
          <w:r w:rsidR="00584500">
            <w:rPr>
              <w:rFonts w:cs="Arial"/>
            </w:rPr>
            <w:fldChar w:fldCharType="separate"/>
          </w:r>
          <w:r w:rsidR="00CA3587">
            <w:rPr>
              <w:rFonts w:cs="Arial"/>
              <w:noProof/>
            </w:rPr>
            <w:t xml:space="preserve"> </w:t>
          </w:r>
          <w:r w:rsidR="00CA3587" w:rsidRPr="00CA3587">
            <w:rPr>
              <w:rFonts w:cs="Arial"/>
              <w:noProof/>
            </w:rPr>
            <w:t>(Richardson, 2007)</w:t>
          </w:r>
          <w:r w:rsidR="00584500">
            <w:rPr>
              <w:rFonts w:cs="Arial"/>
            </w:rPr>
            <w:fldChar w:fldCharType="end"/>
          </w:r>
        </w:sdtContent>
      </w:sdt>
      <w:r w:rsidRPr="002705D7">
        <w:rPr>
          <w:rFonts w:cs="Arial"/>
        </w:rPr>
        <w:t xml:space="preserve"> (</w:t>
      </w:r>
      <w:r w:rsidR="00584500">
        <w:rPr>
          <w:rFonts w:cs="Arial"/>
        </w:rPr>
        <w:fldChar w:fldCharType="begin"/>
      </w:r>
      <w:r w:rsidR="00584500">
        <w:rPr>
          <w:rFonts w:cs="Arial"/>
        </w:rPr>
        <w:instrText xml:space="preserve"> REF _Ref179897709 \h </w:instrText>
      </w:r>
      <w:r w:rsidR="00584500">
        <w:rPr>
          <w:rFonts w:cs="Arial"/>
        </w:rPr>
      </w:r>
      <w:r w:rsidR="00584500">
        <w:rPr>
          <w:rFonts w:cs="Arial"/>
        </w:rPr>
        <w:fldChar w:fldCharType="separate"/>
      </w:r>
      <w:r w:rsidR="00C47A81">
        <w:t xml:space="preserve">Table </w:t>
      </w:r>
      <w:r w:rsidR="00C47A81">
        <w:rPr>
          <w:noProof/>
        </w:rPr>
        <w:t>5</w:t>
      </w:r>
      <w:r w:rsidR="00584500">
        <w:rPr>
          <w:rFonts w:cs="Arial"/>
        </w:rPr>
        <w:fldChar w:fldCharType="end"/>
      </w:r>
      <w:r w:rsidRPr="002705D7">
        <w:rPr>
          <w:rFonts w:cs="Arial"/>
        </w:rPr>
        <w:t>).</w:t>
      </w:r>
    </w:p>
    <w:p w14:paraId="03452646" w14:textId="6CA2FCBC" w:rsidR="00AC2606" w:rsidRPr="00AC0957" w:rsidRDefault="002705D7" w:rsidP="002705D7">
      <w:pPr>
        <w:rPr>
          <w:rFonts w:cs="Arial"/>
        </w:rPr>
      </w:pPr>
      <w:r w:rsidRPr="002705D7">
        <w:rPr>
          <w:rFonts w:cs="Arial"/>
        </w:rPr>
        <w:t xml:space="preserve">The categorisation was first introduced in the inaugural 2023 Jobs and Skills Report, </w:t>
      </w:r>
      <w:r w:rsidRPr="000A2684">
        <w:rPr>
          <w:rFonts w:cs="Arial"/>
          <w:i/>
          <w:iCs/>
        </w:rPr>
        <w:t>Towards a National Jobs and Skills Roadmap</w:t>
      </w:r>
      <w:r w:rsidRPr="002705D7">
        <w:rPr>
          <w:rFonts w:cs="Arial"/>
        </w:rPr>
        <w:t>. As the OSD database grows over the coming years, the data will enable researchers and policy makers to identify whether occupations in shortage are driven by one factor, consistently, or multiple factors due to changing economic conditions. This insight may further inform the development of targeted labour market and training policies and programs. Analysis of the shortage drivers of occupations was undertaken at the ANZSCO unit group level</w:t>
      </w:r>
      <w:r w:rsidR="008F49CA">
        <w:rPr>
          <w:rStyle w:val="FootnoteReference"/>
          <w:rFonts w:cs="Arial"/>
        </w:rPr>
        <w:footnoteReference w:id="20"/>
      </w:r>
      <w:r w:rsidRPr="002705D7">
        <w:rPr>
          <w:rFonts w:cs="Arial"/>
        </w:rPr>
        <w:t>.</w:t>
      </w:r>
      <w:r w:rsidR="008C52B1">
        <w:rPr>
          <w:rFonts w:cs="Arial"/>
        </w:rPr>
        <w:t xml:space="preserve"> </w:t>
      </w:r>
      <w:r w:rsidRPr="002705D7">
        <w:rPr>
          <w:rFonts w:cs="Arial"/>
        </w:rPr>
        <w:t>To do this, a unit group version of the OSL was first created</w:t>
      </w:r>
      <w:r w:rsidR="00AC2606" w:rsidRPr="00AC0957">
        <w:rPr>
          <w:rFonts w:cs="Arial"/>
        </w:rPr>
        <w:t>.</w:t>
      </w:r>
      <w:r w:rsidR="00AC2606" w:rsidRPr="00AC0957">
        <w:rPr>
          <w:rStyle w:val="FootnoteReference"/>
          <w:rFonts w:cs="Arial"/>
        </w:rPr>
        <w:footnoteReference w:id="21"/>
      </w:r>
    </w:p>
    <w:p w14:paraId="0A2453CC" w14:textId="61BF2A5F" w:rsidR="007A1802" w:rsidRDefault="007A1802" w:rsidP="00E307AB">
      <w:pPr>
        <w:pStyle w:val="Caption"/>
        <w:spacing w:before="0"/>
      </w:pPr>
      <w:bookmarkStart w:id="140" w:name="_Ref179897709"/>
      <w:r>
        <w:t xml:space="preserve">Table </w:t>
      </w:r>
      <w:r>
        <w:fldChar w:fldCharType="begin"/>
      </w:r>
      <w:r>
        <w:instrText xml:space="preserve"> SEQ Table \* ARABIC </w:instrText>
      </w:r>
      <w:r>
        <w:fldChar w:fldCharType="separate"/>
      </w:r>
      <w:r w:rsidR="00C47A81">
        <w:rPr>
          <w:noProof/>
        </w:rPr>
        <w:t>5</w:t>
      </w:r>
      <w:r>
        <w:fldChar w:fldCharType="end"/>
      </w:r>
      <w:bookmarkEnd w:id="140"/>
      <w:r>
        <w:t xml:space="preserve">: </w:t>
      </w:r>
      <w:r w:rsidRPr="00260421">
        <w:t>Richardson’s occupation shortage classifications</w:t>
      </w:r>
    </w:p>
    <w:tbl>
      <w:tblPr>
        <w:tblStyle w:val="JSATable1"/>
        <w:tblW w:w="5000" w:type="pct"/>
        <w:tblBorders>
          <w:bottom w:val="none" w:sz="0" w:space="0" w:color="auto"/>
        </w:tblBorders>
        <w:tblLayout w:type="fixed"/>
        <w:tblLook w:val="04A0" w:firstRow="1" w:lastRow="0" w:firstColumn="1" w:lastColumn="0" w:noHBand="0" w:noVBand="1"/>
        <w:tblCaption w:val="Richardson's occupation shortage classification"/>
        <w:tblDescription w:val="This table shows the definition of shortage classifications outlined in Richardson’s typology (level 1 shortage, level 2 shortage, quality gap and skills mismatch)."/>
      </w:tblPr>
      <w:tblGrid>
        <w:gridCol w:w="2127"/>
        <w:gridCol w:w="6899"/>
      </w:tblGrid>
      <w:tr w:rsidR="00AC2606" w:rsidRPr="00AC0957" w14:paraId="167EC929" w14:textId="77777777">
        <w:trPr>
          <w:cnfStyle w:val="100000000000" w:firstRow="1" w:lastRow="0" w:firstColumn="0" w:lastColumn="0" w:oddVBand="0" w:evenVBand="0" w:oddHBand="0" w:evenHBand="0" w:firstRowFirstColumn="0" w:firstRowLastColumn="0" w:lastRowFirstColumn="0" w:lastRowLastColumn="0"/>
          <w:trHeight w:val="432"/>
        </w:trPr>
        <w:tc>
          <w:tcPr>
            <w:tcW w:w="1178" w:type="pct"/>
            <w:noWrap/>
            <w:hideMark/>
          </w:tcPr>
          <w:p w14:paraId="5BCA1F51" w14:textId="77777777" w:rsidR="00AC2606" w:rsidRPr="00B86D65" w:rsidRDefault="00AC2606">
            <w:pPr>
              <w:rPr>
                <w:rFonts w:cs="Arial"/>
                <w:sz w:val="20"/>
                <w:szCs w:val="20"/>
                <w:lang w:eastAsia="en-AU"/>
              </w:rPr>
            </w:pPr>
            <w:r w:rsidRPr="00B86D65">
              <w:rPr>
                <w:rFonts w:cs="Arial"/>
                <w:sz w:val="20"/>
                <w:szCs w:val="20"/>
              </w:rPr>
              <w:t>Classification</w:t>
            </w:r>
          </w:p>
        </w:tc>
        <w:tc>
          <w:tcPr>
            <w:tcW w:w="3822" w:type="pct"/>
            <w:hideMark/>
          </w:tcPr>
          <w:p w14:paraId="74204EDF" w14:textId="77777777" w:rsidR="00AC2606" w:rsidRPr="00B86D65" w:rsidRDefault="00AC2606">
            <w:pPr>
              <w:rPr>
                <w:rFonts w:cs="Arial"/>
                <w:sz w:val="20"/>
                <w:szCs w:val="20"/>
                <w:lang w:eastAsia="en-AU"/>
              </w:rPr>
            </w:pPr>
            <w:r w:rsidRPr="00B86D65">
              <w:rPr>
                <w:rFonts w:cs="Arial"/>
                <w:sz w:val="20"/>
                <w:szCs w:val="20"/>
              </w:rPr>
              <w:t>Definition</w:t>
            </w:r>
          </w:p>
        </w:tc>
      </w:tr>
      <w:tr w:rsidR="00AC2606" w:rsidRPr="00AC0957" w14:paraId="6DCE990E" w14:textId="77777777">
        <w:trPr>
          <w:trHeight w:val="291"/>
        </w:trPr>
        <w:tc>
          <w:tcPr>
            <w:tcW w:w="1178" w:type="pct"/>
            <w:noWrap/>
          </w:tcPr>
          <w:p w14:paraId="18F7DF05" w14:textId="77777777" w:rsidR="00AC2606" w:rsidRPr="00B86D65" w:rsidRDefault="00AC2606">
            <w:pPr>
              <w:rPr>
                <w:rFonts w:cs="Arial"/>
                <w:b/>
                <w:bCs/>
                <w:sz w:val="20"/>
                <w:szCs w:val="20"/>
                <w:lang w:eastAsia="en-AU"/>
              </w:rPr>
            </w:pPr>
            <w:r w:rsidRPr="00B86D65">
              <w:rPr>
                <w:rFonts w:cs="Arial"/>
                <w:b/>
                <w:bCs/>
                <w:sz w:val="20"/>
                <w:szCs w:val="20"/>
              </w:rPr>
              <w:t>Level 1 shortage</w:t>
            </w:r>
          </w:p>
        </w:tc>
        <w:tc>
          <w:tcPr>
            <w:tcW w:w="3822" w:type="pct"/>
            <w:noWrap/>
          </w:tcPr>
          <w:p w14:paraId="78339456" w14:textId="77777777" w:rsidR="00AC2606" w:rsidRPr="00B86D65" w:rsidRDefault="00AC2606">
            <w:pPr>
              <w:rPr>
                <w:rFonts w:cs="Arial"/>
                <w:sz w:val="20"/>
                <w:szCs w:val="20"/>
                <w:lang w:eastAsia="en-AU"/>
              </w:rPr>
            </w:pPr>
            <w:r w:rsidRPr="00B86D65">
              <w:rPr>
                <w:rFonts w:cs="Arial"/>
                <w:sz w:val="20"/>
                <w:szCs w:val="20"/>
              </w:rPr>
              <w:t>Only a few people have the essential technical skills and there is a long training time for development.</w:t>
            </w:r>
          </w:p>
        </w:tc>
      </w:tr>
      <w:tr w:rsidR="00AC2606" w:rsidRPr="00AC0957" w14:paraId="3E0AB3A8" w14:textId="77777777">
        <w:trPr>
          <w:cnfStyle w:val="000000010000" w:firstRow="0" w:lastRow="0" w:firstColumn="0" w:lastColumn="0" w:oddVBand="0" w:evenVBand="0" w:oddHBand="0" w:evenHBand="1" w:firstRowFirstColumn="0" w:firstRowLastColumn="0" w:lastRowFirstColumn="0" w:lastRowLastColumn="0"/>
          <w:trHeight w:val="291"/>
        </w:trPr>
        <w:tc>
          <w:tcPr>
            <w:tcW w:w="1178" w:type="pct"/>
            <w:noWrap/>
          </w:tcPr>
          <w:p w14:paraId="29D2AAFE" w14:textId="77777777" w:rsidR="00AC2606" w:rsidRPr="00B86D65" w:rsidRDefault="00AC2606">
            <w:pPr>
              <w:rPr>
                <w:rFonts w:cs="Arial"/>
                <w:b/>
                <w:bCs/>
                <w:sz w:val="20"/>
                <w:szCs w:val="20"/>
                <w:lang w:eastAsia="en-AU"/>
              </w:rPr>
            </w:pPr>
            <w:r w:rsidRPr="00B86D65">
              <w:rPr>
                <w:rFonts w:cs="Arial"/>
                <w:b/>
                <w:bCs/>
                <w:sz w:val="20"/>
                <w:szCs w:val="20"/>
              </w:rPr>
              <w:t>Level 2 shortage</w:t>
            </w:r>
          </w:p>
        </w:tc>
        <w:tc>
          <w:tcPr>
            <w:tcW w:w="3822" w:type="pct"/>
            <w:noWrap/>
          </w:tcPr>
          <w:p w14:paraId="11F6A453" w14:textId="77777777" w:rsidR="00AC2606" w:rsidRPr="00B86D65" w:rsidRDefault="00AC2606">
            <w:pPr>
              <w:rPr>
                <w:rFonts w:cs="Arial"/>
                <w:sz w:val="20"/>
                <w:szCs w:val="20"/>
                <w:lang w:eastAsia="en-AU"/>
              </w:rPr>
            </w:pPr>
            <w:r w:rsidRPr="00B86D65">
              <w:rPr>
                <w:rFonts w:cs="Arial"/>
                <w:sz w:val="20"/>
                <w:szCs w:val="20"/>
              </w:rPr>
              <w:t>Only a few people have the essential technical skills and there is a short training time for development.</w:t>
            </w:r>
          </w:p>
        </w:tc>
      </w:tr>
      <w:tr w:rsidR="00AC2606" w:rsidRPr="00AC0957" w14:paraId="22BEFF00" w14:textId="77777777">
        <w:trPr>
          <w:trHeight w:val="291"/>
        </w:trPr>
        <w:tc>
          <w:tcPr>
            <w:tcW w:w="1178" w:type="pct"/>
            <w:noWrap/>
          </w:tcPr>
          <w:p w14:paraId="3B9B1404" w14:textId="77777777" w:rsidR="00AC2606" w:rsidRPr="00B86D65" w:rsidRDefault="00AC2606">
            <w:pPr>
              <w:rPr>
                <w:rFonts w:cs="Arial"/>
                <w:b/>
                <w:bCs/>
                <w:sz w:val="20"/>
                <w:szCs w:val="20"/>
                <w:lang w:eastAsia="en-AU"/>
              </w:rPr>
            </w:pPr>
            <w:r w:rsidRPr="00B86D65">
              <w:rPr>
                <w:rFonts w:cs="Arial"/>
                <w:b/>
                <w:bCs/>
                <w:sz w:val="20"/>
                <w:szCs w:val="20"/>
              </w:rPr>
              <w:t>Quality gap</w:t>
            </w:r>
          </w:p>
        </w:tc>
        <w:tc>
          <w:tcPr>
            <w:tcW w:w="3822" w:type="pct"/>
            <w:noWrap/>
          </w:tcPr>
          <w:p w14:paraId="475BAB14" w14:textId="77777777" w:rsidR="00AC2606" w:rsidRPr="00B86D65" w:rsidRDefault="00AC2606">
            <w:pPr>
              <w:rPr>
                <w:rFonts w:cs="Arial"/>
                <w:sz w:val="20"/>
                <w:szCs w:val="20"/>
                <w:lang w:eastAsia="en-AU"/>
              </w:rPr>
            </w:pPr>
            <w:r w:rsidRPr="00B86D65">
              <w:rPr>
                <w:rFonts w:cs="Arial"/>
                <w:sz w:val="20"/>
                <w:szCs w:val="20"/>
              </w:rPr>
              <w:t>There are sufficient people with the essential technical skills, but they lack some qualities that employers consider important.</w:t>
            </w:r>
          </w:p>
        </w:tc>
      </w:tr>
      <w:tr w:rsidR="00AC2606" w:rsidRPr="00AC0957" w14:paraId="276AFEC9" w14:textId="77777777">
        <w:trPr>
          <w:cnfStyle w:val="000000010000" w:firstRow="0" w:lastRow="0" w:firstColumn="0" w:lastColumn="0" w:oddVBand="0" w:evenVBand="0" w:oddHBand="0" w:evenHBand="1" w:firstRowFirstColumn="0" w:firstRowLastColumn="0" w:lastRowFirstColumn="0" w:lastRowLastColumn="0"/>
          <w:trHeight w:val="291"/>
        </w:trPr>
        <w:tc>
          <w:tcPr>
            <w:tcW w:w="1178" w:type="pct"/>
            <w:tcBorders>
              <w:bottom w:val="single" w:sz="4" w:space="0" w:color="auto"/>
            </w:tcBorders>
            <w:noWrap/>
            <w:hideMark/>
          </w:tcPr>
          <w:p w14:paraId="14496996" w14:textId="77777777" w:rsidR="00AC2606" w:rsidRPr="00B86D65" w:rsidRDefault="00AC2606">
            <w:pPr>
              <w:rPr>
                <w:rFonts w:cs="Arial"/>
                <w:b/>
                <w:bCs/>
                <w:sz w:val="20"/>
                <w:szCs w:val="20"/>
                <w:lang w:eastAsia="en-AU"/>
              </w:rPr>
            </w:pPr>
            <w:r w:rsidRPr="00B86D65">
              <w:rPr>
                <w:rFonts w:cs="Arial"/>
                <w:b/>
                <w:bCs/>
                <w:sz w:val="20"/>
                <w:szCs w:val="20"/>
              </w:rPr>
              <w:t>Skills mismatch</w:t>
            </w:r>
          </w:p>
        </w:tc>
        <w:tc>
          <w:tcPr>
            <w:tcW w:w="3822" w:type="pct"/>
            <w:tcBorders>
              <w:bottom w:val="single" w:sz="4" w:space="0" w:color="auto"/>
            </w:tcBorders>
            <w:noWrap/>
            <w:hideMark/>
          </w:tcPr>
          <w:p w14:paraId="5F645703" w14:textId="77777777" w:rsidR="00AC2606" w:rsidRPr="00B86D65" w:rsidRDefault="00AC2606">
            <w:pPr>
              <w:rPr>
                <w:rFonts w:cs="Arial"/>
                <w:sz w:val="20"/>
                <w:szCs w:val="20"/>
                <w:lang w:eastAsia="en-AU"/>
              </w:rPr>
            </w:pPr>
            <w:r w:rsidRPr="00B86D65">
              <w:rPr>
                <w:rFonts w:cs="Arial"/>
                <w:sz w:val="20"/>
                <w:szCs w:val="20"/>
              </w:rPr>
              <w:t>There are sufficient people who have the essential technical skills, but they are not willing to apply for the vacancies under current conditions. </w:t>
            </w:r>
          </w:p>
        </w:tc>
      </w:tr>
    </w:tbl>
    <w:p w14:paraId="4EBD1FB0" w14:textId="77777777" w:rsidR="00AC2606" w:rsidRPr="007A1802" w:rsidRDefault="00AC2606" w:rsidP="00D73E19">
      <w:pPr>
        <w:pStyle w:val="Source"/>
      </w:pPr>
      <w:r w:rsidRPr="007A1802">
        <w:t xml:space="preserve">Source: </w:t>
      </w:r>
      <w:r w:rsidRPr="00D73E19">
        <w:t>Richardson</w:t>
      </w:r>
      <w:r w:rsidRPr="007A1802">
        <w:t>, 2007.</w:t>
      </w:r>
    </w:p>
    <w:p w14:paraId="7E997B14" w14:textId="440725D9" w:rsidR="00EA4A1A" w:rsidRDefault="00AC2606" w:rsidP="00DB1D44">
      <w:pPr>
        <w:rPr>
          <w:rFonts w:cs="Arial"/>
        </w:rPr>
      </w:pPr>
      <w:r w:rsidRPr="00966691">
        <w:rPr>
          <w:rFonts w:cs="Arial"/>
        </w:rPr>
        <w:t>Considering R</w:t>
      </w:r>
      <w:r w:rsidRPr="005B7FD3">
        <w:rPr>
          <w:rFonts w:cs="Arial"/>
        </w:rPr>
        <w:t>ichards</w:t>
      </w:r>
      <w:r w:rsidRPr="00966691">
        <w:rPr>
          <w:rFonts w:cs="Arial"/>
        </w:rPr>
        <w:t>on’s typology</w:t>
      </w:r>
      <w:r w:rsidR="00FE6620">
        <w:rPr>
          <w:rFonts w:cs="Arial"/>
        </w:rPr>
        <w:t>,</w:t>
      </w:r>
      <w:r w:rsidRPr="00966691">
        <w:rPr>
          <w:rFonts w:cs="Arial"/>
        </w:rPr>
        <w:t xml:space="preserve"> </w:t>
      </w:r>
      <w:r w:rsidRPr="00966691">
        <w:rPr>
          <w:rFonts w:eastAsia="Times New Roman" w:cs="Arial"/>
          <w:lang w:eastAsia="en-AU"/>
        </w:rPr>
        <w:t>JSA</w:t>
      </w:r>
      <w:r w:rsidRPr="00966691">
        <w:rPr>
          <w:rFonts w:cs="Arial"/>
        </w:rPr>
        <w:t xml:space="preserve"> produced the shortage typology described in</w:t>
      </w:r>
      <w:bookmarkStart w:id="141" w:name="_Ref179897742"/>
      <w:r w:rsidR="00DB1D44">
        <w:rPr>
          <w:rFonts w:cs="Arial"/>
        </w:rPr>
        <w:t xml:space="preserve"> </w:t>
      </w:r>
      <w:r w:rsidR="00E307AB">
        <w:rPr>
          <w:rFonts w:cs="Arial"/>
        </w:rPr>
        <w:br/>
      </w:r>
      <w:r w:rsidR="00DB1D44">
        <w:rPr>
          <w:rFonts w:cs="Arial"/>
        </w:rPr>
        <w:fldChar w:fldCharType="begin"/>
      </w:r>
      <w:r w:rsidR="00DB1D44">
        <w:rPr>
          <w:rFonts w:cs="Arial"/>
        </w:rPr>
        <w:instrText xml:space="preserve"> REF _Ref181119711 \h </w:instrText>
      </w:r>
      <w:r w:rsidR="00DB1D44">
        <w:rPr>
          <w:rFonts w:cs="Arial"/>
        </w:rPr>
      </w:r>
      <w:r w:rsidR="00DB1D44">
        <w:rPr>
          <w:rFonts w:cs="Arial"/>
        </w:rPr>
        <w:fldChar w:fldCharType="separate"/>
      </w:r>
      <w:r w:rsidR="00C47A81">
        <w:t xml:space="preserve">Table </w:t>
      </w:r>
      <w:r w:rsidR="00C47A81">
        <w:rPr>
          <w:noProof/>
        </w:rPr>
        <w:t>6</w:t>
      </w:r>
      <w:r w:rsidR="00DB1D44">
        <w:rPr>
          <w:rFonts w:cs="Arial"/>
        </w:rPr>
        <w:fldChar w:fldCharType="end"/>
      </w:r>
      <w:r w:rsidR="00DB1D44">
        <w:rPr>
          <w:rFonts w:cs="Arial"/>
        </w:rPr>
        <w:t>.</w:t>
      </w:r>
    </w:p>
    <w:p w14:paraId="620A0EC3" w14:textId="524F9276" w:rsidR="007A1802" w:rsidRDefault="007A1802" w:rsidP="007A1802">
      <w:pPr>
        <w:pStyle w:val="Caption"/>
      </w:pPr>
      <w:bookmarkStart w:id="142" w:name="_Ref181119711"/>
      <w:r>
        <w:t xml:space="preserve">Table </w:t>
      </w:r>
      <w:r>
        <w:fldChar w:fldCharType="begin"/>
      </w:r>
      <w:r>
        <w:instrText xml:space="preserve"> SEQ Table \* ARABIC </w:instrText>
      </w:r>
      <w:r>
        <w:fldChar w:fldCharType="separate"/>
      </w:r>
      <w:r w:rsidR="00C47A81">
        <w:rPr>
          <w:noProof/>
        </w:rPr>
        <w:t>6</w:t>
      </w:r>
      <w:r>
        <w:fldChar w:fldCharType="end"/>
      </w:r>
      <w:bookmarkEnd w:id="141"/>
      <w:bookmarkEnd w:id="142"/>
      <w:r>
        <w:t>:</w:t>
      </w:r>
      <w:r w:rsidR="00966691">
        <w:t xml:space="preserve"> </w:t>
      </w:r>
      <w:r w:rsidRPr="00FB4DF1">
        <w:t>Jobs and Skills Australia’s occupation shortage driver typology</w:t>
      </w:r>
    </w:p>
    <w:tbl>
      <w:tblPr>
        <w:tblStyle w:val="JSATable1"/>
        <w:tblW w:w="5000" w:type="pct"/>
        <w:tblBorders>
          <w:bottom w:val="none" w:sz="0" w:space="0" w:color="auto"/>
        </w:tblBorders>
        <w:tblLayout w:type="fixed"/>
        <w:tblLook w:val="04A0" w:firstRow="1" w:lastRow="0" w:firstColumn="1" w:lastColumn="0" w:noHBand="0" w:noVBand="1"/>
        <w:tblCaption w:val="JSA occupation shortage driver typology"/>
        <w:tblDescription w:val="This table shows the definition of shortage driver classifications in JSAs shortage driver typology. Long training gap (few qualified applicants per vacancy and a long training pathway corresponding to cert III or above),  short training gap (few applicants per vacancy and a qualification less than cert III required), suitability gap (enough qualified applicants but they are not regarded as suitable), retention gap (below average rates of retention, potentially reinforced by low numbers of applicants per vacancy) and uncertain/unknown (this may occur when occupations do not satisfy the above definitions or requirements, or there is insufficient quality data to identify the primary driver)."/>
      </w:tblPr>
      <w:tblGrid>
        <w:gridCol w:w="2127"/>
        <w:gridCol w:w="6899"/>
      </w:tblGrid>
      <w:tr w:rsidR="00AC2606" w:rsidRPr="00AC0957" w14:paraId="2C13FDAC" w14:textId="77777777">
        <w:trPr>
          <w:cnfStyle w:val="100000000000" w:firstRow="1" w:lastRow="0" w:firstColumn="0" w:lastColumn="0" w:oddVBand="0" w:evenVBand="0" w:oddHBand="0" w:evenHBand="0" w:firstRowFirstColumn="0" w:firstRowLastColumn="0" w:lastRowFirstColumn="0" w:lastRowLastColumn="0"/>
          <w:trHeight w:val="432"/>
        </w:trPr>
        <w:tc>
          <w:tcPr>
            <w:tcW w:w="1178" w:type="pct"/>
            <w:noWrap/>
            <w:hideMark/>
          </w:tcPr>
          <w:p w14:paraId="7C4D018B" w14:textId="77777777" w:rsidR="00AC2606" w:rsidRPr="00FE6620" w:rsidRDefault="00AC2606">
            <w:pPr>
              <w:rPr>
                <w:rFonts w:cs="Arial"/>
                <w:sz w:val="20"/>
                <w:szCs w:val="20"/>
                <w:lang w:eastAsia="en-AU"/>
              </w:rPr>
            </w:pPr>
            <w:r w:rsidRPr="00FE6620">
              <w:rPr>
                <w:rFonts w:cs="Arial"/>
                <w:sz w:val="20"/>
                <w:szCs w:val="20"/>
              </w:rPr>
              <w:t>Classification</w:t>
            </w:r>
          </w:p>
        </w:tc>
        <w:tc>
          <w:tcPr>
            <w:tcW w:w="3822" w:type="pct"/>
            <w:hideMark/>
          </w:tcPr>
          <w:p w14:paraId="31412ACE" w14:textId="77777777" w:rsidR="00AC2606" w:rsidRPr="00FE6620" w:rsidRDefault="00AC2606">
            <w:pPr>
              <w:rPr>
                <w:rFonts w:cs="Arial"/>
                <w:sz w:val="20"/>
                <w:szCs w:val="20"/>
                <w:lang w:eastAsia="en-AU"/>
              </w:rPr>
            </w:pPr>
            <w:r w:rsidRPr="00FE6620">
              <w:rPr>
                <w:rFonts w:cs="Arial"/>
                <w:sz w:val="20"/>
                <w:szCs w:val="20"/>
              </w:rPr>
              <w:t>Definition</w:t>
            </w:r>
          </w:p>
        </w:tc>
      </w:tr>
      <w:tr w:rsidR="005B2548" w:rsidRPr="00AC0957" w14:paraId="0AEBD118" w14:textId="77777777">
        <w:trPr>
          <w:trHeight w:val="291"/>
        </w:trPr>
        <w:tc>
          <w:tcPr>
            <w:tcW w:w="1178" w:type="pct"/>
            <w:noWrap/>
          </w:tcPr>
          <w:p w14:paraId="15F78B59" w14:textId="77777777" w:rsidR="005B2548" w:rsidRPr="00B86D65" w:rsidRDefault="005B2548" w:rsidP="005B2548">
            <w:pPr>
              <w:rPr>
                <w:rFonts w:cs="Arial"/>
                <w:b/>
                <w:sz w:val="18"/>
                <w:szCs w:val="18"/>
                <w:lang w:eastAsia="en-AU"/>
              </w:rPr>
            </w:pPr>
            <w:r w:rsidRPr="00B86D65">
              <w:rPr>
                <w:rFonts w:cs="Arial"/>
                <w:b/>
                <w:sz w:val="18"/>
                <w:szCs w:val="18"/>
              </w:rPr>
              <w:t>Long training gap</w:t>
            </w:r>
          </w:p>
        </w:tc>
        <w:tc>
          <w:tcPr>
            <w:tcW w:w="3822" w:type="pct"/>
            <w:noWrap/>
          </w:tcPr>
          <w:p w14:paraId="54A9A355" w14:textId="62525B23" w:rsidR="005B2548" w:rsidRPr="00B86D65" w:rsidRDefault="005B2548" w:rsidP="005B2548">
            <w:pPr>
              <w:rPr>
                <w:rFonts w:cs="Arial"/>
                <w:sz w:val="18"/>
                <w:szCs w:val="18"/>
                <w:lang w:eastAsia="en-AU"/>
              </w:rPr>
            </w:pPr>
            <w:r w:rsidRPr="00B86D65">
              <w:rPr>
                <w:sz w:val="18"/>
                <w:szCs w:val="18"/>
              </w:rPr>
              <w:t xml:space="preserve">Analogous to Richardson’s level 1 shortage, a long training gap shortage is defined by few qualified applicants per vacancy and a long training pathway – corresponding to a Certificate III or above. </w:t>
            </w:r>
          </w:p>
        </w:tc>
      </w:tr>
      <w:tr w:rsidR="005B2548" w:rsidRPr="00AC0957" w14:paraId="08921952" w14:textId="77777777">
        <w:trPr>
          <w:cnfStyle w:val="000000010000" w:firstRow="0" w:lastRow="0" w:firstColumn="0" w:lastColumn="0" w:oddVBand="0" w:evenVBand="0" w:oddHBand="0" w:evenHBand="1" w:firstRowFirstColumn="0" w:firstRowLastColumn="0" w:lastRowFirstColumn="0" w:lastRowLastColumn="0"/>
          <w:trHeight w:val="291"/>
        </w:trPr>
        <w:tc>
          <w:tcPr>
            <w:tcW w:w="1178" w:type="pct"/>
            <w:noWrap/>
          </w:tcPr>
          <w:p w14:paraId="13C137B3" w14:textId="77777777" w:rsidR="005B2548" w:rsidRPr="00B86D65" w:rsidRDefault="005B2548" w:rsidP="005B2548">
            <w:pPr>
              <w:rPr>
                <w:rFonts w:cs="Arial"/>
                <w:b/>
                <w:sz w:val="18"/>
                <w:szCs w:val="18"/>
                <w:lang w:eastAsia="en-AU"/>
              </w:rPr>
            </w:pPr>
            <w:r w:rsidRPr="00B86D65">
              <w:rPr>
                <w:rFonts w:cs="Arial"/>
                <w:b/>
                <w:sz w:val="18"/>
                <w:szCs w:val="18"/>
              </w:rPr>
              <w:t>Short training gap</w:t>
            </w:r>
          </w:p>
        </w:tc>
        <w:tc>
          <w:tcPr>
            <w:tcW w:w="3822" w:type="pct"/>
            <w:noWrap/>
          </w:tcPr>
          <w:p w14:paraId="7682876B" w14:textId="089B3C0B" w:rsidR="005B2548" w:rsidRPr="00B86D65" w:rsidRDefault="005B2548" w:rsidP="005B2548">
            <w:pPr>
              <w:rPr>
                <w:rFonts w:cs="Arial"/>
                <w:sz w:val="18"/>
                <w:szCs w:val="18"/>
                <w:lang w:eastAsia="en-AU"/>
              </w:rPr>
            </w:pPr>
            <w:r w:rsidRPr="00B86D65">
              <w:rPr>
                <w:sz w:val="18"/>
                <w:szCs w:val="18"/>
              </w:rPr>
              <w:t>Analogous to Richardson’s level 2 shortage, a short training gap shortage arises when there are few applicants per vacancy and a qualification less than a Certificate III is required.</w:t>
            </w:r>
          </w:p>
        </w:tc>
      </w:tr>
      <w:tr w:rsidR="005B2548" w:rsidRPr="00AC0957" w14:paraId="6583D00E" w14:textId="77777777">
        <w:trPr>
          <w:trHeight w:val="291"/>
        </w:trPr>
        <w:tc>
          <w:tcPr>
            <w:tcW w:w="1178" w:type="pct"/>
            <w:noWrap/>
          </w:tcPr>
          <w:p w14:paraId="67E22598" w14:textId="77777777" w:rsidR="005B2548" w:rsidRPr="00B86D65" w:rsidRDefault="005B2548" w:rsidP="005B2548">
            <w:pPr>
              <w:rPr>
                <w:rFonts w:cs="Arial"/>
                <w:b/>
                <w:sz w:val="18"/>
                <w:szCs w:val="18"/>
                <w:lang w:eastAsia="en-AU"/>
              </w:rPr>
            </w:pPr>
            <w:r w:rsidRPr="00B86D65">
              <w:rPr>
                <w:rFonts w:cs="Arial"/>
                <w:b/>
                <w:sz w:val="18"/>
                <w:szCs w:val="18"/>
              </w:rPr>
              <w:t>Suitability gap</w:t>
            </w:r>
          </w:p>
        </w:tc>
        <w:tc>
          <w:tcPr>
            <w:tcW w:w="3822" w:type="pct"/>
            <w:noWrap/>
          </w:tcPr>
          <w:p w14:paraId="69C92B02" w14:textId="2F4F606F" w:rsidR="005B2548" w:rsidRPr="00B86D65" w:rsidRDefault="005B2548" w:rsidP="005B2548">
            <w:pPr>
              <w:rPr>
                <w:rFonts w:cs="Arial"/>
                <w:sz w:val="18"/>
                <w:szCs w:val="18"/>
                <w:lang w:eastAsia="en-AU"/>
              </w:rPr>
            </w:pPr>
            <w:r w:rsidRPr="00B86D65">
              <w:rPr>
                <w:sz w:val="18"/>
                <w:szCs w:val="18"/>
              </w:rPr>
              <w:t xml:space="preserve">Analogous to Richardson’s quality gap, the suitability gap shortage is where there are enough qualified applicants, but they are not regarded as suitable. </w:t>
            </w:r>
          </w:p>
        </w:tc>
      </w:tr>
      <w:tr w:rsidR="005B2548" w:rsidRPr="00AC0957" w14:paraId="34583BD2" w14:textId="77777777">
        <w:trPr>
          <w:cnfStyle w:val="000000010000" w:firstRow="0" w:lastRow="0" w:firstColumn="0" w:lastColumn="0" w:oddVBand="0" w:evenVBand="0" w:oddHBand="0" w:evenHBand="1" w:firstRowFirstColumn="0" w:firstRowLastColumn="0" w:lastRowFirstColumn="0" w:lastRowLastColumn="0"/>
          <w:trHeight w:val="291"/>
        </w:trPr>
        <w:tc>
          <w:tcPr>
            <w:tcW w:w="1178" w:type="pct"/>
            <w:noWrap/>
            <w:hideMark/>
          </w:tcPr>
          <w:p w14:paraId="0CD18B3F" w14:textId="77777777" w:rsidR="005B2548" w:rsidRPr="00B86D65" w:rsidRDefault="005B2548" w:rsidP="005B2548">
            <w:pPr>
              <w:rPr>
                <w:rFonts w:cs="Arial"/>
                <w:b/>
                <w:sz w:val="18"/>
                <w:szCs w:val="18"/>
                <w:lang w:eastAsia="en-AU"/>
              </w:rPr>
            </w:pPr>
            <w:r w:rsidRPr="00B86D65">
              <w:rPr>
                <w:rFonts w:cs="Arial"/>
                <w:b/>
                <w:sz w:val="18"/>
                <w:szCs w:val="18"/>
              </w:rPr>
              <w:t>Retention gap</w:t>
            </w:r>
          </w:p>
        </w:tc>
        <w:tc>
          <w:tcPr>
            <w:tcW w:w="3822" w:type="pct"/>
            <w:noWrap/>
            <w:hideMark/>
          </w:tcPr>
          <w:p w14:paraId="5DD7A16A" w14:textId="34DF235F" w:rsidR="005B2548" w:rsidRPr="00B86D65" w:rsidRDefault="005B2548" w:rsidP="005B2548">
            <w:pPr>
              <w:rPr>
                <w:rFonts w:cs="Arial"/>
                <w:sz w:val="18"/>
                <w:szCs w:val="18"/>
                <w:lang w:eastAsia="en-AU"/>
              </w:rPr>
            </w:pPr>
            <w:r w:rsidRPr="00B86D65">
              <w:rPr>
                <w:sz w:val="18"/>
                <w:szCs w:val="18"/>
              </w:rPr>
              <w:t xml:space="preserve">Analogous to Richardson’s skills mismatch, a retention gap shortage is where there are below average rates of retention, potentially reinforced by low numbers of new applicants per vacancy. </w:t>
            </w:r>
          </w:p>
        </w:tc>
      </w:tr>
      <w:tr w:rsidR="005B2548" w:rsidRPr="00AC0957" w14:paraId="25E53908" w14:textId="77777777" w:rsidTr="00EA4A1A">
        <w:trPr>
          <w:trHeight w:val="291"/>
        </w:trPr>
        <w:tc>
          <w:tcPr>
            <w:tcW w:w="1178" w:type="pct"/>
            <w:tcBorders>
              <w:bottom w:val="single" w:sz="4" w:space="0" w:color="4B0885" w:themeColor="text2"/>
            </w:tcBorders>
            <w:noWrap/>
          </w:tcPr>
          <w:p w14:paraId="37FBB8BD" w14:textId="77777777" w:rsidR="005B2548" w:rsidRPr="00B86D65" w:rsidRDefault="005B2548" w:rsidP="005B2548">
            <w:pPr>
              <w:rPr>
                <w:rFonts w:cs="Arial"/>
                <w:b/>
                <w:sz w:val="18"/>
                <w:szCs w:val="18"/>
              </w:rPr>
            </w:pPr>
            <w:r w:rsidRPr="00B86D65">
              <w:rPr>
                <w:rFonts w:cs="Arial"/>
                <w:b/>
                <w:bCs/>
                <w:sz w:val="18"/>
                <w:szCs w:val="18"/>
              </w:rPr>
              <w:t>Uncertain/Unknown</w:t>
            </w:r>
          </w:p>
        </w:tc>
        <w:tc>
          <w:tcPr>
            <w:tcW w:w="3822" w:type="pct"/>
            <w:tcBorders>
              <w:bottom w:val="single" w:sz="4" w:space="0" w:color="4B0885" w:themeColor="text2"/>
            </w:tcBorders>
            <w:noWrap/>
          </w:tcPr>
          <w:p w14:paraId="4EEAEF25" w14:textId="15156471" w:rsidR="005B2548" w:rsidRPr="00B86D65" w:rsidRDefault="005B2548" w:rsidP="005B2548">
            <w:pPr>
              <w:rPr>
                <w:rFonts w:cs="Arial"/>
                <w:sz w:val="18"/>
                <w:szCs w:val="18"/>
              </w:rPr>
            </w:pPr>
            <w:r w:rsidRPr="00B86D65">
              <w:rPr>
                <w:sz w:val="18"/>
                <w:szCs w:val="18"/>
              </w:rPr>
              <w:t>There may be cases where the shortage driver of a unit group is uncertain. This may occur when unit groups do not satisfy any of the above definitions or requirements. Uncertainty can also arise when there is not enough data of sufficient quality to identify the primary driver of a shortage</w:t>
            </w:r>
            <w:r w:rsidR="00600C54" w:rsidRPr="00B86D65">
              <w:rPr>
                <w:rStyle w:val="FootnoteReference"/>
                <w:sz w:val="18"/>
                <w:szCs w:val="18"/>
              </w:rPr>
              <w:footnoteReference w:id="22"/>
            </w:r>
            <w:r w:rsidRPr="00B86D65">
              <w:rPr>
                <w:sz w:val="18"/>
                <w:szCs w:val="18"/>
              </w:rPr>
              <w:t>.</w:t>
            </w:r>
          </w:p>
        </w:tc>
      </w:tr>
    </w:tbl>
    <w:p w14:paraId="65C9B288" w14:textId="77777777" w:rsidR="00AC2606" w:rsidRPr="007A1802" w:rsidRDefault="00AC2606" w:rsidP="00AC2606">
      <w:pPr>
        <w:pStyle w:val="Source"/>
        <w:rPr>
          <w:rFonts w:cs="Arial"/>
        </w:rPr>
      </w:pPr>
      <w:r w:rsidRPr="007A1802">
        <w:rPr>
          <w:rFonts w:cs="Arial"/>
        </w:rPr>
        <w:t>Source: Jobs and Skills Australia.</w:t>
      </w:r>
    </w:p>
    <w:p w14:paraId="5F0CB5CE" w14:textId="77777777" w:rsidR="001F555C" w:rsidRPr="001F555C" w:rsidRDefault="001F555C" w:rsidP="001F555C">
      <w:r w:rsidRPr="001F555C">
        <w:t xml:space="preserve">The 4 classifications may appear mutually exclusive; however, not all unit group shortages fit neatly in one category or another. Some unit groups assigned to one category may have some issues in common with unit groups in other categories. For example, a unit group may be simultaneously experiencing a lack of qualified applicants and a large amount of turnover. The shortage driver given by JSA for a unit group, therefore, was the primary driver of shortage (based on available evidence). This typology is a useful way to understand a complex set of dynamics in the labour market. </w:t>
      </w:r>
    </w:p>
    <w:p w14:paraId="05A77F4C" w14:textId="60BC3EC6" w:rsidR="001F555C" w:rsidRPr="001F555C" w:rsidRDefault="00193240" w:rsidP="001F555C">
      <w:r>
        <w:fldChar w:fldCharType="begin"/>
      </w:r>
      <w:r>
        <w:instrText xml:space="preserve"> REF _Ref181120054 \h </w:instrText>
      </w:r>
      <w:r>
        <w:fldChar w:fldCharType="separate"/>
      </w:r>
      <w:r w:rsidR="00C47A81">
        <w:t xml:space="preserve">Table </w:t>
      </w:r>
      <w:r w:rsidR="00C47A81">
        <w:rPr>
          <w:noProof/>
        </w:rPr>
        <w:t>7</w:t>
      </w:r>
      <w:r>
        <w:fldChar w:fldCharType="end"/>
      </w:r>
      <w:r>
        <w:t xml:space="preserve"> </w:t>
      </w:r>
      <w:r w:rsidR="001F555C" w:rsidRPr="001F555C">
        <w:t>shows the top 10 employing unit groups for each shortage driver, and reveals the following pattern of results:</w:t>
      </w:r>
    </w:p>
    <w:p w14:paraId="05CB49D3" w14:textId="77777777" w:rsidR="001F555C" w:rsidRPr="001F555C" w:rsidRDefault="001F555C" w:rsidP="001F555C">
      <w:pPr>
        <w:pStyle w:val="ListBullet"/>
      </w:pPr>
      <w:r w:rsidRPr="001F555C">
        <w:t>‘Long training gap’ was the primary shortage driver for various health and teaching unit groups, including other large employing Skill Level 1 (equivalent to a bachelor’s degree or above) unit groups within the Professionals major group. This shortage driver also includes various large employing Technicians and Trades Workers unit groups. This suggests a need to increase the number of available skilled workers noting significant time lags involved in the training process.</w:t>
      </w:r>
    </w:p>
    <w:p w14:paraId="62DBD481" w14:textId="77777777" w:rsidR="001F555C" w:rsidRPr="001F555C" w:rsidRDefault="001F555C" w:rsidP="001F555C">
      <w:pPr>
        <w:pStyle w:val="ListBullet"/>
      </w:pPr>
      <w:r w:rsidRPr="001F555C">
        <w:t>‘Suitability gap’ was the primary shortage driver for large employing engineer and manager unit groups. This suggests that for several large employing engineer and managerial roles, workers may not be equipped with the rights skills and experience in demand. This is a category where simply increasing the throughput of qualified people is a questionable strategy.</w:t>
      </w:r>
    </w:p>
    <w:p w14:paraId="26744330" w14:textId="7515F247" w:rsidR="001F555C" w:rsidRPr="001F555C" w:rsidRDefault="001F555C" w:rsidP="001F555C">
      <w:pPr>
        <w:pStyle w:val="ListBullet"/>
      </w:pPr>
      <w:r w:rsidRPr="001F555C">
        <w:t>For large employing care, other nurse related roles (other than registered nurses), and food and hospitality-based unit groups, ‘retention gap’ was the primary shortage driver. This suggests that there may be enough people with the requisite skills, qualifications and experience to fill vacancies in each unit group, but workers for these unit groups may not remain in the role long due to current working conditions. As such, employers undertake more regular/frequent recruitment activities to fill the vacancies.</w:t>
      </w:r>
      <w:r w:rsidR="008C52B1">
        <w:t xml:space="preserve"> </w:t>
      </w:r>
    </w:p>
    <w:p w14:paraId="5542589C" w14:textId="2E919A52" w:rsidR="001F555C" w:rsidRPr="001F555C" w:rsidRDefault="001F555C" w:rsidP="001F555C">
      <w:pPr>
        <w:pStyle w:val="ListBullet"/>
      </w:pPr>
      <w:r w:rsidRPr="001F555C">
        <w:t xml:space="preserve">For Skill Level 3 unit groups (equivalent to a Certificate III or IV qualification) and large employing Technicians and Trades Workers unit groups, both long and short </w:t>
      </w:r>
      <w:r>
        <w:t>‘</w:t>
      </w:r>
      <w:r w:rsidRPr="001F555C">
        <w:t>training gap</w:t>
      </w:r>
      <w:r>
        <w:t>’</w:t>
      </w:r>
      <w:r w:rsidRPr="001F555C">
        <w:t xml:space="preserve"> and </w:t>
      </w:r>
      <w:r>
        <w:t>‘r</w:t>
      </w:r>
      <w:r w:rsidRPr="001F555C">
        <w:t>etention</w:t>
      </w:r>
      <w:r w:rsidR="001600CB">
        <w:t>’</w:t>
      </w:r>
      <w:r w:rsidRPr="001F555C">
        <w:t xml:space="preserve"> gap were the primary shortage drivers. Alleviating shortages for Technicians and Trades Workers unit groups may then require more holistic solutions that improve the throughput of qualified workers and improvement in working conditions. </w:t>
      </w:r>
    </w:p>
    <w:p w14:paraId="6758E3AF" w14:textId="6D4E4025" w:rsidR="00AC2606" w:rsidRPr="00AC0957" w:rsidRDefault="001F555C" w:rsidP="001F555C">
      <w:pPr>
        <w:pStyle w:val="ListBullet"/>
      </w:pPr>
      <w:r w:rsidRPr="001F555C">
        <w:t>The ‘retention gap’ or ‘unknown/uncertain’ categories were the primary shortage drivers for unit groups with fewer barriers to entry in the labour market, such as lower Skill Level 4 unit groups, including Machinery Operators and Drivers</w:t>
      </w:r>
      <w:r w:rsidR="00AC2606" w:rsidRPr="00AC0957">
        <w:t xml:space="preserve">. </w:t>
      </w:r>
    </w:p>
    <w:p w14:paraId="57C44E44" w14:textId="77777777" w:rsidR="00EA4A1A" w:rsidRDefault="00EA4A1A">
      <w:pPr>
        <w:spacing w:after="160" w:line="259" w:lineRule="auto"/>
        <w:rPr>
          <w:b/>
          <w:bCs/>
          <w:sz w:val="18"/>
          <w:szCs w:val="18"/>
        </w:rPr>
      </w:pPr>
      <w:bookmarkStart w:id="143" w:name="_Ref179897724"/>
      <w:r>
        <w:br w:type="page"/>
      </w:r>
    </w:p>
    <w:p w14:paraId="46E431C9" w14:textId="30A80FDA" w:rsidR="00B57DAC" w:rsidRDefault="00B57DAC" w:rsidP="00B57DAC">
      <w:pPr>
        <w:pStyle w:val="Caption"/>
      </w:pPr>
      <w:bookmarkStart w:id="144" w:name="_Ref181120054"/>
      <w:r>
        <w:t xml:space="preserve">Table </w:t>
      </w:r>
      <w:r>
        <w:fldChar w:fldCharType="begin"/>
      </w:r>
      <w:r>
        <w:instrText xml:space="preserve"> SEQ Table \* ARABIC </w:instrText>
      </w:r>
      <w:r>
        <w:fldChar w:fldCharType="separate"/>
      </w:r>
      <w:r w:rsidR="00C47A81">
        <w:rPr>
          <w:noProof/>
        </w:rPr>
        <w:t>7</w:t>
      </w:r>
      <w:r>
        <w:fldChar w:fldCharType="end"/>
      </w:r>
      <w:bookmarkEnd w:id="143"/>
      <w:bookmarkEnd w:id="144"/>
      <w:r>
        <w:t xml:space="preserve">: </w:t>
      </w:r>
      <w:r w:rsidRPr="00747AD6">
        <w:t>Top 10 largest employing unit groups for each shortage drivers</w:t>
      </w:r>
    </w:p>
    <w:tbl>
      <w:tblPr>
        <w:tblStyle w:val="JSATable1"/>
        <w:tblW w:w="4997" w:type="pct"/>
        <w:tblLook w:val="04A0" w:firstRow="1" w:lastRow="0" w:firstColumn="1" w:lastColumn="0" w:noHBand="0" w:noVBand="1"/>
        <w:tblCaption w:val="Top 10 largest employing unit groups for each shortage driver"/>
        <w:tblDescription w:val="This table shows the top 10 largest employing unit groups against each type of shortage driver from the JSA typology. For long training gap this includes health care occupations as well as trades, for short training gap this includes occupations such as landscape gardeners and irrigation technicians, truck drivers, and floor finishers, for suitability gap this includes several types of managers and professionals, for retention gap cooks, bakers and pastry cooks are represented as well as care occupations such as child carers, aged and disabled carers, and nursing support and personal care workers. For the unknown/uncertain category this includes a broad mix of occupations such as train and tram drivers, veterinary nurses, air transport professionals, and earthmoving plant operators. "/>
      </w:tblPr>
      <w:tblGrid>
        <w:gridCol w:w="1743"/>
        <w:gridCol w:w="2051"/>
        <w:gridCol w:w="1743"/>
        <w:gridCol w:w="1743"/>
        <w:gridCol w:w="1741"/>
      </w:tblGrid>
      <w:tr w:rsidR="00AC2606" w:rsidRPr="00AC0957" w14:paraId="3C57D4DF" w14:textId="77777777" w:rsidTr="008A59DB">
        <w:trPr>
          <w:cnfStyle w:val="100000000000" w:firstRow="1" w:lastRow="0" w:firstColumn="0" w:lastColumn="0" w:oddVBand="0" w:evenVBand="0" w:oddHBand="0" w:evenHBand="0" w:firstRowFirstColumn="0" w:firstRowLastColumn="0" w:lastRowFirstColumn="0" w:lastRowLastColumn="0"/>
          <w:cantSplit/>
        </w:trPr>
        <w:tc>
          <w:tcPr>
            <w:tcW w:w="966" w:type="pct"/>
          </w:tcPr>
          <w:p w14:paraId="66D5326D"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Long training gap</w:t>
            </w:r>
          </w:p>
        </w:tc>
        <w:tc>
          <w:tcPr>
            <w:tcW w:w="1137" w:type="pct"/>
          </w:tcPr>
          <w:p w14:paraId="1BFC7AEF"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Short training gap</w:t>
            </w:r>
          </w:p>
        </w:tc>
        <w:tc>
          <w:tcPr>
            <w:tcW w:w="966" w:type="pct"/>
          </w:tcPr>
          <w:p w14:paraId="4004D58D"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Suitability gap</w:t>
            </w:r>
          </w:p>
        </w:tc>
        <w:tc>
          <w:tcPr>
            <w:tcW w:w="966" w:type="pct"/>
          </w:tcPr>
          <w:p w14:paraId="14815AF1"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Retention gap</w:t>
            </w:r>
          </w:p>
        </w:tc>
        <w:tc>
          <w:tcPr>
            <w:tcW w:w="965" w:type="pct"/>
          </w:tcPr>
          <w:p w14:paraId="418A856D"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Unknown/</w:t>
            </w:r>
          </w:p>
          <w:p w14:paraId="7A2D7113"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Uncertain</w:t>
            </w:r>
          </w:p>
        </w:tc>
      </w:tr>
      <w:tr w:rsidR="00AC2606" w:rsidRPr="00AC0957" w14:paraId="3F271044" w14:textId="77777777" w:rsidTr="008A59DB">
        <w:trPr>
          <w:cantSplit/>
        </w:trPr>
        <w:tc>
          <w:tcPr>
            <w:tcW w:w="966" w:type="pct"/>
          </w:tcPr>
          <w:p w14:paraId="108E494E"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Registered Nurses</w:t>
            </w:r>
          </w:p>
        </w:tc>
        <w:tc>
          <w:tcPr>
            <w:tcW w:w="1137" w:type="pct"/>
          </w:tcPr>
          <w:p w14:paraId="3D9EE417"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Truck Drivers</w:t>
            </w:r>
          </w:p>
        </w:tc>
        <w:tc>
          <w:tcPr>
            <w:tcW w:w="966" w:type="pct"/>
          </w:tcPr>
          <w:p w14:paraId="13A12D63"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Advertising, Public Relations and Sales Managers</w:t>
            </w:r>
          </w:p>
        </w:tc>
        <w:tc>
          <w:tcPr>
            <w:tcW w:w="966" w:type="pct"/>
          </w:tcPr>
          <w:p w14:paraId="2956D914"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Aged and Disabled Carers</w:t>
            </w:r>
          </w:p>
        </w:tc>
        <w:tc>
          <w:tcPr>
            <w:tcW w:w="965" w:type="pct"/>
          </w:tcPr>
          <w:p w14:paraId="03D28AE4"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Earthmoving Plant Operators</w:t>
            </w:r>
          </w:p>
        </w:tc>
      </w:tr>
      <w:tr w:rsidR="00AC2606" w:rsidRPr="00AC0957" w14:paraId="3FAB50C3" w14:textId="77777777" w:rsidTr="008A59DB">
        <w:trPr>
          <w:cnfStyle w:val="000000010000" w:firstRow="0" w:lastRow="0" w:firstColumn="0" w:lastColumn="0" w:oddVBand="0" w:evenVBand="0" w:oddHBand="0" w:evenHBand="1" w:firstRowFirstColumn="0" w:firstRowLastColumn="0" w:lastRowFirstColumn="0" w:lastRowLastColumn="0"/>
          <w:cantSplit/>
        </w:trPr>
        <w:tc>
          <w:tcPr>
            <w:tcW w:w="966" w:type="pct"/>
          </w:tcPr>
          <w:p w14:paraId="58A7C676"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Primary School Teachers</w:t>
            </w:r>
          </w:p>
        </w:tc>
        <w:tc>
          <w:tcPr>
            <w:tcW w:w="1137" w:type="pct"/>
          </w:tcPr>
          <w:p w14:paraId="37757AD4"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Landscape Gardeners and Irrigation Technicians</w:t>
            </w:r>
          </w:p>
        </w:tc>
        <w:tc>
          <w:tcPr>
            <w:tcW w:w="966" w:type="pct"/>
          </w:tcPr>
          <w:p w14:paraId="30F5E850"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Software and Applications Programmers</w:t>
            </w:r>
          </w:p>
        </w:tc>
        <w:tc>
          <w:tcPr>
            <w:tcW w:w="966" w:type="pct"/>
          </w:tcPr>
          <w:p w14:paraId="64DE21F9"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Child Carers</w:t>
            </w:r>
          </w:p>
        </w:tc>
        <w:tc>
          <w:tcPr>
            <w:tcW w:w="965" w:type="pct"/>
          </w:tcPr>
          <w:p w14:paraId="38CA304A"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Auditors, Company Secretaries and Corporate Treasurers</w:t>
            </w:r>
          </w:p>
        </w:tc>
      </w:tr>
      <w:tr w:rsidR="00AC2606" w:rsidRPr="00AC0957" w14:paraId="65FEE969" w14:textId="77777777" w:rsidTr="008A59DB">
        <w:trPr>
          <w:cantSplit/>
        </w:trPr>
        <w:tc>
          <w:tcPr>
            <w:tcW w:w="966" w:type="pct"/>
          </w:tcPr>
          <w:p w14:paraId="2A46266D"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Secondary School Teachers</w:t>
            </w:r>
          </w:p>
        </w:tc>
        <w:tc>
          <w:tcPr>
            <w:tcW w:w="1137" w:type="pct"/>
          </w:tcPr>
          <w:p w14:paraId="603CF86A"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Electronics Trades Workers</w:t>
            </w:r>
          </w:p>
        </w:tc>
        <w:tc>
          <w:tcPr>
            <w:tcW w:w="966" w:type="pct"/>
          </w:tcPr>
          <w:p w14:paraId="1E12EC07"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Construction Managers</w:t>
            </w:r>
          </w:p>
        </w:tc>
        <w:tc>
          <w:tcPr>
            <w:tcW w:w="966" w:type="pct"/>
          </w:tcPr>
          <w:p w14:paraId="56F58323"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Nursing Support and Personal Care Workers</w:t>
            </w:r>
          </w:p>
        </w:tc>
        <w:tc>
          <w:tcPr>
            <w:tcW w:w="965" w:type="pct"/>
          </w:tcPr>
          <w:p w14:paraId="23B4B134"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Plasterers and Renderers</w:t>
            </w:r>
          </w:p>
        </w:tc>
      </w:tr>
      <w:tr w:rsidR="00AC2606" w:rsidRPr="00AC0957" w14:paraId="08E0E2C6" w14:textId="77777777" w:rsidTr="008A59DB">
        <w:trPr>
          <w:cnfStyle w:val="000000010000" w:firstRow="0" w:lastRow="0" w:firstColumn="0" w:lastColumn="0" w:oddVBand="0" w:evenVBand="0" w:oddHBand="0" w:evenHBand="1" w:firstRowFirstColumn="0" w:firstRowLastColumn="0" w:lastRowFirstColumn="0" w:lastRowLastColumn="0"/>
          <w:cantSplit/>
        </w:trPr>
        <w:tc>
          <w:tcPr>
            <w:tcW w:w="966" w:type="pct"/>
          </w:tcPr>
          <w:p w14:paraId="7F4D52F5"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Electricians</w:t>
            </w:r>
          </w:p>
        </w:tc>
        <w:tc>
          <w:tcPr>
            <w:tcW w:w="1137" w:type="pct"/>
          </w:tcPr>
          <w:p w14:paraId="54747DD5"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Telecommunications Trades Workers</w:t>
            </w:r>
          </w:p>
        </w:tc>
        <w:tc>
          <w:tcPr>
            <w:tcW w:w="966" w:type="pct"/>
          </w:tcPr>
          <w:p w14:paraId="140C45E6"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Civil Engineering Professionals</w:t>
            </w:r>
          </w:p>
        </w:tc>
        <w:tc>
          <w:tcPr>
            <w:tcW w:w="966" w:type="pct"/>
          </w:tcPr>
          <w:p w14:paraId="35E24326"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Chefs</w:t>
            </w:r>
          </w:p>
        </w:tc>
        <w:tc>
          <w:tcPr>
            <w:tcW w:w="965" w:type="pct"/>
          </w:tcPr>
          <w:p w14:paraId="4436E44B"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Other Medical Practitioners</w:t>
            </w:r>
          </w:p>
        </w:tc>
      </w:tr>
      <w:tr w:rsidR="00AC2606" w:rsidRPr="00AC0957" w14:paraId="153A8C54" w14:textId="77777777" w:rsidTr="008A59DB">
        <w:trPr>
          <w:cantSplit/>
        </w:trPr>
        <w:tc>
          <w:tcPr>
            <w:tcW w:w="966" w:type="pct"/>
          </w:tcPr>
          <w:p w14:paraId="36686B05"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Carpenters and Joiners</w:t>
            </w:r>
          </w:p>
        </w:tc>
        <w:tc>
          <w:tcPr>
            <w:tcW w:w="1137" w:type="pct"/>
          </w:tcPr>
          <w:p w14:paraId="5EDE7548"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Aircraft Maintenance Engineers</w:t>
            </w:r>
          </w:p>
        </w:tc>
        <w:tc>
          <w:tcPr>
            <w:tcW w:w="966" w:type="pct"/>
          </w:tcPr>
          <w:p w14:paraId="17463C87"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Security Officers and Guards</w:t>
            </w:r>
          </w:p>
        </w:tc>
        <w:tc>
          <w:tcPr>
            <w:tcW w:w="966" w:type="pct"/>
          </w:tcPr>
          <w:p w14:paraId="7C8CB3B2"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Structural Steel and Welding Trades Workers</w:t>
            </w:r>
          </w:p>
        </w:tc>
        <w:tc>
          <w:tcPr>
            <w:tcW w:w="965" w:type="pct"/>
          </w:tcPr>
          <w:p w14:paraId="3CD6BDC2"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Air Transport Professionals</w:t>
            </w:r>
          </w:p>
        </w:tc>
      </w:tr>
      <w:tr w:rsidR="00AC2606" w:rsidRPr="00AC0957" w14:paraId="75DF75DD" w14:textId="77777777" w:rsidTr="008A59DB">
        <w:trPr>
          <w:cnfStyle w:val="000000010000" w:firstRow="0" w:lastRow="0" w:firstColumn="0" w:lastColumn="0" w:oddVBand="0" w:evenVBand="0" w:oddHBand="0" w:evenHBand="1" w:firstRowFirstColumn="0" w:firstRowLastColumn="0" w:lastRowFirstColumn="0" w:lastRowLastColumn="0"/>
          <w:cantSplit/>
        </w:trPr>
        <w:tc>
          <w:tcPr>
            <w:tcW w:w="966" w:type="pct"/>
          </w:tcPr>
          <w:p w14:paraId="0226259F"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Motor Mechanics</w:t>
            </w:r>
          </w:p>
        </w:tc>
        <w:tc>
          <w:tcPr>
            <w:tcW w:w="1137" w:type="pct"/>
          </w:tcPr>
          <w:p w14:paraId="0C7DF398"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Floor Finishers</w:t>
            </w:r>
          </w:p>
        </w:tc>
        <w:tc>
          <w:tcPr>
            <w:tcW w:w="966" w:type="pct"/>
          </w:tcPr>
          <w:p w14:paraId="56F6D5DA"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Financial Investment Advisers and Managers</w:t>
            </w:r>
          </w:p>
        </w:tc>
        <w:tc>
          <w:tcPr>
            <w:tcW w:w="966" w:type="pct"/>
          </w:tcPr>
          <w:p w14:paraId="5676EF8A"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Drillers, Miners and Shot Firers</w:t>
            </w:r>
          </w:p>
        </w:tc>
        <w:tc>
          <w:tcPr>
            <w:tcW w:w="965" w:type="pct"/>
          </w:tcPr>
          <w:p w14:paraId="2BD06C82"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Veterinary Nurses</w:t>
            </w:r>
          </w:p>
        </w:tc>
      </w:tr>
      <w:tr w:rsidR="00AC2606" w:rsidRPr="00AC0957" w14:paraId="3E924214" w14:textId="77777777" w:rsidTr="008A59DB">
        <w:trPr>
          <w:cantSplit/>
        </w:trPr>
        <w:tc>
          <w:tcPr>
            <w:tcW w:w="966" w:type="pct"/>
          </w:tcPr>
          <w:p w14:paraId="18B999CC"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Metal Fitters and Machinists</w:t>
            </w:r>
          </w:p>
        </w:tc>
        <w:tc>
          <w:tcPr>
            <w:tcW w:w="1137" w:type="pct"/>
          </w:tcPr>
          <w:p w14:paraId="234DD9FD"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 xml:space="preserve"> </w:t>
            </w:r>
          </w:p>
        </w:tc>
        <w:tc>
          <w:tcPr>
            <w:tcW w:w="966" w:type="pct"/>
          </w:tcPr>
          <w:p w14:paraId="7CB07F32"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Industrial, Mechanical and Production Engineers</w:t>
            </w:r>
          </w:p>
        </w:tc>
        <w:tc>
          <w:tcPr>
            <w:tcW w:w="966" w:type="pct"/>
          </w:tcPr>
          <w:p w14:paraId="1A0C9B86"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Enrolled and Mothercraft Nurses</w:t>
            </w:r>
          </w:p>
        </w:tc>
        <w:tc>
          <w:tcPr>
            <w:tcW w:w="965" w:type="pct"/>
          </w:tcPr>
          <w:p w14:paraId="70B72EFB"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Train and Tram Drivers</w:t>
            </w:r>
          </w:p>
        </w:tc>
      </w:tr>
      <w:tr w:rsidR="00AC2606" w:rsidRPr="00AC0957" w14:paraId="5293393C" w14:textId="77777777" w:rsidTr="008A59DB">
        <w:trPr>
          <w:cnfStyle w:val="000000010000" w:firstRow="0" w:lastRow="0" w:firstColumn="0" w:lastColumn="0" w:oddVBand="0" w:evenVBand="0" w:oddHBand="0" w:evenHBand="1" w:firstRowFirstColumn="0" w:firstRowLastColumn="0" w:lastRowFirstColumn="0" w:lastRowLastColumn="0"/>
          <w:cantSplit/>
        </w:trPr>
        <w:tc>
          <w:tcPr>
            <w:tcW w:w="966" w:type="pct"/>
          </w:tcPr>
          <w:p w14:paraId="0BFDCC84"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Plumbers</w:t>
            </w:r>
          </w:p>
        </w:tc>
        <w:tc>
          <w:tcPr>
            <w:tcW w:w="1137" w:type="pct"/>
          </w:tcPr>
          <w:p w14:paraId="229B8FDD"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 xml:space="preserve"> </w:t>
            </w:r>
          </w:p>
        </w:tc>
        <w:tc>
          <w:tcPr>
            <w:tcW w:w="966" w:type="pct"/>
          </w:tcPr>
          <w:p w14:paraId="44EAD5B2"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Architects and Landscape Architects</w:t>
            </w:r>
          </w:p>
        </w:tc>
        <w:tc>
          <w:tcPr>
            <w:tcW w:w="966" w:type="pct"/>
          </w:tcPr>
          <w:p w14:paraId="0014E14A"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Cooks</w:t>
            </w:r>
          </w:p>
        </w:tc>
        <w:tc>
          <w:tcPr>
            <w:tcW w:w="965" w:type="pct"/>
          </w:tcPr>
          <w:p w14:paraId="3C137C45"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Civil Engineering Draftspersons and Technicians</w:t>
            </w:r>
          </w:p>
        </w:tc>
      </w:tr>
      <w:tr w:rsidR="00AC2606" w:rsidRPr="00AC0957" w14:paraId="528BE4B6" w14:textId="77777777" w:rsidTr="008A59DB">
        <w:trPr>
          <w:cantSplit/>
        </w:trPr>
        <w:tc>
          <w:tcPr>
            <w:tcW w:w="966" w:type="pct"/>
          </w:tcPr>
          <w:p w14:paraId="750795ED"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Solicitors</w:t>
            </w:r>
          </w:p>
        </w:tc>
        <w:tc>
          <w:tcPr>
            <w:tcW w:w="1137" w:type="pct"/>
          </w:tcPr>
          <w:p w14:paraId="3F0F8ADA"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 xml:space="preserve"> </w:t>
            </w:r>
          </w:p>
        </w:tc>
        <w:tc>
          <w:tcPr>
            <w:tcW w:w="966" w:type="pct"/>
          </w:tcPr>
          <w:p w14:paraId="524E9A72"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Engineering Managers</w:t>
            </w:r>
          </w:p>
        </w:tc>
        <w:tc>
          <w:tcPr>
            <w:tcW w:w="966" w:type="pct"/>
          </w:tcPr>
          <w:p w14:paraId="2C87EBAB"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Bakers and Pastrycooks</w:t>
            </w:r>
          </w:p>
        </w:tc>
        <w:tc>
          <w:tcPr>
            <w:tcW w:w="965" w:type="pct"/>
          </w:tcPr>
          <w:p w14:paraId="7568DA4E"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Tourism and Travel Advisers</w:t>
            </w:r>
          </w:p>
        </w:tc>
      </w:tr>
      <w:tr w:rsidR="00AC2606" w:rsidRPr="00AC0957" w14:paraId="7E980C33" w14:textId="77777777" w:rsidTr="008A59DB">
        <w:trPr>
          <w:cnfStyle w:val="000000010000" w:firstRow="0" w:lastRow="0" w:firstColumn="0" w:lastColumn="0" w:oddVBand="0" w:evenVBand="0" w:oddHBand="0" w:evenHBand="1" w:firstRowFirstColumn="0" w:firstRowLastColumn="0" w:lastRowFirstColumn="0" w:lastRowLastColumn="0"/>
          <w:cantSplit/>
        </w:trPr>
        <w:tc>
          <w:tcPr>
            <w:tcW w:w="966" w:type="pct"/>
          </w:tcPr>
          <w:p w14:paraId="5BD1F60E"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General Practitioners and Resident Medical Officers</w:t>
            </w:r>
          </w:p>
        </w:tc>
        <w:tc>
          <w:tcPr>
            <w:tcW w:w="1137" w:type="pct"/>
          </w:tcPr>
          <w:p w14:paraId="20D94C0F"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 xml:space="preserve"> </w:t>
            </w:r>
          </w:p>
        </w:tc>
        <w:tc>
          <w:tcPr>
            <w:tcW w:w="966" w:type="pct"/>
          </w:tcPr>
          <w:p w14:paraId="4B478E2D"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Electrical Engineers</w:t>
            </w:r>
          </w:p>
        </w:tc>
        <w:tc>
          <w:tcPr>
            <w:tcW w:w="966" w:type="pct"/>
          </w:tcPr>
          <w:p w14:paraId="13262D11"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Structural Steel Construction Workers</w:t>
            </w:r>
          </w:p>
        </w:tc>
        <w:tc>
          <w:tcPr>
            <w:tcW w:w="965" w:type="pct"/>
          </w:tcPr>
          <w:p w14:paraId="3A9B9B0D" w14:textId="77777777" w:rsidR="00AC2606" w:rsidRPr="00FE6620" w:rsidRDefault="00AC2606" w:rsidP="00FE6620">
            <w:pPr>
              <w:jc w:val="right"/>
              <w:rPr>
                <w:rFonts w:asciiTheme="minorHAnsi" w:hAnsiTheme="minorHAnsi" w:cstheme="minorHAnsi"/>
                <w:sz w:val="20"/>
                <w:szCs w:val="20"/>
              </w:rPr>
            </w:pPr>
            <w:r w:rsidRPr="00FE6620">
              <w:rPr>
                <w:rFonts w:asciiTheme="minorHAnsi" w:hAnsiTheme="minorHAnsi" w:cstheme="minorHAnsi"/>
                <w:sz w:val="20"/>
                <w:szCs w:val="20"/>
              </w:rPr>
              <w:t>Agricultural, Forestry and Horticultural Plant Operators</w:t>
            </w:r>
          </w:p>
        </w:tc>
      </w:tr>
    </w:tbl>
    <w:p w14:paraId="2A18EF7F" w14:textId="77777777" w:rsidR="00AC2606" w:rsidRDefault="00AC2606" w:rsidP="00D73E19">
      <w:pPr>
        <w:pStyle w:val="ChartorTableNote"/>
      </w:pPr>
      <w:r w:rsidRPr="00B57DAC">
        <w:t>Source: Jobs and Skills Australia, 2024 Occupation Shortage Drivers.</w:t>
      </w:r>
    </w:p>
    <w:p w14:paraId="589AC09D" w14:textId="30D3713A" w:rsidR="00B57DAC" w:rsidRPr="00B57DAC" w:rsidRDefault="00B57DAC" w:rsidP="00D73E19">
      <w:pPr>
        <w:pStyle w:val="ChartorTableNote"/>
        <w:rPr>
          <w:sz w:val="20"/>
          <w:szCs w:val="20"/>
        </w:rPr>
      </w:pPr>
      <w:r w:rsidRPr="00B57DAC">
        <w:t>Note: There are only 6 unit groups in Short training gap in 2024</w:t>
      </w:r>
      <w:r w:rsidR="00BB3087">
        <w:t>.</w:t>
      </w:r>
    </w:p>
    <w:p w14:paraId="1C0F766F" w14:textId="77777777" w:rsidR="00EA4A1A" w:rsidRDefault="00EA4A1A">
      <w:pPr>
        <w:spacing w:after="160" w:line="259" w:lineRule="auto"/>
        <w:rPr>
          <w:rFonts w:cs="Arial"/>
          <w:b/>
          <w:bCs/>
          <w:color w:val="012749" w:themeColor="accent3"/>
        </w:rPr>
      </w:pPr>
      <w:bookmarkStart w:id="145" w:name="_Toc177976056"/>
      <w:r>
        <w:br w:type="page"/>
      </w:r>
    </w:p>
    <w:p w14:paraId="19A8B56E" w14:textId="225E7086" w:rsidR="00AC2606" w:rsidRPr="00AC0957" w:rsidRDefault="00AC2606" w:rsidP="00D73E19">
      <w:pPr>
        <w:pStyle w:val="Heading4"/>
        <w:keepNext/>
      </w:pPr>
      <w:r w:rsidRPr="00AC0957">
        <w:t xml:space="preserve">Changes in </w:t>
      </w:r>
      <w:r w:rsidRPr="00D73E19">
        <w:t>shortage</w:t>
      </w:r>
      <w:r w:rsidRPr="00AC0957">
        <w:t xml:space="preserve"> drivers from 2023 to 2024</w:t>
      </w:r>
      <w:bookmarkEnd w:id="145"/>
    </w:p>
    <w:p w14:paraId="7844EBB7" w14:textId="2DB7260B" w:rsidR="00AC2606" w:rsidRPr="00AC0957" w:rsidRDefault="00CF0A0E" w:rsidP="00AC2606">
      <w:pPr>
        <w:rPr>
          <w:rFonts w:cs="Arial"/>
        </w:rPr>
      </w:pPr>
      <w:r w:rsidRPr="00CF0A0E">
        <w:rPr>
          <w:rFonts w:cs="Arial"/>
        </w:rPr>
        <w:t>For unit groups that were in shortage in both 2023 and 2024, 17 had a different primary shortage driver in 2024 than in 2023 (</w:t>
      </w:r>
      <w:r>
        <w:rPr>
          <w:rFonts w:cs="Arial"/>
        </w:rPr>
        <w:fldChar w:fldCharType="begin"/>
      </w:r>
      <w:r>
        <w:rPr>
          <w:rFonts w:cs="Arial"/>
        </w:rPr>
        <w:instrText xml:space="preserve"> REF _Ref179897783 \h </w:instrText>
      </w:r>
      <w:r>
        <w:rPr>
          <w:rFonts w:cs="Arial"/>
        </w:rPr>
      </w:r>
      <w:r>
        <w:rPr>
          <w:rFonts w:cs="Arial"/>
        </w:rPr>
        <w:fldChar w:fldCharType="separate"/>
      </w:r>
      <w:r w:rsidR="00C47A81">
        <w:t xml:space="preserve">Table </w:t>
      </w:r>
      <w:r w:rsidR="00C47A81">
        <w:rPr>
          <w:noProof/>
        </w:rPr>
        <w:t>8</w:t>
      </w:r>
      <w:r>
        <w:rPr>
          <w:rFonts w:cs="Arial"/>
        </w:rPr>
        <w:fldChar w:fldCharType="end"/>
      </w:r>
      <w:r w:rsidRPr="00CF0A0E">
        <w:rPr>
          <w:rFonts w:cs="Arial"/>
        </w:rPr>
        <w:t>). This means that in 2024, different factors were the predominant drivers of the shortage for the unit groups</w:t>
      </w:r>
      <w:r w:rsidR="00AC2606" w:rsidRPr="00AC0957">
        <w:rPr>
          <w:rFonts w:cs="Arial"/>
        </w:rPr>
        <w:t>.</w:t>
      </w:r>
    </w:p>
    <w:p w14:paraId="1ECAC08B" w14:textId="4B40D516" w:rsidR="00B57DAC" w:rsidRDefault="00B57DAC" w:rsidP="00B57DAC">
      <w:pPr>
        <w:pStyle w:val="Caption"/>
      </w:pPr>
      <w:bookmarkStart w:id="146" w:name="_Ref179897783"/>
      <w:r>
        <w:t xml:space="preserve">Table </w:t>
      </w:r>
      <w:r>
        <w:fldChar w:fldCharType="begin"/>
      </w:r>
      <w:r>
        <w:instrText xml:space="preserve"> SEQ Table \* ARABIC </w:instrText>
      </w:r>
      <w:r>
        <w:fldChar w:fldCharType="separate"/>
      </w:r>
      <w:r w:rsidR="00C47A81">
        <w:rPr>
          <w:noProof/>
        </w:rPr>
        <w:t>8</w:t>
      </w:r>
      <w:r>
        <w:fldChar w:fldCharType="end"/>
      </w:r>
      <w:bookmarkEnd w:id="146"/>
      <w:r>
        <w:t xml:space="preserve">: </w:t>
      </w:r>
      <w:r w:rsidRPr="00C7314D">
        <w:t>Unit groups that changed shortage driver classification from 2023 to 2024</w:t>
      </w:r>
    </w:p>
    <w:tbl>
      <w:tblPr>
        <w:tblStyle w:val="JSATable1"/>
        <w:tblW w:w="5000" w:type="pct"/>
        <w:tblLayout w:type="fixed"/>
        <w:tblLook w:val="04A0" w:firstRow="1" w:lastRow="0" w:firstColumn="1" w:lastColumn="0" w:noHBand="0" w:noVBand="1"/>
        <w:tblCaption w:val="Unit groups tha tchanged shortage driver classification from 2023 to 2024"/>
        <w:tblDescription w:val="This table shows unit groups that had a different primary shortage driver in 2024 than 2023 and details the change in primary shorter driver classification. For unit groups that were in shortage in both 2023 and 2024, 17 had a different primary shortage driver in 2024 than in 2023."/>
      </w:tblPr>
      <w:tblGrid>
        <w:gridCol w:w="6096"/>
        <w:gridCol w:w="1466"/>
        <w:gridCol w:w="1464"/>
      </w:tblGrid>
      <w:tr w:rsidR="00AC2606" w:rsidRPr="00AC0957" w14:paraId="6402A5CA" w14:textId="77777777">
        <w:trPr>
          <w:cnfStyle w:val="100000000000" w:firstRow="1" w:lastRow="0" w:firstColumn="0" w:lastColumn="0" w:oddVBand="0" w:evenVBand="0" w:oddHBand="0" w:evenHBand="0" w:firstRowFirstColumn="0" w:firstRowLastColumn="0" w:lastRowFirstColumn="0" w:lastRowLastColumn="0"/>
          <w:trHeight w:val="288"/>
        </w:trPr>
        <w:tc>
          <w:tcPr>
            <w:tcW w:w="3377" w:type="pct"/>
            <w:noWrap/>
            <w:vAlign w:val="center"/>
            <w:hideMark/>
          </w:tcPr>
          <w:p w14:paraId="19B3F5C7"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Unit group</w:t>
            </w:r>
          </w:p>
        </w:tc>
        <w:tc>
          <w:tcPr>
            <w:tcW w:w="812" w:type="pct"/>
            <w:noWrap/>
            <w:vAlign w:val="center"/>
            <w:hideMark/>
          </w:tcPr>
          <w:p w14:paraId="27E890E3"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2023 Shortage driver</w:t>
            </w:r>
          </w:p>
        </w:tc>
        <w:tc>
          <w:tcPr>
            <w:tcW w:w="811" w:type="pct"/>
            <w:noWrap/>
            <w:vAlign w:val="center"/>
            <w:hideMark/>
          </w:tcPr>
          <w:p w14:paraId="200B13C8"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2024 Shortage driver</w:t>
            </w:r>
          </w:p>
        </w:tc>
      </w:tr>
      <w:tr w:rsidR="00AC2606" w:rsidRPr="00AC0957" w14:paraId="67529669" w14:textId="77777777">
        <w:trPr>
          <w:trHeight w:val="288"/>
        </w:trPr>
        <w:tc>
          <w:tcPr>
            <w:tcW w:w="3377" w:type="pct"/>
            <w:noWrap/>
            <w:hideMark/>
          </w:tcPr>
          <w:p w14:paraId="549F10D2"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Auditors, Company Secretaries and Corporate Treasurers</w:t>
            </w:r>
          </w:p>
        </w:tc>
        <w:tc>
          <w:tcPr>
            <w:tcW w:w="812" w:type="pct"/>
            <w:noWrap/>
            <w:hideMark/>
          </w:tcPr>
          <w:p w14:paraId="75552B57"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SG</w:t>
            </w:r>
          </w:p>
        </w:tc>
        <w:tc>
          <w:tcPr>
            <w:tcW w:w="811" w:type="pct"/>
            <w:noWrap/>
            <w:hideMark/>
          </w:tcPr>
          <w:p w14:paraId="5F6CADC0"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U</w:t>
            </w:r>
          </w:p>
        </w:tc>
      </w:tr>
      <w:tr w:rsidR="00AC2606" w:rsidRPr="00AC0957" w14:paraId="7D9C57D5" w14:textId="77777777">
        <w:trPr>
          <w:cnfStyle w:val="000000010000" w:firstRow="0" w:lastRow="0" w:firstColumn="0" w:lastColumn="0" w:oddVBand="0" w:evenVBand="0" w:oddHBand="0" w:evenHBand="1" w:firstRowFirstColumn="0" w:firstRowLastColumn="0" w:lastRowFirstColumn="0" w:lastRowLastColumn="0"/>
          <w:trHeight w:val="288"/>
        </w:trPr>
        <w:tc>
          <w:tcPr>
            <w:tcW w:w="3377" w:type="pct"/>
            <w:noWrap/>
            <w:hideMark/>
          </w:tcPr>
          <w:p w14:paraId="6661170E"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Urban and Regional Planners</w:t>
            </w:r>
          </w:p>
        </w:tc>
        <w:tc>
          <w:tcPr>
            <w:tcW w:w="812" w:type="pct"/>
            <w:noWrap/>
            <w:hideMark/>
          </w:tcPr>
          <w:p w14:paraId="35BE56EB"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SG</w:t>
            </w:r>
          </w:p>
        </w:tc>
        <w:tc>
          <w:tcPr>
            <w:tcW w:w="811" w:type="pct"/>
            <w:noWrap/>
            <w:hideMark/>
          </w:tcPr>
          <w:p w14:paraId="62193F40"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LTG</w:t>
            </w:r>
          </w:p>
        </w:tc>
      </w:tr>
      <w:tr w:rsidR="00AC2606" w:rsidRPr="00AC0957" w14:paraId="149726CC" w14:textId="77777777">
        <w:trPr>
          <w:trHeight w:val="288"/>
        </w:trPr>
        <w:tc>
          <w:tcPr>
            <w:tcW w:w="3377" w:type="pct"/>
            <w:noWrap/>
            <w:hideMark/>
          </w:tcPr>
          <w:p w14:paraId="71E2818F"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Mining Engineers</w:t>
            </w:r>
          </w:p>
        </w:tc>
        <w:tc>
          <w:tcPr>
            <w:tcW w:w="812" w:type="pct"/>
            <w:noWrap/>
            <w:hideMark/>
          </w:tcPr>
          <w:p w14:paraId="19913C78"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SG</w:t>
            </w:r>
          </w:p>
        </w:tc>
        <w:tc>
          <w:tcPr>
            <w:tcW w:w="811" w:type="pct"/>
            <w:noWrap/>
            <w:hideMark/>
          </w:tcPr>
          <w:p w14:paraId="73C98243"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U</w:t>
            </w:r>
          </w:p>
        </w:tc>
      </w:tr>
      <w:tr w:rsidR="00AC2606" w:rsidRPr="00AC0957" w14:paraId="6A71D417" w14:textId="77777777">
        <w:trPr>
          <w:cnfStyle w:val="000000010000" w:firstRow="0" w:lastRow="0" w:firstColumn="0" w:lastColumn="0" w:oddVBand="0" w:evenVBand="0" w:oddHBand="0" w:evenHBand="1" w:firstRowFirstColumn="0" w:firstRowLastColumn="0" w:lastRowFirstColumn="0" w:lastRowLastColumn="0"/>
          <w:trHeight w:val="288"/>
        </w:trPr>
        <w:tc>
          <w:tcPr>
            <w:tcW w:w="3377" w:type="pct"/>
            <w:noWrap/>
            <w:hideMark/>
          </w:tcPr>
          <w:p w14:paraId="05B82DAA"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Agricultural, Fisheries and Forestry Scientists</w:t>
            </w:r>
          </w:p>
        </w:tc>
        <w:tc>
          <w:tcPr>
            <w:tcW w:w="812" w:type="pct"/>
            <w:noWrap/>
            <w:hideMark/>
          </w:tcPr>
          <w:p w14:paraId="05BC862A"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SG</w:t>
            </w:r>
          </w:p>
        </w:tc>
        <w:tc>
          <w:tcPr>
            <w:tcW w:w="811" w:type="pct"/>
            <w:noWrap/>
            <w:hideMark/>
          </w:tcPr>
          <w:p w14:paraId="2C739D99"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U</w:t>
            </w:r>
          </w:p>
        </w:tc>
      </w:tr>
      <w:tr w:rsidR="00AC2606" w:rsidRPr="00AC0957" w14:paraId="7A6423F2" w14:textId="77777777">
        <w:trPr>
          <w:trHeight w:val="288"/>
        </w:trPr>
        <w:tc>
          <w:tcPr>
            <w:tcW w:w="3377" w:type="pct"/>
            <w:noWrap/>
            <w:hideMark/>
          </w:tcPr>
          <w:p w14:paraId="2BE26A92"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Civil Engineering Draftspersons and Technicians</w:t>
            </w:r>
          </w:p>
        </w:tc>
        <w:tc>
          <w:tcPr>
            <w:tcW w:w="812" w:type="pct"/>
            <w:noWrap/>
            <w:hideMark/>
          </w:tcPr>
          <w:p w14:paraId="281F3251"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RG</w:t>
            </w:r>
          </w:p>
        </w:tc>
        <w:tc>
          <w:tcPr>
            <w:tcW w:w="811" w:type="pct"/>
            <w:noWrap/>
            <w:hideMark/>
          </w:tcPr>
          <w:p w14:paraId="4FDA07A5"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U</w:t>
            </w:r>
          </w:p>
        </w:tc>
      </w:tr>
      <w:tr w:rsidR="00AC2606" w:rsidRPr="00AC0957" w14:paraId="09173E48" w14:textId="77777777">
        <w:trPr>
          <w:cnfStyle w:val="000000010000" w:firstRow="0" w:lastRow="0" w:firstColumn="0" w:lastColumn="0" w:oddVBand="0" w:evenVBand="0" w:oddHBand="0" w:evenHBand="1" w:firstRowFirstColumn="0" w:firstRowLastColumn="0" w:lastRowFirstColumn="0" w:lastRowLastColumn="0"/>
          <w:trHeight w:val="288"/>
        </w:trPr>
        <w:tc>
          <w:tcPr>
            <w:tcW w:w="3377" w:type="pct"/>
            <w:noWrap/>
            <w:hideMark/>
          </w:tcPr>
          <w:p w14:paraId="6EC40767"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Metal Casting, Forging and Finishing Trades Workers</w:t>
            </w:r>
          </w:p>
        </w:tc>
        <w:tc>
          <w:tcPr>
            <w:tcW w:w="812" w:type="pct"/>
            <w:noWrap/>
            <w:hideMark/>
          </w:tcPr>
          <w:p w14:paraId="715CEA6F"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LTG</w:t>
            </w:r>
          </w:p>
        </w:tc>
        <w:tc>
          <w:tcPr>
            <w:tcW w:w="811" w:type="pct"/>
            <w:noWrap/>
            <w:hideMark/>
          </w:tcPr>
          <w:p w14:paraId="149A9372"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RG</w:t>
            </w:r>
          </w:p>
        </w:tc>
      </w:tr>
      <w:tr w:rsidR="00AC2606" w:rsidRPr="00AC0957" w14:paraId="27A8AAB0" w14:textId="77777777">
        <w:trPr>
          <w:trHeight w:val="288"/>
        </w:trPr>
        <w:tc>
          <w:tcPr>
            <w:tcW w:w="3377" w:type="pct"/>
            <w:noWrap/>
            <w:hideMark/>
          </w:tcPr>
          <w:p w14:paraId="5BBCF6AB"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Sheetmetal Workers</w:t>
            </w:r>
          </w:p>
        </w:tc>
        <w:tc>
          <w:tcPr>
            <w:tcW w:w="812" w:type="pct"/>
            <w:noWrap/>
            <w:hideMark/>
          </w:tcPr>
          <w:p w14:paraId="7B4FE5E5"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LTG</w:t>
            </w:r>
          </w:p>
        </w:tc>
        <w:tc>
          <w:tcPr>
            <w:tcW w:w="811" w:type="pct"/>
            <w:noWrap/>
            <w:hideMark/>
          </w:tcPr>
          <w:p w14:paraId="433371FC"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RG</w:t>
            </w:r>
          </w:p>
        </w:tc>
      </w:tr>
      <w:tr w:rsidR="00AC2606" w:rsidRPr="00AC0957" w14:paraId="3DF89C00" w14:textId="77777777">
        <w:trPr>
          <w:cnfStyle w:val="000000010000" w:firstRow="0" w:lastRow="0" w:firstColumn="0" w:lastColumn="0" w:oddVBand="0" w:evenVBand="0" w:oddHBand="0" w:evenHBand="1" w:firstRowFirstColumn="0" w:firstRowLastColumn="0" w:lastRowFirstColumn="0" w:lastRowLastColumn="0"/>
          <w:trHeight w:val="288"/>
        </w:trPr>
        <w:tc>
          <w:tcPr>
            <w:tcW w:w="3377" w:type="pct"/>
            <w:noWrap/>
            <w:hideMark/>
          </w:tcPr>
          <w:p w14:paraId="0CA8E91F"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Structural Steel and Welding Trades Workers</w:t>
            </w:r>
          </w:p>
        </w:tc>
        <w:tc>
          <w:tcPr>
            <w:tcW w:w="812" w:type="pct"/>
            <w:noWrap/>
            <w:hideMark/>
          </w:tcPr>
          <w:p w14:paraId="4704132B"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LTG</w:t>
            </w:r>
          </w:p>
        </w:tc>
        <w:tc>
          <w:tcPr>
            <w:tcW w:w="811" w:type="pct"/>
            <w:noWrap/>
            <w:hideMark/>
          </w:tcPr>
          <w:p w14:paraId="02602859"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RG</w:t>
            </w:r>
          </w:p>
        </w:tc>
      </w:tr>
      <w:tr w:rsidR="00AC2606" w:rsidRPr="00AC0957" w14:paraId="08310864" w14:textId="77777777">
        <w:trPr>
          <w:trHeight w:val="288"/>
        </w:trPr>
        <w:tc>
          <w:tcPr>
            <w:tcW w:w="3377" w:type="pct"/>
            <w:noWrap/>
            <w:hideMark/>
          </w:tcPr>
          <w:p w14:paraId="0585724A"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Aircraft Maintenance Engineers</w:t>
            </w:r>
          </w:p>
        </w:tc>
        <w:tc>
          <w:tcPr>
            <w:tcW w:w="812" w:type="pct"/>
            <w:noWrap/>
            <w:hideMark/>
          </w:tcPr>
          <w:p w14:paraId="6B7E3388"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U</w:t>
            </w:r>
          </w:p>
        </w:tc>
        <w:tc>
          <w:tcPr>
            <w:tcW w:w="811" w:type="pct"/>
            <w:noWrap/>
            <w:hideMark/>
          </w:tcPr>
          <w:p w14:paraId="638BE084"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STG</w:t>
            </w:r>
          </w:p>
        </w:tc>
      </w:tr>
      <w:tr w:rsidR="00AC2606" w:rsidRPr="00AC0957" w14:paraId="76397AE6" w14:textId="77777777">
        <w:trPr>
          <w:cnfStyle w:val="000000010000" w:firstRow="0" w:lastRow="0" w:firstColumn="0" w:lastColumn="0" w:oddVBand="0" w:evenVBand="0" w:oddHBand="0" w:evenHBand="1" w:firstRowFirstColumn="0" w:firstRowLastColumn="0" w:lastRowFirstColumn="0" w:lastRowLastColumn="0"/>
          <w:trHeight w:val="288"/>
        </w:trPr>
        <w:tc>
          <w:tcPr>
            <w:tcW w:w="3377" w:type="pct"/>
            <w:noWrap/>
            <w:hideMark/>
          </w:tcPr>
          <w:p w14:paraId="5C1B8F09"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Bricklayers and Stonemasons</w:t>
            </w:r>
          </w:p>
        </w:tc>
        <w:tc>
          <w:tcPr>
            <w:tcW w:w="812" w:type="pct"/>
            <w:noWrap/>
            <w:hideMark/>
          </w:tcPr>
          <w:p w14:paraId="284B3AA4"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STG</w:t>
            </w:r>
          </w:p>
        </w:tc>
        <w:tc>
          <w:tcPr>
            <w:tcW w:w="811" w:type="pct"/>
            <w:noWrap/>
            <w:hideMark/>
          </w:tcPr>
          <w:p w14:paraId="69156E68"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LTG</w:t>
            </w:r>
          </w:p>
        </w:tc>
      </w:tr>
      <w:tr w:rsidR="00AC2606" w:rsidRPr="00AC0957" w14:paraId="5F6EFF15" w14:textId="77777777">
        <w:trPr>
          <w:trHeight w:val="288"/>
        </w:trPr>
        <w:tc>
          <w:tcPr>
            <w:tcW w:w="3377" w:type="pct"/>
            <w:noWrap/>
            <w:hideMark/>
          </w:tcPr>
          <w:p w14:paraId="162CB1B5"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Glaziers</w:t>
            </w:r>
          </w:p>
        </w:tc>
        <w:tc>
          <w:tcPr>
            <w:tcW w:w="812" w:type="pct"/>
            <w:noWrap/>
            <w:hideMark/>
          </w:tcPr>
          <w:p w14:paraId="4BAA32D0"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RG</w:t>
            </w:r>
          </w:p>
        </w:tc>
        <w:tc>
          <w:tcPr>
            <w:tcW w:w="811" w:type="pct"/>
            <w:noWrap/>
            <w:hideMark/>
          </w:tcPr>
          <w:p w14:paraId="5B6C2908"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LTG</w:t>
            </w:r>
          </w:p>
        </w:tc>
      </w:tr>
      <w:tr w:rsidR="00AC2606" w:rsidRPr="00AC0957" w14:paraId="48614476" w14:textId="77777777">
        <w:trPr>
          <w:cnfStyle w:val="000000010000" w:firstRow="0" w:lastRow="0" w:firstColumn="0" w:lastColumn="0" w:oddVBand="0" w:evenVBand="0" w:oddHBand="0" w:evenHBand="1" w:firstRowFirstColumn="0" w:firstRowLastColumn="0" w:lastRowFirstColumn="0" w:lastRowLastColumn="0"/>
          <w:trHeight w:val="288"/>
        </w:trPr>
        <w:tc>
          <w:tcPr>
            <w:tcW w:w="3377" w:type="pct"/>
            <w:noWrap/>
            <w:hideMark/>
          </w:tcPr>
          <w:p w14:paraId="403CA70A"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Plasterers and Renderers</w:t>
            </w:r>
          </w:p>
        </w:tc>
        <w:tc>
          <w:tcPr>
            <w:tcW w:w="812" w:type="pct"/>
            <w:noWrap/>
            <w:hideMark/>
          </w:tcPr>
          <w:p w14:paraId="71E0FF60"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RG</w:t>
            </w:r>
          </w:p>
        </w:tc>
        <w:tc>
          <w:tcPr>
            <w:tcW w:w="811" w:type="pct"/>
            <w:noWrap/>
            <w:hideMark/>
          </w:tcPr>
          <w:p w14:paraId="5FB1F06C"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U</w:t>
            </w:r>
          </w:p>
        </w:tc>
      </w:tr>
      <w:tr w:rsidR="00AC2606" w:rsidRPr="00AC0957" w14:paraId="390A6C4C" w14:textId="77777777">
        <w:trPr>
          <w:trHeight w:val="288"/>
        </w:trPr>
        <w:tc>
          <w:tcPr>
            <w:tcW w:w="3377" w:type="pct"/>
            <w:noWrap/>
            <w:hideMark/>
          </w:tcPr>
          <w:p w14:paraId="568C4BEA"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Roof Tilers</w:t>
            </w:r>
          </w:p>
        </w:tc>
        <w:tc>
          <w:tcPr>
            <w:tcW w:w="812" w:type="pct"/>
            <w:noWrap/>
            <w:hideMark/>
          </w:tcPr>
          <w:p w14:paraId="5F49432C"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RG</w:t>
            </w:r>
          </w:p>
        </w:tc>
        <w:tc>
          <w:tcPr>
            <w:tcW w:w="811" w:type="pct"/>
            <w:noWrap/>
            <w:hideMark/>
          </w:tcPr>
          <w:p w14:paraId="18A2CFCB"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U</w:t>
            </w:r>
          </w:p>
        </w:tc>
      </w:tr>
      <w:tr w:rsidR="00AC2606" w:rsidRPr="00AC0957" w14:paraId="171B22A5" w14:textId="77777777">
        <w:trPr>
          <w:cnfStyle w:val="000000010000" w:firstRow="0" w:lastRow="0" w:firstColumn="0" w:lastColumn="0" w:oddVBand="0" w:evenVBand="0" w:oddHBand="0" w:evenHBand="1" w:firstRowFirstColumn="0" w:firstRowLastColumn="0" w:lastRowFirstColumn="0" w:lastRowLastColumn="0"/>
          <w:trHeight w:val="288"/>
        </w:trPr>
        <w:tc>
          <w:tcPr>
            <w:tcW w:w="3377" w:type="pct"/>
            <w:noWrap/>
            <w:hideMark/>
          </w:tcPr>
          <w:p w14:paraId="5FE9795F"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Wall and Floor Tilers</w:t>
            </w:r>
          </w:p>
        </w:tc>
        <w:tc>
          <w:tcPr>
            <w:tcW w:w="812" w:type="pct"/>
            <w:noWrap/>
            <w:hideMark/>
          </w:tcPr>
          <w:p w14:paraId="1AE22295"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RG</w:t>
            </w:r>
          </w:p>
        </w:tc>
        <w:tc>
          <w:tcPr>
            <w:tcW w:w="811" w:type="pct"/>
            <w:noWrap/>
            <w:hideMark/>
          </w:tcPr>
          <w:p w14:paraId="70556546"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LTG</w:t>
            </w:r>
          </w:p>
        </w:tc>
      </w:tr>
      <w:tr w:rsidR="00AC2606" w:rsidRPr="00AC0957" w14:paraId="214E441F" w14:textId="77777777">
        <w:trPr>
          <w:trHeight w:val="288"/>
        </w:trPr>
        <w:tc>
          <w:tcPr>
            <w:tcW w:w="3377" w:type="pct"/>
            <w:noWrap/>
            <w:hideMark/>
          </w:tcPr>
          <w:p w14:paraId="070CE34B"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Security Officers and Guards</w:t>
            </w:r>
          </w:p>
        </w:tc>
        <w:tc>
          <w:tcPr>
            <w:tcW w:w="812" w:type="pct"/>
            <w:noWrap/>
            <w:hideMark/>
          </w:tcPr>
          <w:p w14:paraId="14787570"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STG</w:t>
            </w:r>
          </w:p>
        </w:tc>
        <w:tc>
          <w:tcPr>
            <w:tcW w:w="811" w:type="pct"/>
            <w:noWrap/>
            <w:hideMark/>
          </w:tcPr>
          <w:p w14:paraId="6C3DFE36"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SG</w:t>
            </w:r>
          </w:p>
        </w:tc>
      </w:tr>
      <w:tr w:rsidR="00AC2606" w:rsidRPr="00AC0957" w14:paraId="4ACDD594" w14:textId="77777777">
        <w:trPr>
          <w:cnfStyle w:val="000000010000" w:firstRow="0" w:lastRow="0" w:firstColumn="0" w:lastColumn="0" w:oddVBand="0" w:evenVBand="0" w:oddHBand="0" w:evenHBand="1" w:firstRowFirstColumn="0" w:firstRowLastColumn="0" w:lastRowFirstColumn="0" w:lastRowLastColumn="0"/>
          <w:trHeight w:val="288"/>
        </w:trPr>
        <w:tc>
          <w:tcPr>
            <w:tcW w:w="3377" w:type="pct"/>
            <w:noWrap/>
            <w:hideMark/>
          </w:tcPr>
          <w:p w14:paraId="52981F52"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Gallery, Museum and Tour Guides</w:t>
            </w:r>
          </w:p>
        </w:tc>
        <w:tc>
          <w:tcPr>
            <w:tcW w:w="812" w:type="pct"/>
            <w:noWrap/>
            <w:hideMark/>
          </w:tcPr>
          <w:p w14:paraId="30F66043"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STG</w:t>
            </w:r>
          </w:p>
        </w:tc>
        <w:tc>
          <w:tcPr>
            <w:tcW w:w="811" w:type="pct"/>
            <w:noWrap/>
            <w:hideMark/>
          </w:tcPr>
          <w:p w14:paraId="76D7AB26"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U</w:t>
            </w:r>
          </w:p>
        </w:tc>
      </w:tr>
      <w:tr w:rsidR="00AC2606" w:rsidRPr="00AC0957" w14:paraId="670710D6" w14:textId="77777777">
        <w:trPr>
          <w:trHeight w:val="288"/>
        </w:trPr>
        <w:tc>
          <w:tcPr>
            <w:tcW w:w="3377" w:type="pct"/>
            <w:noWrap/>
            <w:hideMark/>
          </w:tcPr>
          <w:p w14:paraId="55876382"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Tourism and Travel Advisers</w:t>
            </w:r>
          </w:p>
        </w:tc>
        <w:tc>
          <w:tcPr>
            <w:tcW w:w="812" w:type="pct"/>
            <w:noWrap/>
            <w:hideMark/>
          </w:tcPr>
          <w:p w14:paraId="46015CC6"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STG</w:t>
            </w:r>
          </w:p>
        </w:tc>
        <w:tc>
          <w:tcPr>
            <w:tcW w:w="811" w:type="pct"/>
            <w:noWrap/>
            <w:hideMark/>
          </w:tcPr>
          <w:p w14:paraId="3D50FD02" w14:textId="77777777" w:rsidR="00AC2606" w:rsidRPr="00FE6620" w:rsidRDefault="00AC2606">
            <w:pPr>
              <w:rPr>
                <w:rFonts w:asciiTheme="minorHAnsi" w:hAnsiTheme="minorHAnsi" w:cstheme="minorHAnsi"/>
                <w:sz w:val="20"/>
                <w:szCs w:val="20"/>
                <w:lang w:eastAsia="en-AU"/>
              </w:rPr>
            </w:pPr>
            <w:r w:rsidRPr="00FE6620">
              <w:rPr>
                <w:rFonts w:asciiTheme="minorHAnsi" w:hAnsiTheme="minorHAnsi" w:cstheme="minorHAnsi"/>
                <w:sz w:val="20"/>
                <w:szCs w:val="20"/>
                <w:lang w:eastAsia="en-AU"/>
              </w:rPr>
              <w:t>U</w:t>
            </w:r>
          </w:p>
        </w:tc>
      </w:tr>
    </w:tbl>
    <w:p w14:paraId="10F78FC9" w14:textId="77777777" w:rsidR="00D73E19" w:rsidRDefault="00AC2606" w:rsidP="00AC2606">
      <w:pPr>
        <w:pStyle w:val="Source"/>
        <w:rPr>
          <w:rFonts w:cs="Arial"/>
        </w:rPr>
      </w:pPr>
      <w:r w:rsidRPr="00B57DAC">
        <w:rPr>
          <w:rFonts w:cs="Arial"/>
        </w:rPr>
        <w:t>Source: Jobs and Skills Australia.</w:t>
      </w:r>
    </w:p>
    <w:p w14:paraId="151DDD27" w14:textId="51B4679B" w:rsidR="00AC2606" w:rsidRPr="00B57DAC" w:rsidRDefault="00AC2606" w:rsidP="00AC2606">
      <w:pPr>
        <w:pStyle w:val="Source"/>
        <w:rPr>
          <w:rFonts w:cs="Arial"/>
        </w:rPr>
      </w:pPr>
      <w:r w:rsidRPr="00B57DAC" w:rsidDel="00127786">
        <w:rPr>
          <w:rFonts w:cs="Arial"/>
        </w:rPr>
        <w:t xml:space="preserve">Note: </w:t>
      </w:r>
      <w:r w:rsidRPr="00B57DAC">
        <w:rPr>
          <w:rFonts w:cs="Arial"/>
        </w:rPr>
        <w:t xml:space="preserve">LTG: Long training gap, </w:t>
      </w:r>
      <w:r w:rsidRPr="00B57DAC" w:rsidDel="0088641F">
        <w:rPr>
          <w:rFonts w:cs="Arial"/>
        </w:rPr>
        <w:t xml:space="preserve">RG: Retention gap, </w:t>
      </w:r>
      <w:r w:rsidRPr="00B57DAC" w:rsidDel="00CA416E">
        <w:rPr>
          <w:rFonts w:cs="Arial"/>
        </w:rPr>
        <w:t>SG: Suitability gap</w:t>
      </w:r>
      <w:r w:rsidRPr="00B57DAC">
        <w:rPr>
          <w:rFonts w:cs="Arial"/>
        </w:rPr>
        <w:t>, STG: Short training gap and U</w:t>
      </w:r>
      <w:r w:rsidRPr="00B57DAC" w:rsidDel="00127786">
        <w:rPr>
          <w:rFonts w:cs="Arial"/>
        </w:rPr>
        <w:t xml:space="preserve">: </w:t>
      </w:r>
      <w:r w:rsidRPr="00B57DAC">
        <w:rPr>
          <w:rFonts w:cs="Arial"/>
        </w:rPr>
        <w:t>Unknown/Uncertain.</w:t>
      </w:r>
    </w:p>
    <w:p w14:paraId="360E24E1" w14:textId="1BABB854" w:rsidR="00AC2606" w:rsidRPr="00AC0957" w:rsidRDefault="00C8144C" w:rsidP="00C8144C">
      <w:pPr>
        <w:rPr>
          <w:rFonts w:cs="Arial"/>
        </w:rPr>
      </w:pPr>
      <w:r w:rsidRPr="00C8144C">
        <w:rPr>
          <w:rFonts w:cs="Arial"/>
        </w:rPr>
        <w:t>There were 8 unit groups which transitioned from a specific shortage driver group in 2023 to the category where the primary driver is ‘unknown/uncertain’ in 2024. There were also more unit groups in the ‘unknown/uncertain’ category in 2024 than in 2023. This implies there was a less pronounced primary driver in 2024. The changes in shortage drivers can also reflect the impact of changing labour market conditions. This suggest</w:t>
      </w:r>
      <w:r w:rsidR="00B528D0">
        <w:rPr>
          <w:rFonts w:cs="Arial"/>
        </w:rPr>
        <w:t>s</w:t>
      </w:r>
      <w:r w:rsidRPr="00C8144C">
        <w:rPr>
          <w:rFonts w:cs="Arial"/>
        </w:rPr>
        <w:t xml:space="preserve"> that labour markets are dynamic and evolve over time, which means that the balance of factors that drive shortages (training, suitability and retention gaps) will also evolve over time</w:t>
      </w:r>
      <w:r w:rsidR="00AC2606" w:rsidRPr="00AC0957">
        <w:rPr>
          <w:rFonts w:cs="Arial"/>
        </w:rPr>
        <w:t xml:space="preserve">. </w:t>
      </w:r>
    </w:p>
    <w:p w14:paraId="2ABBCF8E" w14:textId="77777777" w:rsidR="00EA4A1A" w:rsidRDefault="00EA4A1A">
      <w:pPr>
        <w:spacing w:after="160" w:line="259" w:lineRule="auto"/>
        <w:rPr>
          <w:rFonts w:eastAsiaTheme="majorEastAsia" w:cstheme="majorBidi"/>
          <w:b/>
          <w:color w:val="4B0885" w:themeColor="text2"/>
          <w:sz w:val="26"/>
          <w:szCs w:val="24"/>
        </w:rPr>
      </w:pPr>
      <w:bookmarkStart w:id="147" w:name="_Toc179887387"/>
      <w:r>
        <w:br w:type="page"/>
      </w:r>
    </w:p>
    <w:p w14:paraId="57A9A859" w14:textId="56237E94" w:rsidR="00AC2606" w:rsidRPr="00AC0957" w:rsidRDefault="00AC2606" w:rsidP="00D73E19">
      <w:pPr>
        <w:pStyle w:val="Heading3"/>
      </w:pPr>
      <w:bookmarkStart w:id="148" w:name="_Toc181371581"/>
      <w:r w:rsidRPr="00D73E19">
        <w:t>Addressing</w:t>
      </w:r>
      <w:r w:rsidRPr="00AC0957">
        <w:t xml:space="preserve"> occupation shortages</w:t>
      </w:r>
      <w:bookmarkEnd w:id="147"/>
      <w:bookmarkEnd w:id="148"/>
    </w:p>
    <w:p w14:paraId="45400549" w14:textId="77777777" w:rsidR="00CF33AF" w:rsidRPr="00CF33AF" w:rsidRDefault="00CF33AF" w:rsidP="00CF33AF">
      <w:pPr>
        <w:rPr>
          <w:rFonts w:cs="Arial"/>
        </w:rPr>
      </w:pPr>
      <w:r w:rsidRPr="00CF33AF">
        <w:rPr>
          <w:rFonts w:cs="Arial"/>
        </w:rPr>
        <w:t>Possible interventions to address these gaps will depend on the underlying shortage drivers.</w:t>
      </w:r>
    </w:p>
    <w:p w14:paraId="4417AE3E" w14:textId="77777777" w:rsidR="00CF33AF" w:rsidRPr="00CF33AF" w:rsidRDefault="00CF33AF" w:rsidP="00CF33AF">
      <w:pPr>
        <w:rPr>
          <w:rFonts w:cs="Arial"/>
        </w:rPr>
      </w:pPr>
      <w:r w:rsidRPr="00CF33AF">
        <w:rPr>
          <w:rFonts w:cs="Arial"/>
        </w:rPr>
        <w:t>For occupations with a training gap (long or short), shortages are driven largely by a lack of qualified applicants. While these shortage types can partially be addressed by employers through measures aimed at improving employee retention, solutions will largely come from policy and educational providers increasing the throughput of qualified workers into the labour market. While knowledge or licensing requirements will mean some occupations require workers to undertake formal qualification pathways, interventions for other occupations could utilise a more flexible approach including on-the-job training. Migration is often a suitable short-term solution for these occupations, particularly when the training time is long.</w:t>
      </w:r>
    </w:p>
    <w:p w14:paraId="5B844981" w14:textId="77777777" w:rsidR="00CF33AF" w:rsidRPr="00CF33AF" w:rsidRDefault="00CF33AF" w:rsidP="00CF33AF">
      <w:pPr>
        <w:rPr>
          <w:rFonts w:cs="Arial"/>
        </w:rPr>
      </w:pPr>
      <w:r w:rsidRPr="00CF33AF">
        <w:rPr>
          <w:rFonts w:cs="Arial"/>
        </w:rPr>
        <w:t>For suitability gaps, applicants may hold the requisite qualifications for a job but still be deemed unsuitable for the role by the employer – perhaps due to lacking the skills or experience considered necessary. Interventions could examine training programs for these occupations and whether they adequately prepare individuals for the workforce or increase focus on enhancing the attributes of qualified individuals through investment in employability skills and work experience. These shortages may also indicate that employers have unrealistic expectations of graduates, or that they are recruiting for more senior roles within an occupation category that require a greater deal of work experience and management as well as technical skills.</w:t>
      </w:r>
    </w:p>
    <w:p w14:paraId="4532292E" w14:textId="7D04B08D" w:rsidR="00AC2606" w:rsidRPr="00AC0957" w:rsidRDefault="00CF33AF" w:rsidP="00CF33AF">
      <w:pPr>
        <w:rPr>
          <w:rFonts w:cs="Arial"/>
        </w:rPr>
      </w:pPr>
      <w:r w:rsidRPr="00CF33AF">
        <w:rPr>
          <w:rFonts w:cs="Arial"/>
        </w:rPr>
        <w:t>For retention gaps, factors such as working conditions, workplace culture, social norms and expectations, and remuneration may play more of a role in driving shortages. Some industries have taken a practical approach to addressing some of these types of issues, as in the construction industry</w:t>
      </w:r>
      <w:r w:rsidR="00AC2606" w:rsidRPr="00AC0957">
        <w:rPr>
          <w:rFonts w:cs="Arial"/>
        </w:rPr>
        <w:t xml:space="preserve">. </w:t>
      </w:r>
    </w:p>
    <w:tbl>
      <w:tblPr>
        <w:tblStyle w:val="TableGrid"/>
        <w:tblW w:w="0" w:type="auto"/>
        <w:tblLook w:val="04A0" w:firstRow="1" w:lastRow="0" w:firstColumn="1" w:lastColumn="0" w:noHBand="0" w:noVBand="1"/>
      </w:tblPr>
      <w:tblGrid>
        <w:gridCol w:w="9016"/>
      </w:tblGrid>
      <w:tr w:rsidR="00AC2606" w:rsidRPr="00AC0957" w14:paraId="1992D046" w14:textId="77777777" w:rsidTr="005B7FD3">
        <w:tc>
          <w:tcPr>
            <w:tcW w:w="9016" w:type="dxa"/>
            <w:tcBorders>
              <w:top w:val="nil"/>
              <w:left w:val="nil"/>
              <w:bottom w:val="nil"/>
              <w:right w:val="nil"/>
            </w:tcBorders>
            <w:shd w:val="clear" w:color="auto" w:fill="E0D1F5" w:themeFill="accent1" w:themeFillTint="33"/>
          </w:tcPr>
          <w:p w14:paraId="3C376CB4" w14:textId="20A1372E" w:rsidR="00AC2606" w:rsidRPr="00AC0957" w:rsidRDefault="00AC2606" w:rsidP="00D73E19">
            <w:pPr>
              <w:pStyle w:val="Heading3"/>
              <w:rPr>
                <w:rFonts w:cs="Arial"/>
              </w:rPr>
            </w:pPr>
            <w:bookmarkStart w:id="149" w:name="_Toc179887388"/>
            <w:bookmarkStart w:id="150" w:name="_Toc181371582"/>
            <w:r w:rsidRPr="00AC0957">
              <w:rPr>
                <w:rFonts w:cs="Arial"/>
              </w:rPr>
              <w:t>Case study – The Construction Industry Culture Taskforce</w:t>
            </w:r>
            <w:bookmarkEnd w:id="149"/>
            <w:bookmarkEnd w:id="150"/>
          </w:p>
          <w:p w14:paraId="25649B89" w14:textId="63CE9EF3" w:rsidR="00AC2606" w:rsidRPr="00AC0957" w:rsidRDefault="00AC2606">
            <w:pPr>
              <w:rPr>
                <w:rFonts w:cs="Arial"/>
              </w:rPr>
            </w:pPr>
            <w:r w:rsidRPr="00AC0957">
              <w:rPr>
                <w:rFonts w:cs="Arial"/>
              </w:rPr>
              <w:t xml:space="preserve">An Australian Construction Industry Culture Taskforce has been established to help improve the productivity and performance of construction, offer a great workplace experience for employees in the sector, and address some of the culture challenges considered to be affecting the success of the industry. These issues were deemed to include work hours, fatigue, mental health, and issues attracting a diverse workforce. </w:t>
            </w:r>
          </w:p>
          <w:p w14:paraId="2CDE7E7B" w14:textId="427E824E" w:rsidR="00AC2606" w:rsidRPr="00AC0957" w:rsidRDefault="00AC2606">
            <w:pPr>
              <w:rPr>
                <w:rFonts w:cs="Arial"/>
              </w:rPr>
            </w:pPr>
            <w:r w:rsidRPr="00AC0957">
              <w:rPr>
                <w:rFonts w:cs="Arial"/>
              </w:rPr>
              <w:t xml:space="preserve">The Taskforce is made up of the Australian Constructors Association (representing Australia’s largest construction firms), the </w:t>
            </w:r>
            <w:r w:rsidR="00E37D0C">
              <w:rPr>
                <w:rFonts w:cs="Arial"/>
              </w:rPr>
              <w:t>g</w:t>
            </w:r>
            <w:r w:rsidRPr="00AC0957">
              <w:rPr>
                <w:rFonts w:cs="Arial"/>
              </w:rPr>
              <w:t xml:space="preserve">overnments of New South Wales and Victoria, and Australia’s leading workplace researchers. </w:t>
            </w:r>
          </w:p>
          <w:p w14:paraId="198BE05D" w14:textId="1F6B678E" w:rsidR="00AC2606" w:rsidRPr="00AC0957" w:rsidRDefault="00AC2606">
            <w:pPr>
              <w:rPr>
                <w:rFonts w:cs="Arial"/>
              </w:rPr>
            </w:pPr>
            <w:r w:rsidRPr="00AC0957">
              <w:rPr>
                <w:rFonts w:cs="Arial"/>
              </w:rPr>
              <w:t>A draft Culture Standard has been introduced by the Taskforce to help address industry-wide culture issues in relation to work hours, diversity, and health and wellbeing</w:t>
            </w:r>
            <w:sdt>
              <w:sdtPr>
                <w:rPr>
                  <w:rFonts w:cs="Arial"/>
                </w:rPr>
                <w:id w:val="-864278993"/>
                <w:citation/>
              </w:sdtPr>
              <w:sdtEndPr/>
              <w:sdtContent>
                <w:r w:rsidRPr="00AC0957">
                  <w:rPr>
                    <w:rFonts w:cs="Arial"/>
                  </w:rPr>
                  <w:fldChar w:fldCharType="begin"/>
                </w:r>
                <w:r w:rsidR="00934658">
                  <w:rPr>
                    <w:rFonts w:cs="Arial"/>
                  </w:rPr>
                  <w:instrText xml:space="preserve">CITATION RMI21 \l 3081 </w:instrText>
                </w:r>
                <w:r w:rsidRPr="00AC0957">
                  <w:rPr>
                    <w:rFonts w:cs="Arial"/>
                  </w:rPr>
                  <w:fldChar w:fldCharType="separate"/>
                </w:r>
                <w:r w:rsidR="00934658">
                  <w:rPr>
                    <w:rFonts w:cs="Arial"/>
                    <w:noProof/>
                  </w:rPr>
                  <w:t xml:space="preserve"> </w:t>
                </w:r>
                <w:r w:rsidR="00934658" w:rsidRPr="00934658">
                  <w:rPr>
                    <w:rFonts w:cs="Arial"/>
                    <w:noProof/>
                  </w:rPr>
                  <w:t>(RMIT University, 2021)</w:t>
                </w:r>
                <w:r w:rsidRPr="00AC0957">
                  <w:rPr>
                    <w:rFonts w:cs="Arial"/>
                  </w:rPr>
                  <w:fldChar w:fldCharType="end"/>
                </w:r>
              </w:sdtContent>
            </w:sdt>
            <w:r w:rsidRPr="00AC0957">
              <w:rPr>
                <w:rFonts w:cs="Arial"/>
              </w:rPr>
              <w:t xml:space="preserve">, and is being piloted across </w:t>
            </w:r>
            <w:r w:rsidR="007F57A5">
              <w:rPr>
                <w:rFonts w:cs="Arial"/>
              </w:rPr>
              <w:t>5</w:t>
            </w:r>
            <w:r w:rsidRPr="00AC0957">
              <w:rPr>
                <w:rFonts w:cs="Arial"/>
              </w:rPr>
              <w:t xml:space="preserve"> construction projects to evaluate its effect. </w:t>
            </w:r>
          </w:p>
          <w:p w14:paraId="262B0F8D" w14:textId="38B2C666" w:rsidR="00AC2606" w:rsidRPr="00AC0957" w:rsidRDefault="00AC2606">
            <w:pPr>
              <w:rPr>
                <w:rFonts w:cs="Arial"/>
              </w:rPr>
            </w:pPr>
            <w:r w:rsidRPr="00AC0957">
              <w:rPr>
                <w:rFonts w:cs="Arial"/>
              </w:rPr>
              <w:t xml:space="preserve">Across the </w:t>
            </w:r>
            <w:r w:rsidR="007F57A5">
              <w:rPr>
                <w:rFonts w:cs="Arial"/>
              </w:rPr>
              <w:t>5</w:t>
            </w:r>
            <w:r w:rsidRPr="00AC0957">
              <w:rPr>
                <w:rFonts w:cs="Arial"/>
              </w:rPr>
              <w:t xml:space="preserve"> pilot projects, actions observed relating to the standard have so far included:</w:t>
            </w:r>
          </w:p>
          <w:p w14:paraId="5D005DCD" w14:textId="547A87E5" w:rsidR="00AC2606" w:rsidRPr="00AC0957" w:rsidRDefault="00AC2606" w:rsidP="00D73E19">
            <w:pPr>
              <w:pStyle w:val="ListBullet"/>
            </w:pPr>
            <w:r w:rsidRPr="00AC0957">
              <w:t>adopting work schedules which varied between pilots in line with project circumstances which give employees more certainty about when they will be required to work and when they can schedule personal commitments</w:t>
            </w:r>
          </w:p>
          <w:p w14:paraId="721B698C" w14:textId="19A2FE8B" w:rsidR="00AC2606" w:rsidRPr="00AC0957" w:rsidRDefault="00AC2606" w:rsidP="00D73E19">
            <w:pPr>
              <w:pStyle w:val="ListBullet"/>
            </w:pPr>
            <w:r w:rsidRPr="00AC0957">
              <w:t>adapting to employee preferences for a five- or six-day week (including retaining the option for employees at one site to work Saturdays if they have a preference to do so)</w:t>
            </w:r>
          </w:p>
          <w:p w14:paraId="20AD052A" w14:textId="659D153E" w:rsidR="00AC2606" w:rsidRPr="00AC0957" w:rsidRDefault="00AC2606" w:rsidP="00D73E19">
            <w:pPr>
              <w:pStyle w:val="ListBullet"/>
            </w:pPr>
            <w:r w:rsidRPr="00AC0957">
              <w:t>providing informal support for flexible work time in order to meet family or other commitments</w:t>
            </w:r>
          </w:p>
          <w:p w14:paraId="28ABE5EA" w14:textId="1D81BB90" w:rsidR="00AC2606" w:rsidRPr="00AC0957" w:rsidRDefault="00AC2606" w:rsidP="00D73E19">
            <w:pPr>
              <w:pStyle w:val="ListBullet"/>
            </w:pPr>
            <w:r w:rsidRPr="00AC0957">
              <w:t xml:space="preserve">implementing programs to support worker health and </w:t>
            </w:r>
            <w:r w:rsidR="002070A6" w:rsidRPr="00AC0957">
              <w:t>wellbeing and</w:t>
            </w:r>
            <w:r w:rsidRPr="00AC0957">
              <w:t xml:space="preserve"> providing strong support from management for wellbeing</w:t>
            </w:r>
          </w:p>
          <w:p w14:paraId="65A00AB0" w14:textId="33C51319" w:rsidR="00AC2606" w:rsidRPr="00AC0957" w:rsidRDefault="00AC2606" w:rsidP="00D73E19">
            <w:pPr>
              <w:pStyle w:val="ListBullet"/>
            </w:pPr>
            <w:r w:rsidRPr="00AC0957">
              <w:t>providing a two-day weekend to improve rest and recovery</w:t>
            </w:r>
          </w:p>
          <w:p w14:paraId="47C6E31F" w14:textId="531966E2" w:rsidR="00AC2606" w:rsidRPr="00AC0957" w:rsidRDefault="00AC2606" w:rsidP="00D73E19">
            <w:pPr>
              <w:pStyle w:val="ListBullet"/>
            </w:pPr>
            <w:r w:rsidRPr="00AC0957">
              <w:t>implementing a zero-tolerance approach to offensive language, material, and behaviour, and in some cases a respect policy for subcontractor contracts</w:t>
            </w:r>
          </w:p>
          <w:p w14:paraId="3403E64B" w14:textId="759E6818" w:rsidR="00AC2606" w:rsidRPr="00AC0957" w:rsidRDefault="00AC2606" w:rsidP="00D73E19">
            <w:pPr>
              <w:pStyle w:val="ListBullet"/>
            </w:pPr>
            <w:r w:rsidRPr="00AC0957">
              <w:t>representation of women in management, professional, and leadership positions in some projects</w:t>
            </w:r>
          </w:p>
          <w:p w14:paraId="54FEB25B" w14:textId="0813B7EB" w:rsidR="00AC2606" w:rsidRPr="00D73E19" w:rsidRDefault="00AC2606" w:rsidP="00D73E19">
            <w:pPr>
              <w:pStyle w:val="ListBullet"/>
            </w:pPr>
            <w:r w:rsidRPr="00AC0957">
              <w:t xml:space="preserve">provision of appropriate site amenities for female staff </w:t>
            </w:r>
            <w:sdt>
              <w:sdtPr>
                <w:id w:val="1665211394"/>
                <w:citation/>
              </w:sdtPr>
              <w:sdtEndPr/>
              <w:sdtContent>
                <w:r w:rsidRPr="00AC0957">
                  <w:fldChar w:fldCharType="begin"/>
                </w:r>
                <w:r w:rsidR="00934658">
                  <w:instrText xml:space="preserve">CITATION Con23 \l 3081 </w:instrText>
                </w:r>
                <w:r w:rsidRPr="00AC0957">
                  <w:fldChar w:fldCharType="separate"/>
                </w:r>
                <w:r w:rsidR="00934658">
                  <w:rPr>
                    <w:noProof/>
                  </w:rPr>
                  <w:t>(Construction Work Health and Safety @ RMIT, 2023)</w:t>
                </w:r>
                <w:r w:rsidRPr="00AC0957">
                  <w:fldChar w:fldCharType="end"/>
                </w:r>
              </w:sdtContent>
            </w:sdt>
            <w:r w:rsidRPr="00AC0957">
              <w:t xml:space="preserve">. </w:t>
            </w:r>
          </w:p>
          <w:p w14:paraId="2124BDD1" w14:textId="5145BE0C" w:rsidR="00AC2606" w:rsidRPr="00AC0957" w:rsidRDefault="00AC2606" w:rsidP="00E307AB">
            <w:pPr>
              <w:rPr>
                <w:rFonts w:cs="Arial"/>
              </w:rPr>
            </w:pPr>
            <w:r w:rsidRPr="00AC0957">
              <w:rPr>
                <w:rFonts w:cs="Arial"/>
              </w:rPr>
              <w:t xml:space="preserve">When the Culture Standard is finalised, governments will be called upon to incorporate compliance with the Culture Standard into their standard procurement requirements </w:t>
            </w:r>
            <w:sdt>
              <w:sdtPr>
                <w:rPr>
                  <w:rFonts w:cs="Arial"/>
                </w:rPr>
                <w:id w:val="-1909904324"/>
                <w:citation/>
              </w:sdtPr>
              <w:sdtEndPr/>
              <w:sdtContent>
                <w:r w:rsidRPr="00AC0957">
                  <w:rPr>
                    <w:rFonts w:cs="Arial"/>
                  </w:rPr>
                  <w:fldChar w:fldCharType="begin"/>
                </w:r>
                <w:r w:rsidRPr="00AC0957">
                  <w:rPr>
                    <w:rFonts w:cs="Arial"/>
                  </w:rPr>
                  <w:instrText xml:space="preserve">CITATION Aus1 \l 3081 </w:instrText>
                </w:r>
                <w:r w:rsidRPr="00AC0957">
                  <w:rPr>
                    <w:rFonts w:cs="Arial"/>
                  </w:rPr>
                  <w:fldChar w:fldCharType="separate"/>
                </w:r>
                <w:r w:rsidR="00CA3587" w:rsidRPr="00CA3587">
                  <w:rPr>
                    <w:rFonts w:cs="Arial"/>
                    <w:noProof/>
                  </w:rPr>
                  <w:t>(Australian Constructors Association, 2024)</w:t>
                </w:r>
                <w:r w:rsidRPr="00AC0957">
                  <w:rPr>
                    <w:rFonts w:cs="Arial"/>
                  </w:rPr>
                  <w:fldChar w:fldCharType="end"/>
                </w:r>
              </w:sdtContent>
            </w:sdt>
            <w:r w:rsidRPr="00AC0957">
              <w:rPr>
                <w:rFonts w:cs="Arial"/>
              </w:rPr>
              <w:t xml:space="preserve">. </w:t>
            </w:r>
          </w:p>
        </w:tc>
      </w:tr>
    </w:tbl>
    <w:p w14:paraId="304CBCA3" w14:textId="77777777" w:rsidR="00AC2606" w:rsidRPr="00AC0957" w:rsidRDefault="00AC2606" w:rsidP="00AC2606">
      <w:pPr>
        <w:rPr>
          <w:rFonts w:cs="Arial"/>
          <w:lang w:val="en-GB"/>
        </w:rPr>
      </w:pPr>
    </w:p>
    <w:tbl>
      <w:tblPr>
        <w:tblStyle w:val="TableGrid"/>
        <w:tblW w:w="0" w:type="auto"/>
        <w:tblLook w:val="04A0" w:firstRow="1" w:lastRow="0" w:firstColumn="1" w:lastColumn="0" w:noHBand="0" w:noVBand="1"/>
      </w:tblPr>
      <w:tblGrid>
        <w:gridCol w:w="9016"/>
      </w:tblGrid>
      <w:tr w:rsidR="00695A84" w14:paraId="09FEE799" w14:textId="77777777" w:rsidTr="009B00F5">
        <w:tc>
          <w:tcPr>
            <w:tcW w:w="9016" w:type="dxa"/>
            <w:tcBorders>
              <w:top w:val="nil"/>
              <w:left w:val="nil"/>
              <w:bottom w:val="nil"/>
              <w:right w:val="nil"/>
            </w:tcBorders>
            <w:shd w:val="clear" w:color="auto" w:fill="ECF1BC" w:themeFill="background2" w:themeFillTint="66"/>
          </w:tcPr>
          <w:p w14:paraId="3E182C63" w14:textId="502F6B46" w:rsidR="00695A84" w:rsidRDefault="00695A84" w:rsidP="00D73E19">
            <w:pPr>
              <w:pStyle w:val="Heading3"/>
            </w:pPr>
            <w:bookmarkStart w:id="151" w:name="_Toc181371583"/>
            <w:r>
              <w:t>Jobs and Skills Councils in focus</w:t>
            </w:r>
            <w:bookmarkEnd w:id="151"/>
          </w:p>
          <w:p w14:paraId="406BAB34" w14:textId="0E7E524A" w:rsidR="00695A84" w:rsidRDefault="00695A84" w:rsidP="00695A84">
            <w:r>
              <w:t xml:space="preserve">Among the publicly available Jobs and Skills Council work plans, several made reference to addressing shortages and recruitment difficulty. </w:t>
            </w:r>
            <w:r w:rsidR="006B4854">
              <w:t xml:space="preserve">This included the importance of further </w:t>
            </w:r>
            <w:r w:rsidR="006B4854" w:rsidRPr="007F34A0">
              <w:t xml:space="preserve">understanding the drivers of shortages and structural issues in key occupations across </w:t>
            </w:r>
            <w:r w:rsidR="006B4854">
              <w:t>their relevant</w:t>
            </w:r>
            <w:r w:rsidR="006B4854" w:rsidRPr="007F34A0">
              <w:t xml:space="preserve"> industry </w:t>
            </w:r>
            <w:r w:rsidR="00596E39" w:rsidRPr="007F34A0">
              <w:t>sectors</w:t>
            </w:r>
            <w:r w:rsidR="00596E39">
              <w:t>,</w:t>
            </w:r>
            <w:r w:rsidR="002826D8">
              <w:t xml:space="preserve"> analysing career pathways and </w:t>
            </w:r>
            <w:r w:rsidR="00F82264">
              <w:t xml:space="preserve">considering </w:t>
            </w:r>
            <w:r w:rsidR="002826D8">
              <w:t xml:space="preserve">attraction and retention issues. </w:t>
            </w:r>
            <w:r w:rsidR="00596E39">
              <w:t xml:space="preserve">Working together across sectors to address shortages was also called out as important. </w:t>
            </w:r>
          </w:p>
          <w:p w14:paraId="7D93D08A" w14:textId="23FCEF17" w:rsidR="00695A84" w:rsidRDefault="00695A84" w:rsidP="00695A84">
            <w:r>
              <w:t xml:space="preserve">The Mining and Automotive Skills Alliance, in their </w:t>
            </w:r>
            <w:r w:rsidRPr="0059171A">
              <w:rPr>
                <w:i/>
                <w:iCs/>
              </w:rPr>
              <w:t>Industry Workforce Plan: Moving Ahead Together</w:t>
            </w:r>
            <w:r>
              <w:t>, has a specific area of focus relating to cultural reform</w:t>
            </w:r>
            <w:r w:rsidR="00D87D8A">
              <w:t>.</w:t>
            </w:r>
          </w:p>
          <w:p w14:paraId="0F534EB3" w14:textId="5D186472" w:rsidR="007F34A0" w:rsidRPr="00596E39" w:rsidRDefault="00695A84" w:rsidP="00AC2606">
            <w:pPr>
              <w:rPr>
                <w:i/>
                <w:iCs/>
              </w:rPr>
            </w:pPr>
            <w:r w:rsidRPr="00531B20">
              <w:t>AUSMASA proposes to collaborate with other JSCs to develop an accredited training program, with supporting resources, for developing safe and respectful workplaces. This program would be made available across multiple training packages</w:t>
            </w:r>
            <w:sdt>
              <w:sdtPr>
                <w:rPr>
                  <w:i/>
                  <w:iCs/>
                </w:rPr>
                <w:id w:val="-1566869758"/>
                <w:citation/>
              </w:sdtPr>
              <w:sdtEndPr/>
              <w:sdtContent>
                <w:r>
                  <w:rPr>
                    <w:i/>
                    <w:iCs/>
                  </w:rPr>
                  <w:fldChar w:fldCharType="begin"/>
                </w:r>
                <w:r>
                  <w:rPr>
                    <w:i/>
                    <w:iCs/>
                  </w:rPr>
                  <w:instrText xml:space="preserve"> CITATION Min24 \l 3081 </w:instrText>
                </w:r>
                <w:r>
                  <w:rPr>
                    <w:i/>
                    <w:iCs/>
                  </w:rPr>
                  <w:fldChar w:fldCharType="separate"/>
                </w:r>
                <w:r w:rsidR="00CA3587">
                  <w:rPr>
                    <w:i/>
                    <w:iCs/>
                    <w:noProof/>
                  </w:rPr>
                  <w:t xml:space="preserve"> </w:t>
                </w:r>
                <w:r w:rsidR="00CA3587">
                  <w:rPr>
                    <w:noProof/>
                  </w:rPr>
                  <w:t>(Mining and Automotive Skills Alliance, 2024)</w:t>
                </w:r>
                <w:r>
                  <w:rPr>
                    <w:i/>
                    <w:iCs/>
                  </w:rPr>
                  <w:fldChar w:fldCharType="end"/>
                </w:r>
              </w:sdtContent>
            </w:sdt>
            <w:r w:rsidRPr="0059171A">
              <w:rPr>
                <w:i/>
                <w:iCs/>
              </w:rPr>
              <w:t>.</w:t>
            </w:r>
            <w:r w:rsidR="006B4854">
              <w:t xml:space="preserve"> </w:t>
            </w:r>
          </w:p>
        </w:tc>
      </w:tr>
    </w:tbl>
    <w:p w14:paraId="3A433633" w14:textId="77777777" w:rsidR="00695A84" w:rsidRDefault="00695A84" w:rsidP="00AC2606">
      <w:pPr>
        <w:rPr>
          <w:rFonts w:cs="Arial"/>
          <w:lang w:val="en-GB"/>
        </w:rPr>
      </w:pPr>
    </w:p>
    <w:p w14:paraId="0AED7D54" w14:textId="5C28B31B" w:rsidR="00AC2606" w:rsidRPr="00AC0957" w:rsidRDefault="000A3A05" w:rsidP="00AC2606">
      <w:pPr>
        <w:rPr>
          <w:rFonts w:cs="Arial"/>
        </w:rPr>
      </w:pPr>
      <w:r w:rsidRPr="000A3A05">
        <w:rPr>
          <w:rFonts w:cs="Arial"/>
          <w:lang w:val="en-GB"/>
        </w:rPr>
        <w:t xml:space="preserve">Interventions could also focus on helping employers to understand their options in responding to skills shortages and the relative success of different approaches. Evidence shows that most employers make limited changes to their recruitment strategy when faced with difficulty filling a vacancy. As shown in </w:t>
      </w:r>
      <w:r>
        <w:rPr>
          <w:rFonts w:cs="Arial"/>
          <w:lang w:val="en-GB"/>
        </w:rPr>
        <w:fldChar w:fldCharType="begin"/>
      </w:r>
      <w:r>
        <w:rPr>
          <w:rFonts w:cs="Arial"/>
          <w:lang w:val="en-GB"/>
        </w:rPr>
        <w:instrText xml:space="preserve"> REF _Ref179897805 \h </w:instrText>
      </w:r>
      <w:r>
        <w:rPr>
          <w:rFonts w:cs="Arial"/>
          <w:lang w:val="en-GB"/>
        </w:rPr>
      </w:r>
      <w:r>
        <w:rPr>
          <w:rFonts w:cs="Arial"/>
          <w:lang w:val="en-GB"/>
        </w:rPr>
        <w:fldChar w:fldCharType="separate"/>
      </w:r>
      <w:r w:rsidR="00C47A81">
        <w:t xml:space="preserve">Figure </w:t>
      </w:r>
      <w:r w:rsidR="00C47A81">
        <w:rPr>
          <w:noProof/>
        </w:rPr>
        <w:t>29</w:t>
      </w:r>
      <w:r>
        <w:rPr>
          <w:rFonts w:cs="Arial"/>
          <w:lang w:val="en-GB"/>
        </w:rPr>
        <w:fldChar w:fldCharType="end"/>
      </w:r>
      <w:r w:rsidRPr="000A3A05">
        <w:rPr>
          <w:rFonts w:cs="Arial"/>
          <w:lang w:val="en-GB"/>
        </w:rPr>
        <w:t>, in the 2024 OSL period, 73% of employers reported that they continue advertising in the same place when they did not fill a vacancy. Employers also sometimes sought applicants through different channels, such as word of mouth (24%) or advertising in different places (15%). These 3 actions were the most common in each of the OSL periods from 2021 to 2024</w:t>
      </w:r>
      <w:r w:rsidR="00AC2606" w:rsidRPr="00AC0957">
        <w:rPr>
          <w:rFonts w:cs="Arial"/>
          <w:lang w:val="en-GB"/>
        </w:rPr>
        <w:t>.</w:t>
      </w:r>
      <w:r w:rsidR="00AC2606" w:rsidRPr="00AC0957">
        <w:rPr>
          <w:rFonts w:cs="Arial"/>
        </w:rPr>
        <w:t>​</w:t>
      </w:r>
    </w:p>
    <w:p w14:paraId="5F209767" w14:textId="043132AA" w:rsidR="008A59DB" w:rsidRPr="008A59DB" w:rsidRDefault="00F70696" w:rsidP="008A59DB">
      <w:pPr>
        <w:pStyle w:val="Caption"/>
      </w:pPr>
      <w:bookmarkStart w:id="152" w:name="_Ref179897805"/>
      <w:bookmarkStart w:id="153" w:name="_Toc181370331"/>
      <w:r>
        <w:t xml:space="preserve">Figure </w:t>
      </w:r>
      <w:r>
        <w:fldChar w:fldCharType="begin"/>
      </w:r>
      <w:r>
        <w:instrText xml:space="preserve"> SEQ Figure \* ARABIC </w:instrText>
      </w:r>
      <w:r>
        <w:fldChar w:fldCharType="separate"/>
      </w:r>
      <w:r w:rsidR="00C47A81">
        <w:rPr>
          <w:noProof/>
        </w:rPr>
        <w:t>29</w:t>
      </w:r>
      <w:r>
        <w:fldChar w:fldCharType="end"/>
      </w:r>
      <w:bookmarkEnd w:id="152"/>
      <w:r>
        <w:t xml:space="preserve">: </w:t>
      </w:r>
      <w:r w:rsidRPr="00C311A4">
        <w:t>Employer responses to unfilled vacancies in the 2021-2024 OSL</w:t>
      </w:r>
      <w:bookmarkEnd w:id="153"/>
    </w:p>
    <w:p w14:paraId="619C6492" w14:textId="775F219D" w:rsidR="00AC2606" w:rsidRPr="00AC0957" w:rsidRDefault="00A50D99" w:rsidP="0081347F">
      <w:pPr>
        <w:jc w:val="center"/>
        <w:rPr>
          <w:rFonts w:cs="Arial"/>
          <w:lang w:val="en-GB"/>
        </w:rPr>
      </w:pPr>
      <w:r>
        <w:rPr>
          <w:rFonts w:cs="Arial"/>
          <w:noProof/>
          <w:lang w:val="en-GB"/>
        </w:rPr>
        <w:drawing>
          <wp:inline distT="0" distB="0" distL="0" distR="0" wp14:anchorId="370803BD" wp14:editId="3906DFB1">
            <wp:extent cx="5716800" cy="4658400"/>
            <wp:effectExtent l="0" t="0" r="0" b="8890"/>
            <wp:docPr id="998011754" name="Picture 49" descr="This shows the proportion of employer responses to unfilled vacancies from 2021-2024. In the 2024 OSL period, 73% of employers reported that they continue advertising in the same place in response to unfilled vacancies, while they also sought applicants through different channels, such as word of mouth (24%) or advertising in different places (15%). These three actions were the most common in each of the SPL periods from 2021 to 2024. Few employers (around 0-1%) changed the working conditions over 2021 to 2024 OSL periods, and only around 1% of employers adjusted remuneration to attract suitably skilled workers to fill vacanc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11754" name="Picture 49" descr="This shows the proportion of employer responses to unfilled vacancies from 2021-2024. In the 2024 OSL period, 73% of employers reported that they continue advertising in the same place in response to unfilled vacancies, while they also sought applicants through different channels, such as word of mouth (24%) or advertising in different places (15%). These three actions were the most common in each of the SPL periods from 2021 to 2024. Few employers (around 0-1%) changed the working conditions over 2021 to 2024 OSL periods, and only around 1% of employers adjusted remuneration to attract suitably skilled workers to fill vacancies. "/>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12845"/>
                    <a:stretch/>
                  </pic:blipFill>
                  <pic:spPr bwMode="auto">
                    <a:xfrm>
                      <a:off x="0" y="0"/>
                      <a:ext cx="5716800" cy="4658400"/>
                    </a:xfrm>
                    <a:prstGeom prst="rect">
                      <a:avLst/>
                    </a:prstGeom>
                    <a:noFill/>
                    <a:ln>
                      <a:noFill/>
                    </a:ln>
                    <a:extLst>
                      <a:ext uri="{53640926-AAD7-44D8-BBD7-CCE9431645EC}">
                        <a14:shadowObscured xmlns:a14="http://schemas.microsoft.com/office/drawing/2010/main"/>
                      </a:ext>
                    </a:extLst>
                  </pic:spPr>
                </pic:pic>
              </a:graphicData>
            </a:graphic>
          </wp:inline>
        </w:drawing>
      </w:r>
    </w:p>
    <w:p w14:paraId="47CB3012" w14:textId="0B8D5F32" w:rsidR="00AC2606" w:rsidRPr="00F70696" w:rsidRDefault="00AC2606" w:rsidP="00D73E19">
      <w:pPr>
        <w:pStyle w:val="Source"/>
        <w:rPr>
          <w:lang w:val="en-GB"/>
        </w:rPr>
      </w:pPr>
      <w:r w:rsidRPr="00F70696">
        <w:rPr>
          <w:lang w:val="en-GB"/>
        </w:rPr>
        <w:t xml:space="preserve">Source: </w:t>
      </w:r>
      <w:r w:rsidR="00EE269D">
        <w:t>J</w:t>
      </w:r>
      <w:r w:rsidR="00EE269D" w:rsidRPr="00EE269D">
        <w:t>obs and Skills Australia, Survey of Employers who have Recently Advertised, 2021–24.</w:t>
      </w:r>
    </w:p>
    <w:p w14:paraId="5900061E" w14:textId="68386DC0" w:rsidR="00AC2606" w:rsidRPr="00AC0957" w:rsidRDefault="0081347F" w:rsidP="00AC2606">
      <w:pPr>
        <w:rPr>
          <w:rFonts w:cs="Arial"/>
        </w:rPr>
      </w:pPr>
      <w:r w:rsidRPr="0081347F">
        <w:rPr>
          <w:rFonts w:cs="Arial"/>
          <w:lang w:val="en-GB"/>
        </w:rPr>
        <w:t>More work could be undertaken to understand how different approaches yield different outcomes for addressing skills shortages, including considering this data in the context of the reason for shortage or recruitment difficulty. Responses could also assist employers and workers to better understand the skills that contribute to task completion and how these are applicable across contexts</w:t>
      </w:r>
      <w:r w:rsidR="00AC2606" w:rsidRPr="00AC0957">
        <w:rPr>
          <w:rFonts w:cs="Arial"/>
        </w:rPr>
        <w:t xml:space="preserve">. </w:t>
      </w:r>
    </w:p>
    <w:p w14:paraId="70F79618" w14:textId="6CD7B433" w:rsidR="00AC2606" w:rsidRPr="00AC0957" w:rsidRDefault="00AC2606" w:rsidP="00AC2606">
      <w:pPr>
        <w:pStyle w:val="Heading2"/>
        <w:rPr>
          <w:rFonts w:cs="Arial"/>
        </w:rPr>
      </w:pPr>
      <w:bookmarkStart w:id="154" w:name="_Toc179887389"/>
      <w:bookmarkStart w:id="155" w:name="_Toc181371584"/>
      <w:r w:rsidRPr="00AC0957">
        <w:rPr>
          <w:rFonts w:cs="Arial"/>
        </w:rPr>
        <w:t>Investing in our regions</w:t>
      </w:r>
      <w:bookmarkEnd w:id="154"/>
      <w:bookmarkEnd w:id="155"/>
    </w:p>
    <w:p w14:paraId="0BF3A183" w14:textId="03AB5AF4" w:rsidR="00E97433" w:rsidRPr="00E97433" w:rsidRDefault="00E97433" w:rsidP="00E97433">
      <w:pPr>
        <w:tabs>
          <w:tab w:val="num" w:pos="720"/>
        </w:tabs>
        <w:rPr>
          <w:rFonts w:cs="Arial"/>
        </w:rPr>
      </w:pPr>
      <w:r w:rsidRPr="00E97433">
        <w:rPr>
          <w:rFonts w:cs="Arial"/>
        </w:rPr>
        <w:t xml:space="preserve">More than one in 4 (27%) Australians live outside a major city. A truly dynamic, productive, and inclusive labour market must ensure that more Australians can access safe and secure work where they choose to live. </w:t>
      </w:r>
      <w:r w:rsidR="00B94304">
        <w:rPr>
          <w:lang w:eastAsia="en-AU"/>
        </w:rPr>
        <w:t>Historically, regional and remote regions are more likely to experience weaker labour market conditions than their capital city counterparts</w:t>
      </w:r>
      <w:r w:rsidRPr="00E97433">
        <w:rPr>
          <w:rFonts w:cs="Arial"/>
        </w:rPr>
        <w:t xml:space="preserve">. </w:t>
      </w:r>
    </w:p>
    <w:p w14:paraId="1C87E733" w14:textId="77777777" w:rsidR="00E97433" w:rsidRPr="00E97433" w:rsidRDefault="00E97433" w:rsidP="00E97433">
      <w:pPr>
        <w:tabs>
          <w:tab w:val="num" w:pos="720"/>
        </w:tabs>
        <w:rPr>
          <w:rFonts w:cs="Arial"/>
        </w:rPr>
      </w:pPr>
      <w:r w:rsidRPr="00E97433">
        <w:rPr>
          <w:rFonts w:cs="Arial"/>
        </w:rPr>
        <w:t xml:space="preserve">Poorer-performing regions tend to be in regional and remote areas, and face challenges such as high unemployment, limited job opportunities, lower education levels, difficulties recruiting suitable workers into available jobs and lower rates of labour market efficiency. Employees in regional and remote areas are also more likely to experience low and irregular pay – impacting economic security and wellbeing. </w:t>
      </w:r>
    </w:p>
    <w:p w14:paraId="24BD4361" w14:textId="77777777" w:rsidR="00E97433" w:rsidRPr="00E97433" w:rsidRDefault="00E97433" w:rsidP="00E97433">
      <w:pPr>
        <w:tabs>
          <w:tab w:val="num" w:pos="720"/>
        </w:tabs>
        <w:rPr>
          <w:rFonts w:cs="Arial"/>
        </w:rPr>
      </w:pPr>
      <w:r w:rsidRPr="00E97433">
        <w:rPr>
          <w:rFonts w:cs="Arial"/>
        </w:rPr>
        <w:t xml:space="preserve">Some of our regions are also faced with the reality of an older age demographic. This poses the challenge of reduced labour supply and loss of skills, as well as additional pressure on the care and support sector which is already facing significant shortages in regional areas. </w:t>
      </w:r>
    </w:p>
    <w:p w14:paraId="1CD23A89" w14:textId="0EFF3AEC" w:rsidR="00AC2606" w:rsidRPr="00AC0957" w:rsidRDefault="00E97433" w:rsidP="00E97433">
      <w:pPr>
        <w:tabs>
          <w:tab w:val="num" w:pos="720"/>
        </w:tabs>
        <w:rPr>
          <w:rFonts w:cs="Arial"/>
        </w:rPr>
      </w:pPr>
      <w:r w:rsidRPr="00E97433">
        <w:rPr>
          <w:rFonts w:cs="Arial"/>
        </w:rPr>
        <w:t>The June 2024 JSA RLMI</w:t>
      </w:r>
      <w:r w:rsidR="006E2ED9">
        <w:rPr>
          <w:rStyle w:val="FootnoteReference"/>
          <w:rFonts w:cs="Arial"/>
        </w:rPr>
        <w:footnoteReference w:id="23"/>
      </w:r>
      <w:r w:rsidRPr="00E97433">
        <w:rPr>
          <w:rFonts w:cs="Arial"/>
        </w:rPr>
        <w:t xml:space="preserve"> results confirm that regional and remote areas are more likely to experience weaker labour market conditions than metropolitan cities</w:t>
      </w:r>
      <w:r w:rsidR="000A38AB">
        <w:rPr>
          <w:rFonts w:cs="Arial"/>
        </w:rPr>
        <w:t xml:space="preserve"> (</w:t>
      </w:r>
      <w:r w:rsidR="000A38AB">
        <w:rPr>
          <w:rFonts w:cs="Arial"/>
        </w:rPr>
        <w:fldChar w:fldCharType="begin"/>
      </w:r>
      <w:r w:rsidR="000A38AB">
        <w:rPr>
          <w:rFonts w:cs="Arial"/>
        </w:rPr>
        <w:instrText xml:space="preserve"> REF _Ref181121000 \h </w:instrText>
      </w:r>
      <w:r w:rsidR="000A38AB">
        <w:rPr>
          <w:rFonts w:cs="Arial"/>
        </w:rPr>
      </w:r>
      <w:r w:rsidR="000A38AB">
        <w:rPr>
          <w:rFonts w:cs="Arial"/>
        </w:rPr>
        <w:fldChar w:fldCharType="separate"/>
      </w:r>
      <w:r w:rsidR="00C47A81">
        <w:t xml:space="preserve">Figure </w:t>
      </w:r>
      <w:r w:rsidR="00C47A81">
        <w:rPr>
          <w:noProof/>
        </w:rPr>
        <w:t>30</w:t>
      </w:r>
      <w:r w:rsidR="000A38AB">
        <w:rPr>
          <w:rFonts w:cs="Arial"/>
        </w:rPr>
        <w:fldChar w:fldCharType="end"/>
      </w:r>
      <w:r w:rsidR="000A38AB">
        <w:rPr>
          <w:rFonts w:cs="Arial"/>
        </w:rPr>
        <w:t>)</w:t>
      </w:r>
      <w:r w:rsidRPr="00E97433">
        <w:rPr>
          <w:rFonts w:cs="Arial"/>
        </w:rPr>
        <w:t>. The overwhelming majority (72%) of SA4s that were rated either ‘strong’ or ‘above average’ were located in metropolitan cities, whereas 68% of SA4s rated ‘below average’ or ‘poor’ were located in regional or remote areas</w:t>
      </w:r>
      <w:r w:rsidR="00AC2606" w:rsidRPr="00AC0957">
        <w:rPr>
          <w:rFonts w:cs="Arial"/>
        </w:rPr>
        <w:t xml:space="preserve">. </w:t>
      </w:r>
    </w:p>
    <w:p w14:paraId="106AABB6" w14:textId="65E99528" w:rsidR="004F5A4F" w:rsidRDefault="004F5A4F" w:rsidP="004F5A4F">
      <w:pPr>
        <w:pStyle w:val="Caption"/>
      </w:pPr>
      <w:bookmarkStart w:id="156" w:name="_Ref181121000"/>
      <w:bookmarkStart w:id="157" w:name="_Toc181370332"/>
      <w:r>
        <w:t xml:space="preserve">Figure </w:t>
      </w:r>
      <w:r>
        <w:fldChar w:fldCharType="begin"/>
      </w:r>
      <w:r>
        <w:instrText xml:space="preserve"> SEQ Figure \* ARABIC </w:instrText>
      </w:r>
      <w:r>
        <w:fldChar w:fldCharType="separate"/>
      </w:r>
      <w:r w:rsidR="00C47A81">
        <w:rPr>
          <w:noProof/>
        </w:rPr>
        <w:t>30</w:t>
      </w:r>
      <w:r>
        <w:fldChar w:fldCharType="end"/>
      </w:r>
      <w:bookmarkEnd w:id="156"/>
      <w:r>
        <w:t xml:space="preserve">: </w:t>
      </w:r>
      <w:r w:rsidRPr="00331B69">
        <w:t>RLMI ratings of relative labour market performance, June 2024</w:t>
      </w:r>
      <w:bookmarkEnd w:id="157"/>
    </w:p>
    <w:p w14:paraId="72327EC2" w14:textId="6E141A9F" w:rsidR="008A59DB" w:rsidRPr="008A59DB" w:rsidRDefault="00244303" w:rsidP="00244303">
      <w:pPr>
        <w:jc w:val="center"/>
      </w:pPr>
      <w:r>
        <w:rPr>
          <w:noProof/>
        </w:rPr>
        <w:drawing>
          <wp:inline distT="0" distB="0" distL="0" distR="0" wp14:anchorId="44943132" wp14:editId="3CB8F6F7">
            <wp:extent cx="5194772" cy="4603806"/>
            <wp:effectExtent l="0" t="0" r="6350" b="6350"/>
            <wp:docPr id="1398322700" name="Picture 35" descr="A map of Australia displaying the RLMI ratings of relative labour market performance (Strong, Above average, Average, Below average, Poor) by SA4. The map shows that regional and remote regions are more likely to experience weaker labour market conditions than their metropolitan city counterp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322700" name="Picture 35" descr="A map of Australia displaying the RLMI ratings of relative labour market performance (Strong, Above average, Average, Below average, Poor) by SA4. The map shows that regional and remote regions are more likely to experience weaker labour market conditions than their metropolitan city counterparts."/>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51254" cy="4653863"/>
                    </a:xfrm>
                    <a:prstGeom prst="rect">
                      <a:avLst/>
                    </a:prstGeom>
                    <a:noFill/>
                  </pic:spPr>
                </pic:pic>
              </a:graphicData>
            </a:graphic>
          </wp:inline>
        </w:drawing>
      </w:r>
    </w:p>
    <w:p w14:paraId="768CB3F1" w14:textId="058BEB4C" w:rsidR="00AC2606" w:rsidRDefault="00AC2606" w:rsidP="00D73E19">
      <w:pPr>
        <w:pStyle w:val="Source"/>
      </w:pPr>
      <w:r w:rsidRPr="004F5A4F">
        <w:rPr>
          <w:lang w:val="en-US"/>
        </w:rPr>
        <w:t>Source: J</w:t>
      </w:r>
      <w:r w:rsidRPr="004F5A4F">
        <w:t>obs and Skills Australia, Regional Labour Market Indicator (RLMI), June 2024</w:t>
      </w:r>
      <w:r w:rsidR="00BB3087">
        <w:t>.</w:t>
      </w:r>
      <w:r w:rsidRPr="004F5A4F">
        <w:t xml:space="preserve"> </w:t>
      </w:r>
    </w:p>
    <w:tbl>
      <w:tblPr>
        <w:tblStyle w:val="TableGrid"/>
        <w:tblW w:w="0" w:type="auto"/>
        <w:tblLook w:val="04A0" w:firstRow="1" w:lastRow="0" w:firstColumn="1" w:lastColumn="0" w:noHBand="0" w:noVBand="1"/>
      </w:tblPr>
      <w:tblGrid>
        <w:gridCol w:w="9016"/>
      </w:tblGrid>
      <w:tr w:rsidR="00A4657D" w14:paraId="3B9F0671" w14:textId="77777777" w:rsidTr="00244303">
        <w:tc>
          <w:tcPr>
            <w:tcW w:w="9016" w:type="dxa"/>
            <w:tcBorders>
              <w:top w:val="nil"/>
              <w:left w:val="nil"/>
              <w:bottom w:val="nil"/>
              <w:right w:val="nil"/>
            </w:tcBorders>
            <w:shd w:val="clear" w:color="auto" w:fill="ECF1BC" w:themeFill="background2" w:themeFillTint="66"/>
          </w:tcPr>
          <w:p w14:paraId="536C2486" w14:textId="430E23D6" w:rsidR="00A4657D" w:rsidRDefault="00A4657D" w:rsidP="00D73E19">
            <w:pPr>
              <w:pStyle w:val="Heading3"/>
            </w:pPr>
            <w:bookmarkStart w:id="158" w:name="_Toc181371585"/>
            <w:bookmarkStart w:id="159" w:name="_Toc179887390"/>
            <w:r w:rsidRPr="00A4657D">
              <w:t>Jobs and Skills Councils</w:t>
            </w:r>
            <w:r>
              <w:t xml:space="preserve"> in focus</w:t>
            </w:r>
            <w:bookmarkEnd w:id="158"/>
          </w:p>
          <w:p w14:paraId="647019EA" w14:textId="61BA730F" w:rsidR="00A4657D" w:rsidRPr="00A4657D" w:rsidRDefault="00D21D78" w:rsidP="002070A6">
            <w:r w:rsidRPr="00D21D78">
              <w:t>Among the publicly available Jobs and Skills Councils workforce plans, supporting Regional Australia was a key focus for many. They identified regional challenges such as skills shortages including issues with attraction and retention, but also factors such as issues with digital connectivity and lack of access to skilling opportunities.</w:t>
            </w:r>
          </w:p>
        </w:tc>
      </w:tr>
    </w:tbl>
    <w:p w14:paraId="2F348815" w14:textId="77777777" w:rsidR="0068274C" w:rsidRPr="0068274C" w:rsidRDefault="0068274C" w:rsidP="0068274C"/>
    <w:p w14:paraId="69B76B31" w14:textId="77777777" w:rsidR="00E307AB" w:rsidRDefault="00E307AB" w:rsidP="00E307AB">
      <w:r>
        <w:br w:type="page"/>
      </w:r>
    </w:p>
    <w:p w14:paraId="0EE00E34" w14:textId="3C8231A5" w:rsidR="00AC2606" w:rsidRPr="00AC0957" w:rsidRDefault="00AC2606" w:rsidP="00AC2606">
      <w:pPr>
        <w:pStyle w:val="Heading3"/>
        <w:rPr>
          <w:rFonts w:cs="Arial"/>
        </w:rPr>
      </w:pPr>
      <w:bookmarkStart w:id="160" w:name="_Toc181371586"/>
      <w:r w:rsidRPr="00AC0957">
        <w:rPr>
          <w:rFonts w:cs="Arial"/>
        </w:rPr>
        <w:t>Recent trends in regional labour market performance</w:t>
      </w:r>
      <w:bookmarkEnd w:id="159"/>
      <w:bookmarkEnd w:id="160"/>
    </w:p>
    <w:p w14:paraId="4262D0FD" w14:textId="77777777" w:rsidR="00AA2E42" w:rsidRPr="00AA2E42" w:rsidRDefault="00AA2E42" w:rsidP="00DC5867">
      <w:r w:rsidRPr="00AA2E42">
        <w:t xml:space="preserve">While labour market challenges are more pronounced in many regional and remote areas, the June RLMI results suggest there are signs of some easing in labour market conditions in a number of metropolitan/regional city areas, particularly when compared to regional areas, where conditions have improved, on average. For instance, the labour market rating declined for 13 metropolitan/regional city areas (or 25%), and improved for 4 (or 8%), over the year to June 2024. By comparison, the labour market rating improved for 7 regional areas (or 29%), and declined for 4 (or 17%), over the same period. </w:t>
      </w:r>
    </w:p>
    <w:p w14:paraId="63F84F07" w14:textId="0F2B2FA8" w:rsidR="00AA2E42" w:rsidRPr="00AA2E42" w:rsidRDefault="007D0333" w:rsidP="00DC5867">
      <w:r>
        <w:t>S</w:t>
      </w:r>
      <w:r w:rsidR="00AA2E42" w:rsidRPr="00AA2E42">
        <w:t>ome of the trends that are contributing to the easing in conditions for metropolitan/regional city areas</w:t>
      </w:r>
      <w:r>
        <w:t xml:space="preserve"> are:</w:t>
      </w:r>
    </w:p>
    <w:p w14:paraId="47FCA692" w14:textId="673DC5E3" w:rsidR="00AA2E42" w:rsidRPr="00AA2E42" w:rsidRDefault="00AA2E42" w:rsidP="00AA2E42">
      <w:pPr>
        <w:pStyle w:val="ListBullet"/>
        <w:rPr>
          <w:rFonts w:eastAsiaTheme="minorHAnsi" w:cs="Arial"/>
          <w:spacing w:val="0"/>
          <w:szCs w:val="22"/>
          <w:lang w:val="en-AU" w:eastAsia="en-US"/>
        </w:rPr>
      </w:pPr>
      <w:r w:rsidRPr="00AA2E42">
        <w:rPr>
          <w:rFonts w:eastAsiaTheme="minorHAnsi" w:cs="Arial"/>
          <w:spacing w:val="0"/>
          <w:szCs w:val="22"/>
          <w:lang w:val="en-AU" w:eastAsia="en-US"/>
        </w:rPr>
        <w:t>The average working age employment rate for metropolitan/regional city areas fell by 0.3 percentage points over the year, to 77.8% in June 2024 (</w:t>
      </w:r>
      <w:r w:rsidR="007D0333">
        <w:rPr>
          <w:rFonts w:eastAsiaTheme="minorHAnsi" w:cs="Arial"/>
          <w:spacing w:val="0"/>
          <w:szCs w:val="22"/>
          <w:lang w:val="en-AU" w:eastAsia="en-US"/>
        </w:rPr>
        <w:fldChar w:fldCharType="begin"/>
      </w:r>
      <w:r w:rsidR="007D0333">
        <w:rPr>
          <w:rFonts w:eastAsiaTheme="minorHAnsi" w:cs="Arial"/>
          <w:spacing w:val="0"/>
          <w:szCs w:val="22"/>
          <w:lang w:val="en-AU" w:eastAsia="en-US"/>
        </w:rPr>
        <w:instrText xml:space="preserve"> REF _Ref181121137 \h </w:instrText>
      </w:r>
      <w:r w:rsidR="007D0333">
        <w:rPr>
          <w:rFonts w:eastAsiaTheme="minorHAnsi" w:cs="Arial"/>
          <w:spacing w:val="0"/>
          <w:szCs w:val="22"/>
          <w:lang w:val="en-AU" w:eastAsia="en-US"/>
        </w:rPr>
      </w:r>
      <w:r w:rsidR="007D0333">
        <w:rPr>
          <w:rFonts w:eastAsiaTheme="minorHAnsi" w:cs="Arial"/>
          <w:spacing w:val="0"/>
          <w:szCs w:val="22"/>
          <w:lang w:val="en-AU" w:eastAsia="en-US"/>
        </w:rPr>
        <w:fldChar w:fldCharType="separate"/>
      </w:r>
      <w:r w:rsidR="00C47A81">
        <w:t xml:space="preserve">Figure </w:t>
      </w:r>
      <w:r w:rsidR="00C47A81">
        <w:rPr>
          <w:noProof/>
        </w:rPr>
        <w:t>31</w:t>
      </w:r>
      <w:r w:rsidR="007D0333">
        <w:rPr>
          <w:rFonts w:eastAsiaTheme="minorHAnsi" w:cs="Arial"/>
          <w:spacing w:val="0"/>
          <w:szCs w:val="22"/>
          <w:lang w:val="en-AU" w:eastAsia="en-US"/>
        </w:rPr>
        <w:fldChar w:fldCharType="end"/>
      </w:r>
      <w:r w:rsidRPr="00AA2E42">
        <w:rPr>
          <w:rFonts w:eastAsiaTheme="minorHAnsi" w:cs="Arial"/>
          <w:spacing w:val="0"/>
          <w:szCs w:val="22"/>
          <w:lang w:val="en-AU" w:eastAsia="en-US"/>
        </w:rPr>
        <w:t>), while the average unemployment rate for metropolitan/regional city areas increased by 0.4 percentage points over the year, to 3.9% in June 2024</w:t>
      </w:r>
      <w:r w:rsidR="008C52B1">
        <w:rPr>
          <w:rFonts w:eastAsiaTheme="minorHAnsi" w:cs="Arial"/>
          <w:spacing w:val="0"/>
          <w:szCs w:val="22"/>
          <w:lang w:val="en-AU" w:eastAsia="en-US"/>
        </w:rPr>
        <w:t>.</w:t>
      </w:r>
    </w:p>
    <w:p w14:paraId="04D25A28" w14:textId="39CA6B9F" w:rsidR="008A59DB" w:rsidRPr="00AA2E42" w:rsidRDefault="00AA2E42" w:rsidP="00AA2E42">
      <w:pPr>
        <w:pStyle w:val="ListBullet"/>
        <w:rPr>
          <w:rFonts w:eastAsiaTheme="minorHAnsi" w:cs="Arial"/>
          <w:spacing w:val="0"/>
          <w:szCs w:val="22"/>
          <w:lang w:val="en-AU" w:eastAsia="en-US"/>
        </w:rPr>
      </w:pPr>
      <w:r w:rsidRPr="00AA2E42">
        <w:rPr>
          <w:rFonts w:eastAsiaTheme="minorHAnsi" w:cs="Arial"/>
          <w:spacing w:val="0"/>
          <w:szCs w:val="22"/>
          <w:lang w:val="en-AU" w:eastAsia="en-US"/>
        </w:rPr>
        <w:t>By contrast, the average working age employment rate for regional areas increased by 0.5 percentage points over the year, to 76.2% in June 2024, while the average unemployment rate for regional areas increased marginally over the year, by just 0.1 percentage points, to 3.3% in June 2024 (</w:t>
      </w:r>
      <w:r w:rsidR="007D0333">
        <w:rPr>
          <w:rFonts w:eastAsiaTheme="minorHAnsi" w:cs="Arial"/>
          <w:spacing w:val="0"/>
          <w:szCs w:val="22"/>
          <w:lang w:val="en-AU" w:eastAsia="en-US"/>
        </w:rPr>
        <w:fldChar w:fldCharType="begin"/>
      </w:r>
      <w:r w:rsidR="007D0333">
        <w:rPr>
          <w:rFonts w:eastAsiaTheme="minorHAnsi" w:cs="Arial"/>
          <w:spacing w:val="0"/>
          <w:szCs w:val="22"/>
          <w:lang w:val="en-AU" w:eastAsia="en-US"/>
        </w:rPr>
        <w:instrText xml:space="preserve"> REF _Ref179897854 \h </w:instrText>
      </w:r>
      <w:r w:rsidR="007D0333">
        <w:rPr>
          <w:rFonts w:eastAsiaTheme="minorHAnsi" w:cs="Arial"/>
          <w:spacing w:val="0"/>
          <w:szCs w:val="22"/>
          <w:lang w:val="en-AU" w:eastAsia="en-US"/>
        </w:rPr>
      </w:r>
      <w:r w:rsidR="007D0333">
        <w:rPr>
          <w:rFonts w:eastAsiaTheme="minorHAnsi" w:cs="Arial"/>
          <w:spacing w:val="0"/>
          <w:szCs w:val="22"/>
          <w:lang w:val="en-AU" w:eastAsia="en-US"/>
        </w:rPr>
        <w:fldChar w:fldCharType="separate"/>
      </w:r>
      <w:r w:rsidR="00C47A81">
        <w:t xml:space="preserve">Figure </w:t>
      </w:r>
      <w:r w:rsidR="00C47A81">
        <w:rPr>
          <w:noProof/>
        </w:rPr>
        <w:t>32</w:t>
      </w:r>
      <w:r w:rsidR="007D0333">
        <w:rPr>
          <w:rFonts w:eastAsiaTheme="minorHAnsi" w:cs="Arial"/>
          <w:spacing w:val="0"/>
          <w:szCs w:val="22"/>
          <w:lang w:val="en-AU" w:eastAsia="en-US"/>
        </w:rPr>
        <w:fldChar w:fldCharType="end"/>
      </w:r>
      <w:r w:rsidRPr="00AA2E42">
        <w:rPr>
          <w:rFonts w:eastAsiaTheme="minorHAnsi" w:cs="Arial"/>
          <w:spacing w:val="0"/>
          <w:szCs w:val="22"/>
          <w:lang w:val="en-AU" w:eastAsia="en-US"/>
        </w:rPr>
        <w:t>).</w:t>
      </w:r>
    </w:p>
    <w:p w14:paraId="61E3DDF3" w14:textId="73FE1D20" w:rsidR="008A59DB" w:rsidRDefault="008A59DB" w:rsidP="008A59DB">
      <w:pPr>
        <w:pStyle w:val="Caption"/>
      </w:pPr>
      <w:bookmarkStart w:id="161" w:name="_Ref179897846"/>
      <w:bookmarkStart w:id="162" w:name="_Ref181121137"/>
      <w:bookmarkStart w:id="163" w:name="_Toc181370333"/>
      <w:r>
        <w:t xml:space="preserve">Figure </w:t>
      </w:r>
      <w:r>
        <w:fldChar w:fldCharType="begin"/>
      </w:r>
      <w:r>
        <w:instrText xml:space="preserve"> SEQ Figure \* ARABIC </w:instrText>
      </w:r>
      <w:r>
        <w:fldChar w:fldCharType="separate"/>
      </w:r>
      <w:r w:rsidR="00C47A81">
        <w:rPr>
          <w:noProof/>
        </w:rPr>
        <w:t>31</w:t>
      </w:r>
      <w:r>
        <w:fldChar w:fldCharType="end"/>
      </w:r>
      <w:bookmarkEnd w:id="161"/>
      <w:bookmarkEnd w:id="162"/>
      <w:r>
        <w:t xml:space="preserve">: </w:t>
      </w:r>
      <w:r w:rsidRPr="009B47E6">
        <w:t>Employment rate (15-64 years) by remoteness category, June 2014 to June 2024</w:t>
      </w:r>
      <w:bookmarkEnd w:id="163"/>
    </w:p>
    <w:p w14:paraId="7DC68EC3" w14:textId="012BB53D" w:rsidR="008A59DB" w:rsidRPr="00AC0957" w:rsidRDefault="005008E8" w:rsidP="0068274C">
      <w:pPr>
        <w:jc w:val="center"/>
      </w:pPr>
      <w:r>
        <w:rPr>
          <w:noProof/>
        </w:rPr>
        <w:drawing>
          <wp:inline distT="0" distB="0" distL="0" distR="0" wp14:anchorId="2A9CA734" wp14:editId="73358DCC">
            <wp:extent cx="5080027" cy="2898755"/>
            <wp:effectExtent l="0" t="0" r="6350" b="0"/>
            <wp:docPr id="793853100" name="Picture 50" descr="A line chart showing the average working age (15-64 years) employment rate by remoteness category. The findings illustrate that there are signs of some easing in labour market conditions in a number of metropolitan/regional city areas, particularly when compared to regional areas, where conditions have improved, on aver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853100" name="Picture 50" descr="A line chart showing the average working age (15-64 years) employment rate by remoteness category. The findings illustrate that there are signs of some easing in labour market conditions in a number of metropolitan/regional city areas, particularly when compared to regional areas, where conditions have improved, on average. "/>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095613" cy="2907649"/>
                    </a:xfrm>
                    <a:prstGeom prst="rect">
                      <a:avLst/>
                    </a:prstGeom>
                    <a:noFill/>
                  </pic:spPr>
                </pic:pic>
              </a:graphicData>
            </a:graphic>
          </wp:inline>
        </w:drawing>
      </w:r>
    </w:p>
    <w:p w14:paraId="455FC6BA" w14:textId="77777777" w:rsidR="008A59DB" w:rsidRPr="00E736A7" w:rsidRDefault="008A59DB" w:rsidP="00E736A7">
      <w:pPr>
        <w:pStyle w:val="Source"/>
      </w:pPr>
      <w:r w:rsidRPr="00E736A7">
        <w:t xml:space="preserve">Source: ABS, Labour Force, Australia, Detailed, June 2024, 12-month averages of original estimates. </w:t>
      </w:r>
    </w:p>
    <w:p w14:paraId="06579907" w14:textId="61AD2B37" w:rsidR="008A59DB" w:rsidRDefault="008A59DB" w:rsidP="008A59DB">
      <w:pPr>
        <w:pStyle w:val="Caption"/>
      </w:pPr>
      <w:bookmarkStart w:id="164" w:name="_Ref179897854"/>
      <w:bookmarkStart w:id="165" w:name="_Toc181370334"/>
      <w:r>
        <w:t xml:space="preserve">Figure </w:t>
      </w:r>
      <w:r>
        <w:fldChar w:fldCharType="begin"/>
      </w:r>
      <w:r>
        <w:instrText xml:space="preserve"> SEQ Figure \* ARABIC </w:instrText>
      </w:r>
      <w:r>
        <w:fldChar w:fldCharType="separate"/>
      </w:r>
      <w:r w:rsidR="00C47A81">
        <w:rPr>
          <w:noProof/>
        </w:rPr>
        <w:t>32</w:t>
      </w:r>
      <w:r>
        <w:fldChar w:fldCharType="end"/>
      </w:r>
      <w:bookmarkEnd w:id="164"/>
      <w:r>
        <w:t xml:space="preserve">: </w:t>
      </w:r>
      <w:r w:rsidRPr="001563D0">
        <w:t>Unemployment rate by remoteness, June 2014 to June 2024</w:t>
      </w:r>
      <w:bookmarkEnd w:id="165"/>
    </w:p>
    <w:p w14:paraId="59D1BF5C" w14:textId="04D486F5" w:rsidR="00A30410" w:rsidRPr="00A30410" w:rsidRDefault="00901A49" w:rsidP="0068274C">
      <w:pPr>
        <w:jc w:val="center"/>
      </w:pPr>
      <w:r>
        <w:rPr>
          <w:noProof/>
        </w:rPr>
        <w:drawing>
          <wp:inline distT="0" distB="0" distL="0" distR="0" wp14:anchorId="243FE55D" wp14:editId="34272D7D">
            <wp:extent cx="5151728" cy="2939669"/>
            <wp:effectExtent l="0" t="0" r="0" b="0"/>
            <wp:docPr id="1571534654" name="Picture 51" descr="A line chart showing the average unemployment rate by remoteness category. The findings illustrate that there are signs of some easing in labour market conditions in a number of metropolitan/regional city areas, particularly when compared to regional areas, where conditions have improved, on 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534654" name="Picture 51" descr="A line chart showing the average unemployment rate by remoteness category. The findings illustrate that there are signs of some easing in labour market conditions in a number of metropolitan/regional city areas, particularly when compared to regional areas, where conditions have improved, on averag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170604" cy="2950440"/>
                    </a:xfrm>
                    <a:prstGeom prst="rect">
                      <a:avLst/>
                    </a:prstGeom>
                    <a:noFill/>
                  </pic:spPr>
                </pic:pic>
              </a:graphicData>
            </a:graphic>
          </wp:inline>
        </w:drawing>
      </w:r>
    </w:p>
    <w:p w14:paraId="2A2DA8A7" w14:textId="778C30CD" w:rsidR="00AC2606" w:rsidRPr="00E307AB" w:rsidRDefault="008A59DB" w:rsidP="00E307AB">
      <w:pPr>
        <w:pStyle w:val="Source"/>
      </w:pPr>
      <w:r w:rsidRPr="0049373E">
        <w:t xml:space="preserve">Source: ABS, </w:t>
      </w:r>
      <w:r w:rsidRPr="00BB3087">
        <w:t>Labour Force, Australia, Detailed,</w:t>
      </w:r>
      <w:r w:rsidRPr="0049373E">
        <w:rPr>
          <w:i/>
          <w:iCs/>
        </w:rPr>
        <w:t xml:space="preserve"> </w:t>
      </w:r>
      <w:r w:rsidRPr="0049373E">
        <w:t>June 2024, 12-month averages of original estimates.</w:t>
      </w:r>
    </w:p>
    <w:tbl>
      <w:tblPr>
        <w:tblStyle w:val="TableGrid"/>
        <w:tblW w:w="0" w:type="auto"/>
        <w:tblLook w:val="04A0" w:firstRow="1" w:lastRow="0" w:firstColumn="1" w:lastColumn="0" w:noHBand="0" w:noVBand="1"/>
      </w:tblPr>
      <w:tblGrid>
        <w:gridCol w:w="9026"/>
      </w:tblGrid>
      <w:tr w:rsidR="00AC2606" w:rsidRPr="00AC0957" w14:paraId="6148190E" w14:textId="77777777" w:rsidTr="00746425">
        <w:tc>
          <w:tcPr>
            <w:tcW w:w="9026" w:type="dxa"/>
            <w:tcBorders>
              <w:top w:val="nil"/>
              <w:left w:val="nil"/>
              <w:bottom w:val="nil"/>
              <w:right w:val="nil"/>
            </w:tcBorders>
            <w:shd w:val="clear" w:color="auto" w:fill="E0D1F5" w:themeFill="accent1" w:themeFillTint="33"/>
          </w:tcPr>
          <w:p w14:paraId="2B0606CE" w14:textId="77777777" w:rsidR="00AC2606" w:rsidRPr="00AC0957" w:rsidRDefault="00AC2606">
            <w:pPr>
              <w:pStyle w:val="Heading4"/>
            </w:pPr>
            <w:r w:rsidRPr="00AC0957">
              <w:t>Recent trends in regional labour market performance: Region spotlight</w:t>
            </w:r>
          </w:p>
          <w:p w14:paraId="213FCB67" w14:textId="77777777" w:rsidR="00AC2606" w:rsidRPr="00AC0957" w:rsidRDefault="00AC2606">
            <w:pPr>
              <w:pStyle w:val="Heading5"/>
            </w:pPr>
            <w:r w:rsidRPr="00AC0957">
              <w:t>Inner Metropolitan Brisbane</w:t>
            </w:r>
            <w:r w:rsidRPr="00AC0957">
              <w:rPr>
                <w:rStyle w:val="FootnoteReference"/>
              </w:rPr>
              <w:footnoteReference w:id="24"/>
            </w:r>
          </w:p>
          <w:p w14:paraId="276AFB99" w14:textId="73CBEA4F" w:rsidR="00AC2606" w:rsidRPr="00AC0957" w:rsidRDefault="00C96EAA">
            <w:pPr>
              <w:rPr>
                <w:rFonts w:cs="Arial"/>
              </w:rPr>
            </w:pPr>
            <w:r w:rsidRPr="00C96EAA">
              <w:rPr>
                <w:rFonts w:cs="Arial"/>
              </w:rPr>
              <w:t>One example of the gradual easing of conditions in a number of metropolitan/regional city areas can be seen in the decline in labour market ratings in inner metropolitan Brisbane over the last year. While overall conditions remain relatively strong, several key indicators of labour market performance have recently softened in a number of these regions. As a result, conditions in Brisbane East, Brisbane North and Moreton Bay – South were rated as ‘above average’ in June 2024, down from their rating of ‘strong’ in June 2023 (</w:t>
            </w:r>
            <w:r>
              <w:rPr>
                <w:rFonts w:cs="Arial"/>
              </w:rPr>
              <w:fldChar w:fldCharType="begin"/>
            </w:r>
            <w:r>
              <w:rPr>
                <w:rFonts w:cs="Arial"/>
              </w:rPr>
              <w:instrText xml:space="preserve"> REF _Ref179897863 \h </w:instrText>
            </w:r>
            <w:r>
              <w:rPr>
                <w:rFonts w:cs="Arial"/>
              </w:rPr>
            </w:r>
            <w:r>
              <w:rPr>
                <w:rFonts w:cs="Arial"/>
              </w:rPr>
              <w:fldChar w:fldCharType="separate"/>
            </w:r>
            <w:r w:rsidR="00C47A81">
              <w:t xml:space="preserve">Figure </w:t>
            </w:r>
            <w:r w:rsidR="00C47A81">
              <w:rPr>
                <w:noProof/>
              </w:rPr>
              <w:t>33</w:t>
            </w:r>
            <w:r>
              <w:rPr>
                <w:rFonts w:cs="Arial"/>
              </w:rPr>
              <w:fldChar w:fldCharType="end"/>
            </w:r>
            <w:r w:rsidRPr="00C96EAA">
              <w:rPr>
                <w:rFonts w:cs="Arial"/>
              </w:rPr>
              <w:t>)</w:t>
            </w:r>
            <w:r w:rsidR="00AC2606" w:rsidRPr="00AC0957">
              <w:rPr>
                <w:rFonts w:cs="Arial"/>
              </w:rPr>
              <w:t xml:space="preserve">. </w:t>
            </w:r>
          </w:p>
          <w:p w14:paraId="34E77B98" w14:textId="58213963" w:rsidR="009377B9" w:rsidRDefault="009377B9" w:rsidP="009377B9">
            <w:pPr>
              <w:pStyle w:val="Caption"/>
            </w:pPr>
            <w:bookmarkStart w:id="166" w:name="_Ref179897863"/>
            <w:bookmarkStart w:id="167" w:name="_Toc181370335"/>
            <w:r>
              <w:t xml:space="preserve">Figure </w:t>
            </w:r>
            <w:r>
              <w:fldChar w:fldCharType="begin"/>
            </w:r>
            <w:r>
              <w:instrText>SEQ Figure \* ARABIC</w:instrText>
            </w:r>
            <w:r>
              <w:fldChar w:fldCharType="separate"/>
            </w:r>
            <w:r w:rsidR="00C47A81">
              <w:rPr>
                <w:noProof/>
              </w:rPr>
              <w:t>33</w:t>
            </w:r>
            <w:r>
              <w:fldChar w:fldCharType="end"/>
            </w:r>
            <w:bookmarkEnd w:id="166"/>
            <w:r>
              <w:t xml:space="preserve">: </w:t>
            </w:r>
            <w:r w:rsidRPr="00F260EC">
              <w:t>RLMI ratings of relative labour market performance</w:t>
            </w:r>
            <w:r w:rsidR="00CA4F27">
              <w:t xml:space="preserve"> – Inner Metropolitan Brisbane</w:t>
            </w:r>
            <w:bookmarkEnd w:id="167"/>
          </w:p>
          <w:p w14:paraId="4E42D381" w14:textId="2989E475" w:rsidR="00AC2606" w:rsidRPr="00AC0957" w:rsidRDefault="00B56DE1">
            <w:pPr>
              <w:pStyle w:val="Caption"/>
              <w:jc w:val="center"/>
              <w:rPr>
                <w:rFonts w:cs="Arial"/>
                <w:noProof/>
                <w:sz w:val="22"/>
                <w:szCs w:val="22"/>
              </w:rPr>
            </w:pPr>
            <w:r>
              <w:rPr>
                <w:noProof/>
              </w:rPr>
              <w:drawing>
                <wp:inline distT="0" distB="0" distL="0" distR="0" wp14:anchorId="6FF7A16B" wp14:editId="11DA16B9">
                  <wp:extent cx="5486400" cy="2230000"/>
                  <wp:effectExtent l="0" t="0" r="0" b="0"/>
                  <wp:docPr id="6" name="Picture 5" descr="A map of Inner Metropolitan Brisbane displaying the RLMI ratings of labour market performance (Strong, Above average, Average, Below average, Poor). The map shows the decline in labour market rating in Moreton Bay South, Brisbane North and Brisbane East over the year to June 2024. ">
                    <a:extLst xmlns:a="http://schemas.openxmlformats.org/drawingml/2006/main">
                      <a:ext uri="{FF2B5EF4-FFF2-40B4-BE49-F238E27FC236}">
                        <a16:creationId xmlns:a16="http://schemas.microsoft.com/office/drawing/2014/main" id="{9B82C57B-11C1-44D8-8325-C63DA66EAC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map of Inner Metropolitan Brisbane displaying the RLMI ratings of labour market performance (Strong, Above average, Average, Below average, Poor). The map shows the decline in labour market rating in Moreton Bay South, Brisbane North and Brisbane East over the year to June 2024. ">
                            <a:extLst>
                              <a:ext uri="{FF2B5EF4-FFF2-40B4-BE49-F238E27FC236}">
                                <a16:creationId xmlns:a16="http://schemas.microsoft.com/office/drawing/2014/main" id="{9B82C57B-11C1-44D8-8325-C63DA66EAC95}"/>
                              </a:ext>
                            </a:extLst>
                          </pic:cNvPr>
                          <pic:cNvPicPr>
                            <a:picLocks noChangeAspect="1"/>
                          </pic:cNvPicPr>
                        </pic:nvPicPr>
                        <pic:blipFill>
                          <a:blip r:embed="rId70"/>
                          <a:stretch>
                            <a:fillRect/>
                          </a:stretch>
                        </pic:blipFill>
                        <pic:spPr>
                          <a:xfrm>
                            <a:off x="0" y="0"/>
                            <a:ext cx="5500601" cy="2235772"/>
                          </a:xfrm>
                          <a:prstGeom prst="rect">
                            <a:avLst/>
                          </a:prstGeom>
                        </pic:spPr>
                      </pic:pic>
                    </a:graphicData>
                  </a:graphic>
                </wp:inline>
              </w:drawing>
            </w:r>
          </w:p>
          <w:p w14:paraId="72BD029E" w14:textId="746787FF" w:rsidR="00AC2606" w:rsidRPr="009377B9" w:rsidRDefault="00AC2606">
            <w:pPr>
              <w:pStyle w:val="Source"/>
              <w:rPr>
                <w:rFonts w:cs="Arial"/>
              </w:rPr>
            </w:pPr>
            <w:r w:rsidRPr="009377B9">
              <w:rPr>
                <w:rFonts w:cs="Arial"/>
              </w:rPr>
              <w:t>Source: J</w:t>
            </w:r>
            <w:r w:rsidR="00B56DE1">
              <w:rPr>
                <w:rFonts w:cs="Arial"/>
              </w:rPr>
              <w:t>obs and Skills Australia</w:t>
            </w:r>
            <w:r w:rsidRPr="009377B9">
              <w:rPr>
                <w:rFonts w:cs="Arial"/>
              </w:rPr>
              <w:t>, Regional Labour Market Indicator (RLMI), June 2024</w:t>
            </w:r>
            <w:r w:rsidR="00BB3087">
              <w:rPr>
                <w:rFonts w:cs="Arial"/>
              </w:rPr>
              <w:t>.</w:t>
            </w:r>
          </w:p>
          <w:p w14:paraId="581A6D4B" w14:textId="32A273E9" w:rsidR="00AC2606" w:rsidRPr="00AC0957" w:rsidRDefault="00AC2606">
            <w:pPr>
              <w:pStyle w:val="Heading5"/>
            </w:pPr>
            <w:r w:rsidRPr="00AC0957">
              <w:t xml:space="preserve">NSW/Victoria </w:t>
            </w:r>
            <w:r w:rsidR="00CA4F27">
              <w:t>b</w:t>
            </w:r>
            <w:r w:rsidRPr="00AC0957">
              <w:t>order regions</w:t>
            </w:r>
          </w:p>
          <w:p w14:paraId="08DFC6DE" w14:textId="31983614" w:rsidR="00AC2606" w:rsidRPr="00AC0957" w:rsidRDefault="000D3911">
            <w:pPr>
              <w:rPr>
                <w:rFonts w:cs="Arial"/>
              </w:rPr>
            </w:pPr>
            <w:r w:rsidRPr="000D3911">
              <w:rPr>
                <w:rFonts w:cs="Arial"/>
              </w:rPr>
              <w:t>The regions of Murray, Shepparton and Hume (3 regions on the border of New South Wales and Victoria) are examples of where conditions have improved in regional areas, with labour market conditions in these regions rated ‘above average’ in June 2024, up from their rating of ‘average’ in June 2023 (</w:t>
            </w:r>
            <w:r>
              <w:rPr>
                <w:rFonts w:cs="Arial"/>
              </w:rPr>
              <w:fldChar w:fldCharType="begin"/>
            </w:r>
            <w:r>
              <w:rPr>
                <w:rFonts w:cs="Arial"/>
              </w:rPr>
              <w:instrText xml:space="preserve"> REF _Ref179897868 \h </w:instrText>
            </w:r>
            <w:r>
              <w:rPr>
                <w:rFonts w:cs="Arial"/>
              </w:rPr>
            </w:r>
            <w:r>
              <w:rPr>
                <w:rFonts w:cs="Arial"/>
              </w:rPr>
              <w:fldChar w:fldCharType="separate"/>
            </w:r>
            <w:r w:rsidR="00C47A81">
              <w:t xml:space="preserve">Figure </w:t>
            </w:r>
            <w:r w:rsidR="00C47A81">
              <w:rPr>
                <w:noProof/>
              </w:rPr>
              <w:t>34</w:t>
            </w:r>
            <w:r>
              <w:rPr>
                <w:rFonts w:cs="Arial"/>
              </w:rPr>
              <w:fldChar w:fldCharType="end"/>
            </w:r>
            <w:r w:rsidRPr="000D3911">
              <w:rPr>
                <w:rFonts w:cs="Arial"/>
              </w:rPr>
              <w:t>).</w:t>
            </w:r>
            <w:r w:rsidR="00AC2606" w:rsidRPr="00AC0957">
              <w:rPr>
                <w:rFonts w:cs="Arial"/>
              </w:rPr>
              <w:t xml:space="preserve"> </w:t>
            </w:r>
          </w:p>
          <w:p w14:paraId="7CAC0A31" w14:textId="1395CB46" w:rsidR="009377B9" w:rsidRDefault="009377B9" w:rsidP="009377B9">
            <w:pPr>
              <w:pStyle w:val="Caption"/>
            </w:pPr>
            <w:bookmarkStart w:id="168" w:name="_Ref179897868"/>
            <w:bookmarkStart w:id="169" w:name="_Toc181370336"/>
            <w:r>
              <w:t xml:space="preserve">Figure </w:t>
            </w:r>
            <w:r>
              <w:fldChar w:fldCharType="begin"/>
            </w:r>
            <w:r>
              <w:instrText>SEQ Figure \* ARABIC</w:instrText>
            </w:r>
            <w:r>
              <w:fldChar w:fldCharType="separate"/>
            </w:r>
            <w:r w:rsidR="00C47A81">
              <w:rPr>
                <w:noProof/>
              </w:rPr>
              <w:t>34</w:t>
            </w:r>
            <w:r>
              <w:fldChar w:fldCharType="end"/>
            </w:r>
            <w:bookmarkEnd w:id="168"/>
            <w:r>
              <w:t xml:space="preserve">: </w:t>
            </w:r>
            <w:r w:rsidRPr="00B75C45">
              <w:t>RLMI ratings of relative labour market performance</w:t>
            </w:r>
            <w:r w:rsidR="00CA4F27">
              <w:t xml:space="preserve"> – NSW/Victoria border regions</w:t>
            </w:r>
            <w:bookmarkEnd w:id="169"/>
          </w:p>
          <w:p w14:paraId="347DCAE9" w14:textId="5E1FCB61" w:rsidR="00AC2606" w:rsidRPr="00AC0957" w:rsidRDefault="00746425">
            <w:pPr>
              <w:jc w:val="center"/>
              <w:rPr>
                <w:rFonts w:cs="Arial"/>
              </w:rPr>
            </w:pPr>
            <w:r>
              <w:rPr>
                <w:noProof/>
              </w:rPr>
              <w:drawing>
                <wp:inline distT="0" distB="0" distL="0" distR="0" wp14:anchorId="7FFD912D" wp14:editId="7AFA2EBF">
                  <wp:extent cx="5557131" cy="2444816"/>
                  <wp:effectExtent l="0" t="0" r="5715" b="0"/>
                  <wp:docPr id="583635751" name="Picture 5" descr="A map of select NSW/Victoria Border regions displaying the RLMI ratings of labour market performance (Strong, Above average, Average, Below average, Poor). The map shows the improvement in labour market rating in the regions of Murray, Shepparton and Hume over the year to June 2024. ">
                    <a:extLst xmlns:a="http://schemas.openxmlformats.org/drawingml/2006/main">
                      <a:ext uri="{FF2B5EF4-FFF2-40B4-BE49-F238E27FC236}">
                        <a16:creationId xmlns:a16="http://schemas.microsoft.com/office/drawing/2014/main" id="{C1402E72-DE52-4B0D-A83F-81547CC148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635751" name="Picture 5" descr="A map of select NSW/Victoria Border regions displaying the RLMI ratings of labour market performance (Strong, Above average, Average, Below average, Poor). The map shows the improvement in labour market rating in the regions of Murray, Shepparton and Hume over the year to June 2024. ">
                            <a:extLst>
                              <a:ext uri="{FF2B5EF4-FFF2-40B4-BE49-F238E27FC236}">
                                <a16:creationId xmlns:a16="http://schemas.microsoft.com/office/drawing/2014/main" id="{C1402E72-DE52-4B0D-A83F-81547CC1480D}"/>
                              </a:ext>
                            </a:extLst>
                          </pic:cNvPr>
                          <pic:cNvPicPr>
                            <a:picLocks noChangeAspect="1"/>
                          </pic:cNvPicPr>
                        </pic:nvPicPr>
                        <pic:blipFill>
                          <a:blip r:embed="rId71"/>
                          <a:stretch>
                            <a:fillRect/>
                          </a:stretch>
                        </pic:blipFill>
                        <pic:spPr>
                          <a:xfrm>
                            <a:off x="0" y="0"/>
                            <a:ext cx="5569347" cy="2450190"/>
                          </a:xfrm>
                          <a:prstGeom prst="rect">
                            <a:avLst/>
                          </a:prstGeom>
                        </pic:spPr>
                      </pic:pic>
                    </a:graphicData>
                  </a:graphic>
                </wp:inline>
              </w:drawing>
            </w:r>
          </w:p>
          <w:p w14:paraId="58DE19AB" w14:textId="36D4848A" w:rsidR="00AC2606" w:rsidRPr="009377B9" w:rsidRDefault="00AC2606">
            <w:pPr>
              <w:pStyle w:val="Source"/>
              <w:rPr>
                <w:rFonts w:cs="Arial"/>
              </w:rPr>
            </w:pPr>
            <w:r w:rsidRPr="009377B9">
              <w:rPr>
                <w:rFonts w:cs="Arial"/>
              </w:rPr>
              <w:t>Source: J</w:t>
            </w:r>
            <w:r w:rsidR="00746425">
              <w:rPr>
                <w:rFonts w:cs="Arial"/>
              </w:rPr>
              <w:t>obs and Skills Australia</w:t>
            </w:r>
            <w:r w:rsidRPr="009377B9">
              <w:rPr>
                <w:rFonts w:cs="Arial"/>
              </w:rPr>
              <w:t>, Regional Labour Market Indicator (RLMI), June 2024</w:t>
            </w:r>
            <w:r w:rsidR="00797ABF">
              <w:rPr>
                <w:rFonts w:cs="Arial"/>
              </w:rPr>
              <w:t>.</w:t>
            </w:r>
          </w:p>
          <w:p w14:paraId="1501C379" w14:textId="609422C2" w:rsidR="009218B2" w:rsidRDefault="009218B2" w:rsidP="009218B2">
            <w:pPr>
              <w:rPr>
                <w:b/>
                <w:bCs/>
              </w:rPr>
            </w:pPr>
            <w:r w:rsidRPr="009218B2">
              <w:t>While conditions in these regions have improved over the last year, data at the regional level are inherently volatile. To help identify region-specific trends, it is often useful to compare a region’s rating over a longer period. When viewed from a long-term perspective, it is evident that the relative conditions in these regions have improved, with recent conditions consistently rating above their long-term trend (</w:t>
            </w:r>
            <w:r>
              <w:fldChar w:fldCharType="begin"/>
            </w:r>
            <w:r>
              <w:instrText xml:space="preserve"> REF _Ref181121543 \h </w:instrText>
            </w:r>
            <w:r>
              <w:fldChar w:fldCharType="separate"/>
            </w:r>
            <w:r w:rsidR="00C47A81">
              <w:t xml:space="preserve">Figure </w:t>
            </w:r>
            <w:r w:rsidR="00C47A81">
              <w:rPr>
                <w:noProof/>
              </w:rPr>
              <w:t>35</w:t>
            </w:r>
            <w:r>
              <w:fldChar w:fldCharType="end"/>
            </w:r>
            <w:r w:rsidRPr="009218B2">
              <w:t>).</w:t>
            </w:r>
            <w:bookmarkStart w:id="170" w:name="_Ref179897879"/>
            <w:r w:rsidR="008C52B1">
              <w:t xml:space="preserve"> </w:t>
            </w:r>
          </w:p>
          <w:p w14:paraId="5FA46F0B" w14:textId="68D62FBE" w:rsidR="00CA4F27" w:rsidRDefault="00CA4F27" w:rsidP="00CA4F27">
            <w:pPr>
              <w:pStyle w:val="Caption"/>
            </w:pPr>
            <w:bookmarkStart w:id="171" w:name="_Ref181121543"/>
            <w:bookmarkStart w:id="172" w:name="_Toc181370337"/>
            <w:r>
              <w:t xml:space="preserve">Figure </w:t>
            </w:r>
            <w:r>
              <w:fldChar w:fldCharType="begin"/>
            </w:r>
            <w:r>
              <w:instrText>SEQ Figure \* ARABIC</w:instrText>
            </w:r>
            <w:r>
              <w:fldChar w:fldCharType="separate"/>
            </w:r>
            <w:r w:rsidR="00C47A81">
              <w:rPr>
                <w:noProof/>
              </w:rPr>
              <w:t>35</w:t>
            </w:r>
            <w:r>
              <w:fldChar w:fldCharType="end"/>
            </w:r>
            <w:bookmarkEnd w:id="170"/>
            <w:bookmarkEnd w:id="171"/>
            <w:r>
              <w:t xml:space="preserve">: </w:t>
            </w:r>
            <w:r w:rsidRPr="00F47D9D">
              <w:t xml:space="preserve">Average RLMI rating for the Murray, Shepparton and Hume SA4 regions, </w:t>
            </w:r>
            <w:r w:rsidR="0029574B">
              <w:t>June</w:t>
            </w:r>
            <w:r w:rsidRPr="00F47D9D">
              <w:t xml:space="preserve"> 2009 to </w:t>
            </w:r>
            <w:r w:rsidR="0029574B">
              <w:t>June</w:t>
            </w:r>
            <w:r w:rsidRPr="00F47D9D">
              <w:t xml:space="preserve"> 2024</w:t>
            </w:r>
            <w:bookmarkEnd w:id="172"/>
          </w:p>
          <w:p w14:paraId="7E9260CD" w14:textId="5A1B915A" w:rsidR="001A00E5" w:rsidRPr="001A00E5" w:rsidRDefault="003D417F" w:rsidP="00356A15">
            <w:pPr>
              <w:jc w:val="center"/>
            </w:pPr>
            <w:r>
              <w:rPr>
                <w:noProof/>
              </w:rPr>
              <w:drawing>
                <wp:inline distT="0" distB="0" distL="0" distR="0" wp14:anchorId="7EB89A76" wp14:editId="184CF498">
                  <wp:extent cx="5050136" cy="2858193"/>
                  <wp:effectExtent l="0" t="0" r="0" b="0"/>
                  <wp:docPr id="454607307" name="Picture 53" descr="A line chart showing the average RLMI rating category for the Murray, Shepparton and Hume SA4 regions. The Map illustrates that the relative conditions in these regions have improved, with recent conditions consistently rating above their long-term tr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607307" name="Picture 53" descr="A line chart showing the average RLMI rating category for the Murray, Shepparton and Hume SA4 regions. The Map illustrates that the relative conditions in these regions have improved, with recent conditions consistently rating above their long-term trend. "/>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073634" cy="2871492"/>
                          </a:xfrm>
                          <a:prstGeom prst="rect">
                            <a:avLst/>
                          </a:prstGeom>
                          <a:noFill/>
                        </pic:spPr>
                      </pic:pic>
                    </a:graphicData>
                  </a:graphic>
                </wp:inline>
              </w:drawing>
            </w:r>
          </w:p>
          <w:p w14:paraId="0F41F4CE" w14:textId="0E5C1BC9" w:rsidR="00AC2606" w:rsidRPr="00CA4F27" w:rsidRDefault="00AC2606">
            <w:pPr>
              <w:pStyle w:val="Source"/>
              <w:rPr>
                <w:rFonts w:cs="Arial"/>
              </w:rPr>
            </w:pPr>
            <w:r w:rsidRPr="00CA4F27">
              <w:rPr>
                <w:rFonts w:cs="Arial"/>
              </w:rPr>
              <w:t>Source: J</w:t>
            </w:r>
            <w:r w:rsidR="0029574B">
              <w:rPr>
                <w:rFonts w:cs="Arial"/>
              </w:rPr>
              <w:t>obs and Skills Australia</w:t>
            </w:r>
            <w:r w:rsidRPr="00CA4F27">
              <w:rPr>
                <w:rFonts w:cs="Arial"/>
              </w:rPr>
              <w:t>, Regional Labour Market Indicator (RLMI), June 2024</w:t>
            </w:r>
            <w:r w:rsidR="00797ABF">
              <w:rPr>
                <w:rFonts w:cs="Arial"/>
              </w:rPr>
              <w:t>.</w:t>
            </w:r>
          </w:p>
          <w:p w14:paraId="289117BB" w14:textId="63C3C8BE" w:rsidR="00AC2606" w:rsidRPr="00616AC0" w:rsidRDefault="00AC2606" w:rsidP="00616AC0">
            <w:pPr>
              <w:pStyle w:val="Source"/>
              <w:rPr>
                <w:rFonts w:cs="Arial"/>
                <w:color w:val="013D74" w:themeColor="hyperlink"/>
                <w:u w:val="single"/>
              </w:rPr>
            </w:pPr>
            <w:r w:rsidRPr="00CA4F27">
              <w:rPr>
                <w:rFonts w:cs="Arial"/>
              </w:rPr>
              <w:t>Note: RLMI rating category legend: 1 – Strong, 2 – Above average, 3 – Average, 4 – Below average, 5 – Poor.</w:t>
            </w:r>
          </w:p>
        </w:tc>
      </w:tr>
    </w:tbl>
    <w:p w14:paraId="25F609CD" w14:textId="74E01A81" w:rsidR="00AC2606" w:rsidRPr="00AC0957" w:rsidRDefault="00AC2606" w:rsidP="00AC2606">
      <w:pPr>
        <w:pStyle w:val="Heading3"/>
        <w:rPr>
          <w:rFonts w:cs="Arial"/>
          <w:lang w:val="en-US"/>
        </w:rPr>
      </w:pPr>
      <w:bookmarkStart w:id="173" w:name="_Toc179887391"/>
      <w:bookmarkStart w:id="174" w:name="_Toc181371587"/>
      <w:r w:rsidRPr="00AC0957">
        <w:rPr>
          <w:rFonts w:cs="Arial"/>
          <w:lang w:val="en-US"/>
        </w:rPr>
        <w:t>Online job advertisements in regional Australia</w:t>
      </w:r>
      <w:bookmarkEnd w:id="173"/>
      <w:bookmarkEnd w:id="174"/>
    </w:p>
    <w:p w14:paraId="7B5A484E" w14:textId="77777777" w:rsidR="00991A1C" w:rsidRPr="00991A1C" w:rsidRDefault="00991A1C" w:rsidP="00991A1C">
      <w:pPr>
        <w:rPr>
          <w:rFonts w:cs="Arial"/>
        </w:rPr>
      </w:pPr>
      <w:r w:rsidRPr="00991A1C">
        <w:rPr>
          <w:rFonts w:cs="Arial"/>
        </w:rPr>
        <w:t xml:space="preserve">An increase in job advertisements can be an indicator that an economy is doing well, as it may signal that employers are experiencing strong demand for their goods and services and have a requisite demand for labour. </w:t>
      </w:r>
    </w:p>
    <w:p w14:paraId="178E163A" w14:textId="2FA1C40D" w:rsidR="00AC2606" w:rsidRPr="00AC0957" w:rsidRDefault="00991A1C" w:rsidP="00991A1C">
      <w:pPr>
        <w:rPr>
          <w:rFonts w:cs="Arial"/>
        </w:rPr>
      </w:pPr>
      <w:r w:rsidRPr="00991A1C">
        <w:rPr>
          <w:rFonts w:cs="Arial"/>
        </w:rPr>
        <w:t>JSA’s Internet Vacancy Index (IVI) is a monthly data series measuring online job advertisements. IVI data showed a dramatic increase in online job advertisements across Australia following the COVID-19 downturn, and when compared to a decade ago, the growth in regional Australia was especially pronounced. While online job advertisements have been declining from this series high, advertisements remain elevated and particularly for regional Australia (</w:t>
      </w:r>
      <w:r>
        <w:rPr>
          <w:rFonts w:cs="Arial"/>
        </w:rPr>
        <w:fldChar w:fldCharType="begin"/>
      </w:r>
      <w:r>
        <w:rPr>
          <w:rFonts w:cs="Arial"/>
        </w:rPr>
        <w:instrText xml:space="preserve"> REF _Ref179897886 \h </w:instrText>
      </w:r>
      <w:r>
        <w:rPr>
          <w:rFonts w:cs="Arial"/>
        </w:rPr>
      </w:r>
      <w:r>
        <w:rPr>
          <w:rFonts w:cs="Arial"/>
        </w:rPr>
        <w:fldChar w:fldCharType="separate"/>
      </w:r>
      <w:r w:rsidR="00C47A81" w:rsidRPr="0006272E">
        <w:t xml:space="preserve">Figure </w:t>
      </w:r>
      <w:r w:rsidR="00C47A81">
        <w:rPr>
          <w:noProof/>
        </w:rPr>
        <w:t>36</w:t>
      </w:r>
      <w:r>
        <w:rPr>
          <w:rFonts w:cs="Arial"/>
        </w:rPr>
        <w:fldChar w:fldCharType="end"/>
      </w:r>
      <w:r w:rsidRPr="00991A1C">
        <w:rPr>
          <w:rFonts w:cs="Arial"/>
        </w:rPr>
        <w:t>). While the number of job advertisements overall is higher for capital cities, the percentage growth for regional Australia has been stronger, and the decline has been less pronounced</w:t>
      </w:r>
      <w:r w:rsidR="00AC2606" w:rsidRPr="00AC0957">
        <w:rPr>
          <w:rFonts w:cs="Arial"/>
        </w:rPr>
        <w:t>.</w:t>
      </w:r>
    </w:p>
    <w:p w14:paraId="116D023F" w14:textId="77E4DE6C" w:rsidR="00CA4F27" w:rsidRPr="0006272E" w:rsidRDefault="00CA4F27" w:rsidP="0006272E">
      <w:pPr>
        <w:pStyle w:val="Caption"/>
      </w:pPr>
      <w:bookmarkStart w:id="175" w:name="_Ref179897886"/>
      <w:bookmarkStart w:id="176" w:name="_Toc181370338"/>
      <w:r w:rsidRPr="0006272E">
        <w:t xml:space="preserve">Figure </w:t>
      </w:r>
      <w:r w:rsidRPr="0006272E">
        <w:fldChar w:fldCharType="begin"/>
      </w:r>
      <w:r w:rsidRPr="0006272E">
        <w:instrText xml:space="preserve"> SEQ Figure \* ARABIC </w:instrText>
      </w:r>
      <w:r w:rsidRPr="0006272E">
        <w:fldChar w:fldCharType="separate"/>
      </w:r>
      <w:r w:rsidR="00C47A81">
        <w:rPr>
          <w:noProof/>
        </w:rPr>
        <w:t>36</w:t>
      </w:r>
      <w:r w:rsidRPr="0006272E">
        <w:fldChar w:fldCharType="end"/>
      </w:r>
      <w:bookmarkEnd w:id="175"/>
      <w:r w:rsidRPr="0006272E">
        <w:t>: Online job advertisements</w:t>
      </w:r>
      <w:r w:rsidR="00977DEC">
        <w:t xml:space="preserve"> </w:t>
      </w:r>
      <w:r w:rsidRPr="0006272E">
        <w:t>regional Australia, August 2014 to August 2024</w:t>
      </w:r>
      <w:bookmarkEnd w:id="176"/>
    </w:p>
    <w:p w14:paraId="29DB8D23" w14:textId="7D242927" w:rsidR="00616AC0" w:rsidRPr="00616AC0" w:rsidRDefault="008F4006" w:rsidP="0068274C">
      <w:pPr>
        <w:jc w:val="center"/>
      </w:pPr>
      <w:r>
        <w:rPr>
          <w:noProof/>
        </w:rPr>
        <w:drawing>
          <wp:inline distT="0" distB="0" distL="0" distR="0" wp14:anchorId="3985DB55" wp14:editId="650FE914">
            <wp:extent cx="5624661" cy="2679590"/>
            <wp:effectExtent l="0" t="0" r="0" b="6985"/>
            <wp:docPr id="1005483674" name="Picture 54" descr="A line graph comparing the growth rate in online job advertisements in capital cities and regional Australia from August 2014 to August 2024. This figure shows that between August 2014 and the COVID-19 downturn in 2020, online job advertisement numbers were relatively stable in both capital cities and regional Australia. The trajectory of the growth rate of online job advertisements across capital cities and regional Australia began to diverge during the COVID-19 downturn. Job advertisement numbers declined more sharply in capital cities. During the post-pandemic boom in recruitment activity the growth rate was stronger in regional Australia, with a widening differential in the growth rate between capital cities and regional Australia continuing through to late-2022. Since late-2022, online job advertisement numbers have declined at a consistent rate across both capital cities and regional Australia but continue to be proportionally higher in terms of the growth rate in regional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483674" name="Picture 54" descr="A line graph comparing the growth rate in online job advertisements in capital cities and regional Australia from August 2014 to August 2024. This figure shows that between August 2014 and the COVID-19 downturn in 2020, online job advertisement numbers were relatively stable in both capital cities and regional Australia. The trajectory of the growth rate of online job advertisements across capital cities and regional Australia began to diverge during the COVID-19 downturn. Job advertisement numbers declined more sharply in capital cities. During the post-pandemic boom in recruitment activity the growth rate was stronger in regional Australia, with a widening differential in the growth rate between capital cities and regional Australia continuing through to late-2022. Since late-2022, online job advertisement numbers have declined at a consistent rate across both capital cities and regional Australia but continue to be proportionally higher in terms of the growth rate in regional Australia."/>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636922" cy="2685431"/>
                    </a:xfrm>
                    <a:prstGeom prst="rect">
                      <a:avLst/>
                    </a:prstGeom>
                    <a:noFill/>
                  </pic:spPr>
                </pic:pic>
              </a:graphicData>
            </a:graphic>
          </wp:inline>
        </w:drawing>
      </w:r>
    </w:p>
    <w:p w14:paraId="2E92B3DC" w14:textId="738654D8" w:rsidR="00AC2606" w:rsidRPr="00CA4F27" w:rsidRDefault="00AC2606" w:rsidP="006B231F">
      <w:pPr>
        <w:pStyle w:val="Source"/>
      </w:pPr>
      <w:r w:rsidRPr="00CA4F27">
        <w:t>Source: Jobs and Skills Australia, Internet Vacancy Index, August 2024, 3-month average data</w:t>
      </w:r>
      <w:r w:rsidR="00797ABF">
        <w:t>.</w:t>
      </w:r>
    </w:p>
    <w:p w14:paraId="4D0AC2BB" w14:textId="77777777" w:rsidR="00AC2606" w:rsidRPr="00AC0957" w:rsidRDefault="00AC2606" w:rsidP="00AC2606">
      <w:pPr>
        <w:pStyle w:val="Heading3"/>
        <w:rPr>
          <w:rFonts w:cs="Arial"/>
        </w:rPr>
      </w:pPr>
      <w:bookmarkStart w:id="177" w:name="_Toc179887392"/>
      <w:bookmarkStart w:id="178" w:name="_Toc181371588"/>
      <w:r w:rsidRPr="00AC0957">
        <w:rPr>
          <w:rFonts w:cs="Arial"/>
        </w:rPr>
        <w:t>Changing demand for occupations in regional Australia</w:t>
      </w:r>
      <w:bookmarkEnd w:id="177"/>
      <w:bookmarkEnd w:id="178"/>
    </w:p>
    <w:p w14:paraId="4AEC0CE0" w14:textId="77777777" w:rsidR="00FE25C6" w:rsidRPr="00FE25C6" w:rsidRDefault="00FE25C6" w:rsidP="00FE25C6">
      <w:pPr>
        <w:rPr>
          <w:rFonts w:cs="Arial"/>
        </w:rPr>
      </w:pPr>
      <w:r w:rsidRPr="00FE25C6">
        <w:rPr>
          <w:rFonts w:cs="Arial"/>
        </w:rPr>
        <w:t>The occupation mix in regional Australia has changed markedly over the last decade, with growth in demand for Professionals accounting for a considerable share of the observed increase in recruitment activity. Across both metropolitan and regional Australia, occupations in the health care sector are experiencing strong demand while other Professional occupations, frequently employed in capital cities, have recorded easing demand.</w:t>
      </w:r>
    </w:p>
    <w:p w14:paraId="5CB6BA53" w14:textId="77777777" w:rsidR="00FE25C6" w:rsidRPr="00FE25C6" w:rsidRDefault="00FE25C6" w:rsidP="00FE25C6">
      <w:pPr>
        <w:rPr>
          <w:rFonts w:cs="Arial"/>
        </w:rPr>
      </w:pPr>
      <w:r w:rsidRPr="00FE25C6">
        <w:rPr>
          <w:rFonts w:cs="Arial"/>
        </w:rPr>
        <w:t>However, in making these comparisons, it is also important to recognise that recruitment methods vary across regions. Some regions use internet job boards (such as those captured in the IVI) for a high proportion of their total recruitment activity, while other regions use internet job boards less frequently, focusing more on recruitment methods such as social media and word of mouth. Equally, JSA’s Recruitment Experiences and Outlook Survey data shows that internet job boards are more frequently used when recruiting for higher skill level jobs.</w:t>
      </w:r>
    </w:p>
    <w:p w14:paraId="6916F0E5" w14:textId="77777777" w:rsidR="00FE25C6" w:rsidRPr="00FE25C6" w:rsidRDefault="00FE25C6" w:rsidP="00FE25C6">
      <w:pPr>
        <w:rPr>
          <w:rFonts w:cs="Arial"/>
        </w:rPr>
      </w:pPr>
      <w:r w:rsidRPr="00FE25C6">
        <w:rPr>
          <w:rFonts w:cs="Arial"/>
        </w:rPr>
        <w:t xml:space="preserve">Changing online job advertisement numbers in regional Australia over the last decade demonstrate the long-term growth in the provision of healthcare services and the wider care sector. Underlying these growth trends are shifts such as demographic change and the increasing diversity of labour market participation. </w:t>
      </w:r>
    </w:p>
    <w:p w14:paraId="30246CDD" w14:textId="6AB23C07" w:rsidR="00FE25C6" w:rsidRPr="00FE25C6" w:rsidRDefault="00FE25C6" w:rsidP="00FE25C6">
      <w:pPr>
        <w:rPr>
          <w:rFonts w:cs="Arial"/>
        </w:rPr>
      </w:pPr>
      <w:r w:rsidRPr="00FE25C6">
        <w:rPr>
          <w:rFonts w:cs="Arial"/>
        </w:rPr>
        <w:t>Over the decade to August 2024, the largest increases in the share of total advertisements in regional Australia were recorded for Professionals, and Community and Personal Service Workers (</w:t>
      </w:r>
      <w:r>
        <w:rPr>
          <w:rFonts w:cs="Arial"/>
        </w:rPr>
        <w:fldChar w:fldCharType="begin"/>
      </w:r>
      <w:r>
        <w:rPr>
          <w:rFonts w:cs="Arial"/>
        </w:rPr>
        <w:instrText xml:space="preserve"> REF _Ref179897896 \h </w:instrText>
      </w:r>
      <w:r>
        <w:rPr>
          <w:rFonts w:cs="Arial"/>
        </w:rPr>
      </w:r>
      <w:r>
        <w:rPr>
          <w:rFonts w:cs="Arial"/>
        </w:rPr>
        <w:fldChar w:fldCharType="separate"/>
      </w:r>
      <w:r w:rsidR="00C47A81">
        <w:t xml:space="preserve">Figure </w:t>
      </w:r>
      <w:r w:rsidR="00C47A81">
        <w:rPr>
          <w:noProof/>
        </w:rPr>
        <w:t>37</w:t>
      </w:r>
      <w:r>
        <w:rPr>
          <w:rFonts w:cs="Arial"/>
        </w:rPr>
        <w:fldChar w:fldCharType="end"/>
      </w:r>
      <w:r w:rsidRPr="00FE25C6">
        <w:rPr>
          <w:rFonts w:cs="Arial"/>
        </w:rPr>
        <w:t>). Job advertisements seeking Professionals made up almost one-quarter of all online job advertisements in regional Australia, an increase of 5.7 percentage points over the last decade, with much of this growth attributed to demand for healthcare workers and other occupations in the care sector. For example, online job advertisements for Medical Practitioners and Nurses increased by more than 200% (or 2,700 job advertisements) over the last decade, and large increases were also recorded for Health Diagnostic and Therapy Professionals (up by 218% or 1,600). While numbers also increased markedly for Legal, Social and Welfare Professionals (up by 291% or 2,000), meaningful proportions of this growth stemmed from demand for Social Workers, Counsellors and Psychologists.</w:t>
      </w:r>
    </w:p>
    <w:p w14:paraId="59AEFF0A" w14:textId="007134CE" w:rsidR="00AC2606" w:rsidRPr="00AC0957" w:rsidRDefault="00FE25C6" w:rsidP="00FE25C6">
      <w:pPr>
        <w:rPr>
          <w:rFonts w:eastAsia="Times New Roman" w:cs="Arial"/>
          <w:color w:val="000000"/>
          <w:lang w:eastAsia="en-AU"/>
        </w:rPr>
      </w:pPr>
      <w:r w:rsidRPr="00FE25C6">
        <w:rPr>
          <w:rFonts w:cs="Arial"/>
        </w:rPr>
        <w:t>Online job advertisements for Community and Personal Service Workers recorded the second largest increase in share of total advertisements in regional Australia over the last decade. Almost 15% of all online job advertisements sought Community and Personal Service Workers in August 2024, an increase of 2.9 percentage points. Primary among these occupations experiencing increasing demand were Carers and Aides, with a 230% (or 3,300) increase, followed by Health and Welfare Support Workers (up by 283% or 940). Among Carers and Aides, Aged and Disabled Carers and Child Carers recorded the largest increases in online job advertisements and among Health and Welfare Support Workers, the largest increases were recorded for Welfare Support Workers and Enrolled and Mothercraft Nurses</w:t>
      </w:r>
      <w:r w:rsidR="00AC2606" w:rsidRPr="00AC0957">
        <w:rPr>
          <w:rFonts w:eastAsia="Times New Roman" w:cs="Arial"/>
          <w:color w:val="000000"/>
          <w:lang w:eastAsia="en-AU"/>
        </w:rPr>
        <w:t>.</w:t>
      </w:r>
    </w:p>
    <w:p w14:paraId="3E3468D4" w14:textId="10CE7C2C" w:rsidR="00261419" w:rsidRDefault="003D57BB" w:rsidP="00250753">
      <w:pPr>
        <w:pStyle w:val="Caption"/>
      </w:pPr>
      <w:bookmarkStart w:id="179" w:name="_Ref179897896"/>
      <w:bookmarkStart w:id="180" w:name="_Toc181370339"/>
      <w:r>
        <w:t xml:space="preserve">Figure </w:t>
      </w:r>
      <w:r>
        <w:fldChar w:fldCharType="begin"/>
      </w:r>
      <w:r>
        <w:instrText xml:space="preserve"> SEQ Figure \* ARABIC </w:instrText>
      </w:r>
      <w:r>
        <w:fldChar w:fldCharType="separate"/>
      </w:r>
      <w:r w:rsidR="00C47A81">
        <w:rPr>
          <w:noProof/>
        </w:rPr>
        <w:t>37</w:t>
      </w:r>
      <w:r>
        <w:fldChar w:fldCharType="end"/>
      </w:r>
      <w:bookmarkEnd w:id="179"/>
      <w:r>
        <w:t xml:space="preserve">: </w:t>
      </w:r>
      <w:r w:rsidRPr="0008162D">
        <w:t>Online job advertisements for Major Occupation groups in regional Australia, August 2014 to August 2</w:t>
      </w:r>
      <w:r w:rsidR="007B76C3" w:rsidRPr="0008162D">
        <w:t>024</w:t>
      </w:r>
      <w:bookmarkEnd w:id="180"/>
    </w:p>
    <w:p w14:paraId="17E8C5E5" w14:textId="6F4BAD1C" w:rsidR="00261419" w:rsidRDefault="00796B4A" w:rsidP="00250753">
      <w:pPr>
        <w:pStyle w:val="Caption"/>
      </w:pPr>
      <w:r>
        <w:rPr>
          <w:noProof/>
        </w:rPr>
        <w:drawing>
          <wp:inline distT="0" distB="0" distL="0" distR="0" wp14:anchorId="4F1C55DE" wp14:editId="7EDCA65E">
            <wp:extent cx="5698800" cy="2498400"/>
            <wp:effectExtent l="0" t="0" r="0" b="0"/>
            <wp:docPr id="1885535827" name="Picture 55" descr="A line graph comparing the number of online job advertisements in regional Australia across Major Occupation groups from August 2014 to August 2024. This figure shows that between August 2014 and the COVID-19 downturn in 2020, online job advertisements for most Major Occupation groups were relatively stable with a consistent band ranging between around two thousand and five thousand job advertisements. The exception to this consistent pattern over this period were the increasing demand for Professionals and Technicians and Trades Workers that consistently attracted the largest number of job advertisements. While online job advertisements have increased for all Major Occupation groups since the COVID-19 downturn, the increases for Professionals and Community and Personal Service Workers have been particularly stro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535827" name="Picture 55" descr="A line graph comparing the number of online job advertisements in regional Australia across Major Occupation groups from August 2014 to August 2024. This figure shows that between August 2014 and the COVID-19 downturn in 2020, online job advertisements for most Major Occupation groups were relatively stable with a consistent band ranging between around two thousand and five thousand job advertisements. The exception to this consistent pattern over this period were the increasing demand for Professionals and Technicians and Trades Workers that consistently attracted the largest number of job advertisements. While online job advertisements have increased for all Major Occupation groups since the COVID-19 downturn, the increases for Professionals and Community and Personal Service Workers have been particularly strong. "/>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698800" cy="2498400"/>
                    </a:xfrm>
                    <a:prstGeom prst="rect">
                      <a:avLst/>
                    </a:prstGeom>
                    <a:noFill/>
                  </pic:spPr>
                </pic:pic>
              </a:graphicData>
            </a:graphic>
          </wp:inline>
        </w:drawing>
      </w:r>
    </w:p>
    <w:p w14:paraId="06DCB681" w14:textId="3F3E7789" w:rsidR="00AC2606" w:rsidRPr="003D57BB" w:rsidRDefault="00AC2606" w:rsidP="006B231F">
      <w:pPr>
        <w:pStyle w:val="Source"/>
      </w:pPr>
      <w:r w:rsidRPr="003D57BB">
        <w:t>Source: Jobs and Skills Australia, Internet Vacancy Index, August 2024, 3-month average data</w:t>
      </w:r>
      <w:r w:rsidR="00797ABF">
        <w:t>.</w:t>
      </w:r>
    </w:p>
    <w:p w14:paraId="5C522032" w14:textId="40D20A09" w:rsidR="00AC2606" w:rsidRPr="00AC0957" w:rsidRDefault="00833B00" w:rsidP="00E307AB">
      <w:pPr>
        <w:keepNext/>
        <w:keepLines/>
        <w:tabs>
          <w:tab w:val="num" w:pos="720"/>
        </w:tabs>
        <w:rPr>
          <w:rFonts w:cs="Arial"/>
        </w:rPr>
      </w:pPr>
      <w:r w:rsidRPr="00833B00">
        <w:rPr>
          <w:rFonts w:cs="Arial"/>
        </w:rPr>
        <w:t xml:space="preserve">The increasing demand for more highly skilled jobs in the Australian labour market has had an uneven impact on our regions. Unlike capital cities and regional cities, where there has been the largest shift in the share of employment towards skill level 1 occupations, regional and remote areas have experienced a shift in the share of employment towards occupations where VET is the primary pathway (skill levels 2 to 4), in addition to an increase in skill level 1 occupations </w:t>
      </w:r>
      <w:r w:rsidR="00434540">
        <w:rPr>
          <w:rFonts w:cs="Arial"/>
        </w:rPr>
        <w:t>(</w:t>
      </w:r>
      <w:r w:rsidR="00434540">
        <w:rPr>
          <w:rFonts w:cs="Arial"/>
        </w:rPr>
        <w:fldChar w:fldCharType="begin"/>
      </w:r>
      <w:r w:rsidR="00434540">
        <w:rPr>
          <w:rFonts w:cs="Arial"/>
        </w:rPr>
        <w:instrText xml:space="preserve"> REF _Ref179897934 \h </w:instrText>
      </w:r>
      <w:r w:rsidR="00434540">
        <w:rPr>
          <w:rFonts w:cs="Arial"/>
        </w:rPr>
      </w:r>
      <w:r w:rsidR="00434540">
        <w:rPr>
          <w:rFonts w:cs="Arial"/>
        </w:rPr>
        <w:fldChar w:fldCharType="separate"/>
      </w:r>
      <w:r w:rsidR="00C47A81">
        <w:t xml:space="preserve">Figure </w:t>
      </w:r>
      <w:r w:rsidR="00C47A81">
        <w:rPr>
          <w:noProof/>
        </w:rPr>
        <w:t>38</w:t>
      </w:r>
      <w:r w:rsidR="00434540">
        <w:rPr>
          <w:rFonts w:cs="Arial"/>
        </w:rPr>
        <w:fldChar w:fldCharType="end"/>
      </w:r>
      <w:r w:rsidR="00434540">
        <w:rPr>
          <w:rFonts w:cs="Arial"/>
        </w:rPr>
        <w:t>)</w:t>
      </w:r>
      <w:r w:rsidR="00AC2606" w:rsidRPr="00AC0957">
        <w:rPr>
          <w:rFonts w:cs="Arial"/>
        </w:rPr>
        <w:t>.</w:t>
      </w:r>
    </w:p>
    <w:p w14:paraId="64FDB091" w14:textId="4BDE1365" w:rsidR="00250753" w:rsidRDefault="00250753" w:rsidP="00586ABB">
      <w:pPr>
        <w:pStyle w:val="Caption"/>
      </w:pPr>
      <w:bookmarkStart w:id="181" w:name="_Ref179897934"/>
      <w:bookmarkStart w:id="182" w:name="_Toc181370340"/>
      <w:r>
        <w:t xml:space="preserve">Figure </w:t>
      </w:r>
      <w:r>
        <w:fldChar w:fldCharType="begin"/>
      </w:r>
      <w:r>
        <w:instrText xml:space="preserve"> SEQ Figure \* ARABIC </w:instrText>
      </w:r>
      <w:r>
        <w:fldChar w:fldCharType="separate"/>
      </w:r>
      <w:r w:rsidR="00C47A81">
        <w:rPr>
          <w:noProof/>
        </w:rPr>
        <w:t>38</w:t>
      </w:r>
      <w:r>
        <w:fldChar w:fldCharType="end"/>
      </w:r>
      <w:bookmarkEnd w:id="181"/>
      <w:r>
        <w:t xml:space="preserve">: </w:t>
      </w:r>
      <w:r w:rsidRPr="0079370F">
        <w:t>Skill level employment share, change (% pts) between 2019 and 2024</w:t>
      </w:r>
      <w:bookmarkEnd w:id="182"/>
    </w:p>
    <w:p w14:paraId="75B0259B" w14:textId="453CF366" w:rsidR="00A27FD9" w:rsidRPr="00A27FD9" w:rsidRDefault="009720F4" w:rsidP="00B23885">
      <w:pPr>
        <w:jc w:val="center"/>
      </w:pPr>
      <w:r>
        <w:rPr>
          <w:noProof/>
        </w:rPr>
        <w:drawing>
          <wp:inline distT="0" distB="0" distL="0" distR="0" wp14:anchorId="73CEB2BC" wp14:editId="22166156">
            <wp:extent cx="4810539" cy="2744979"/>
            <wp:effectExtent l="0" t="0" r="0" b="0"/>
            <wp:docPr id="469210175" name="Picture 56" descr="A bar chart that shows the percentage point change in skill level employment (skill level 1, skill level2-4 and skill level 5) between 2019 and 2024 by remoteness category (metropolitan city, regional city, regional and rem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210175" name="Picture 56" descr="A bar chart that shows the percentage point change in skill level employment (skill level 1, skill level2-4 and skill level 5) between 2019 and 2024 by remoteness category (metropolitan city, regional city, regional and remot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836863" cy="2760000"/>
                    </a:xfrm>
                    <a:prstGeom prst="rect">
                      <a:avLst/>
                    </a:prstGeom>
                    <a:noFill/>
                  </pic:spPr>
                </pic:pic>
              </a:graphicData>
            </a:graphic>
          </wp:inline>
        </w:drawing>
      </w:r>
    </w:p>
    <w:p w14:paraId="70FF42AB" w14:textId="353C8669" w:rsidR="00AC2606" w:rsidRPr="00957CF2" w:rsidRDefault="00AC2606" w:rsidP="006B231F">
      <w:pPr>
        <w:pStyle w:val="Source"/>
      </w:pPr>
      <w:r w:rsidRPr="00957CF2">
        <w:t>Source: J</w:t>
      </w:r>
      <w:r w:rsidR="00797ABF">
        <w:t>obs and Skills Australia</w:t>
      </w:r>
      <w:r w:rsidRPr="00957CF2">
        <w:t xml:space="preserve">, NERO, </w:t>
      </w:r>
      <w:r w:rsidRPr="00A27FD9">
        <w:t>April</w:t>
      </w:r>
      <w:r w:rsidRPr="00957CF2">
        <w:t xml:space="preserve"> 2024</w:t>
      </w:r>
      <w:r w:rsidR="00797ABF">
        <w:t>.</w:t>
      </w:r>
    </w:p>
    <w:p w14:paraId="0BADA09F" w14:textId="7B78D5A6" w:rsidR="00AC2606" w:rsidRPr="00AC0957" w:rsidRDefault="00AC2606" w:rsidP="006B3417">
      <w:pPr>
        <w:pStyle w:val="ChartorTableNote"/>
      </w:pPr>
      <w:r w:rsidRPr="00AC0957">
        <w:t xml:space="preserve">Note: Skill Level 1 relates to </w:t>
      </w:r>
      <w:r w:rsidR="00276F2F">
        <w:t>bachelor’s degree</w:t>
      </w:r>
      <w:r w:rsidRPr="00AC0957">
        <w:t xml:space="preserve"> or higher qualification; Skill Level 2 relates to Advanced Diploma or Diploma; Skill Level 3 relates to Certificate IV or III (including at least 2 years on-the-job training); Skill Level 4 relates to Certificate II or III; Skill Level 5 relates to Certificate I or secondary education. </w:t>
      </w:r>
    </w:p>
    <w:tbl>
      <w:tblPr>
        <w:tblStyle w:val="TableGrid"/>
        <w:tblW w:w="0" w:type="auto"/>
        <w:tblLook w:val="04A0" w:firstRow="1" w:lastRow="0" w:firstColumn="1" w:lastColumn="0" w:noHBand="0" w:noVBand="1"/>
      </w:tblPr>
      <w:tblGrid>
        <w:gridCol w:w="9016"/>
      </w:tblGrid>
      <w:tr w:rsidR="00AC2606" w:rsidRPr="00AC0957" w14:paraId="4DEA6367" w14:textId="77777777" w:rsidTr="006B3417">
        <w:tc>
          <w:tcPr>
            <w:tcW w:w="9016" w:type="dxa"/>
            <w:tcBorders>
              <w:top w:val="nil"/>
              <w:left w:val="nil"/>
              <w:bottom w:val="nil"/>
              <w:right w:val="nil"/>
            </w:tcBorders>
            <w:shd w:val="clear" w:color="auto" w:fill="E0D1F5" w:themeFill="accent1" w:themeFillTint="33"/>
          </w:tcPr>
          <w:p w14:paraId="1EF7A90A" w14:textId="77777777" w:rsidR="00AC2606" w:rsidRPr="00AC0957" w:rsidRDefault="00AC2606">
            <w:pPr>
              <w:pStyle w:val="Heading3"/>
              <w:rPr>
                <w:rFonts w:cs="Arial"/>
              </w:rPr>
            </w:pPr>
            <w:bookmarkStart w:id="183" w:name="_Toc179887393"/>
            <w:bookmarkStart w:id="184" w:name="_Toc181371589"/>
            <w:r w:rsidRPr="00AC0957">
              <w:rPr>
                <w:rFonts w:cs="Arial"/>
              </w:rPr>
              <w:t>Changing demand patterns in thriving labour markets</w:t>
            </w:r>
            <w:bookmarkEnd w:id="183"/>
            <w:bookmarkEnd w:id="184"/>
          </w:p>
          <w:p w14:paraId="1E1C9DBB" w14:textId="2EFFB26E" w:rsidR="00AC2606" w:rsidRPr="00AC0957" w:rsidRDefault="00AC2606">
            <w:pPr>
              <w:rPr>
                <w:rFonts w:cs="Arial"/>
              </w:rPr>
            </w:pPr>
            <w:r w:rsidRPr="00AC0957">
              <w:rPr>
                <w:rFonts w:cs="Arial"/>
              </w:rPr>
              <w:t xml:space="preserve">Three regional labour markets, namely New South Wales Central West, Geelong and Sunshine Coast </w:t>
            </w:r>
            <w:r w:rsidR="00037E8B">
              <w:rPr>
                <w:rFonts w:cs="Arial"/>
              </w:rPr>
              <w:t>recorded</w:t>
            </w:r>
            <w:r w:rsidR="00037E8B" w:rsidRPr="00AC0957">
              <w:rPr>
                <w:rFonts w:cs="Arial"/>
              </w:rPr>
              <w:t xml:space="preserve"> </w:t>
            </w:r>
            <w:r w:rsidR="00493197">
              <w:rPr>
                <w:rFonts w:cs="Arial"/>
              </w:rPr>
              <w:t xml:space="preserve">a notable improvement in </w:t>
            </w:r>
            <w:r w:rsidRPr="00AC0957">
              <w:rPr>
                <w:rFonts w:cs="Arial"/>
              </w:rPr>
              <w:t xml:space="preserve">current relative labour market conditions </w:t>
            </w:r>
            <w:r w:rsidR="00493197">
              <w:rPr>
                <w:rFonts w:cs="Arial"/>
              </w:rPr>
              <w:t xml:space="preserve">in recent years, when compared to </w:t>
            </w:r>
            <w:r w:rsidRPr="00AC0957">
              <w:rPr>
                <w:rFonts w:cs="Arial"/>
              </w:rPr>
              <w:t>their long-term average</w:t>
            </w:r>
            <w:sdt>
              <w:sdtPr>
                <w:rPr>
                  <w:rFonts w:cs="Arial"/>
                </w:rPr>
                <w:id w:val="-1157220687"/>
                <w:citation/>
              </w:sdtPr>
              <w:sdtEndPr/>
              <w:sdtContent>
                <w:r w:rsidRPr="00AC0957">
                  <w:rPr>
                    <w:rFonts w:cs="Arial"/>
                  </w:rPr>
                  <w:fldChar w:fldCharType="begin"/>
                </w:r>
                <w:r w:rsidR="00E52B87">
                  <w:rPr>
                    <w:rFonts w:cs="Arial"/>
                  </w:rPr>
                  <w:instrText xml:space="preserve">CITATION Job24 \l 3081 </w:instrText>
                </w:r>
                <w:r w:rsidRPr="00AC0957">
                  <w:rPr>
                    <w:rFonts w:cs="Arial"/>
                  </w:rPr>
                  <w:fldChar w:fldCharType="separate"/>
                </w:r>
                <w:r w:rsidR="00CA3587">
                  <w:rPr>
                    <w:rFonts w:cs="Arial"/>
                    <w:noProof/>
                  </w:rPr>
                  <w:t xml:space="preserve"> </w:t>
                </w:r>
                <w:r w:rsidR="00CA3587" w:rsidRPr="00CA3587">
                  <w:rPr>
                    <w:rFonts w:cs="Arial"/>
                    <w:noProof/>
                  </w:rPr>
                  <w:t>(Jobs and Skills Australia, 2024c)</w:t>
                </w:r>
                <w:r w:rsidRPr="00AC0957">
                  <w:rPr>
                    <w:rFonts w:cs="Arial"/>
                  </w:rPr>
                  <w:fldChar w:fldCharType="end"/>
                </w:r>
              </w:sdtContent>
            </w:sdt>
            <w:r w:rsidRPr="00AC0957">
              <w:rPr>
                <w:rFonts w:cs="Arial"/>
              </w:rPr>
              <w:t xml:space="preserve">. A combination of IVI results with other data for these regions show a number of existing and emerging drivers of demand are contributing to beneficial conditions in these labour markets. </w:t>
            </w:r>
          </w:p>
          <w:p w14:paraId="6E19ACA8" w14:textId="2B8D2D76" w:rsidR="00AC2606" w:rsidRPr="00AC0957" w:rsidRDefault="00AC2606">
            <w:pPr>
              <w:rPr>
                <w:rFonts w:cs="Arial"/>
              </w:rPr>
            </w:pPr>
            <w:r w:rsidRPr="00AC0957">
              <w:rPr>
                <w:rFonts w:cs="Arial"/>
              </w:rPr>
              <w:t>In these regions, the online job advertisement growth rate exceeded the rapid increase in recruitment activity across Australia since the COVID-19 pandemic</w:t>
            </w:r>
            <w:r w:rsidR="00502575">
              <w:rPr>
                <w:rFonts w:cs="Arial"/>
              </w:rPr>
              <w:t xml:space="preserve"> (</w:t>
            </w:r>
            <w:r w:rsidR="00502575">
              <w:rPr>
                <w:rFonts w:cs="Arial"/>
              </w:rPr>
              <w:fldChar w:fldCharType="begin"/>
            </w:r>
            <w:r w:rsidR="00502575">
              <w:rPr>
                <w:rFonts w:cs="Arial"/>
              </w:rPr>
              <w:instrText xml:space="preserve"> REF _Ref179897970 \h </w:instrText>
            </w:r>
            <w:r w:rsidR="00502575">
              <w:rPr>
                <w:rFonts w:cs="Arial"/>
              </w:rPr>
            </w:r>
            <w:r w:rsidR="00502575">
              <w:rPr>
                <w:rFonts w:cs="Arial"/>
              </w:rPr>
              <w:fldChar w:fldCharType="separate"/>
            </w:r>
            <w:r w:rsidR="00C47A81">
              <w:t xml:space="preserve">Figure </w:t>
            </w:r>
            <w:r w:rsidR="00C47A81">
              <w:rPr>
                <w:noProof/>
              </w:rPr>
              <w:t>39</w:t>
            </w:r>
            <w:r w:rsidR="00502575">
              <w:rPr>
                <w:rFonts w:cs="Arial"/>
              </w:rPr>
              <w:fldChar w:fldCharType="end"/>
            </w:r>
            <w:r w:rsidR="00502575">
              <w:rPr>
                <w:rFonts w:cs="Arial"/>
              </w:rPr>
              <w:t>)</w:t>
            </w:r>
            <w:r w:rsidRPr="00AC0957">
              <w:rPr>
                <w:rFonts w:cs="Arial"/>
              </w:rPr>
              <w:t xml:space="preserve">. While online job advertisements in these regions have eased since their peak in late 2022, this has only been at a marginally sharper rate than the national level. Taken together, this means that job advertisement growth rates remain somewhat more elevated in these regions. </w:t>
            </w:r>
          </w:p>
          <w:p w14:paraId="2581AA3C" w14:textId="2C05DB4D" w:rsidR="00586ABB" w:rsidRDefault="00586ABB" w:rsidP="00586ABB">
            <w:pPr>
              <w:pStyle w:val="Caption"/>
            </w:pPr>
            <w:bookmarkStart w:id="185" w:name="_Ref179897970"/>
            <w:bookmarkStart w:id="186" w:name="_Toc181370341"/>
            <w:r>
              <w:t xml:space="preserve">Figure </w:t>
            </w:r>
            <w:r>
              <w:fldChar w:fldCharType="begin"/>
            </w:r>
            <w:r>
              <w:instrText>SEQ Figure \* ARABIC</w:instrText>
            </w:r>
            <w:r>
              <w:fldChar w:fldCharType="separate"/>
            </w:r>
            <w:r w:rsidR="00C47A81">
              <w:rPr>
                <w:noProof/>
              </w:rPr>
              <w:t>39</w:t>
            </w:r>
            <w:r>
              <w:fldChar w:fldCharType="end"/>
            </w:r>
            <w:bookmarkEnd w:id="185"/>
            <w:r>
              <w:t xml:space="preserve">: </w:t>
            </w:r>
            <w:r w:rsidRPr="004E21DA">
              <w:t xml:space="preserve">Online job advertisement growth rate </w:t>
            </w:r>
            <w:r w:rsidR="009F30FE">
              <w:t>August</w:t>
            </w:r>
            <w:r w:rsidRPr="004E21DA">
              <w:t xml:space="preserve"> 2019 to August 2024 for three regions in focus</w:t>
            </w:r>
            <w:bookmarkEnd w:id="186"/>
          </w:p>
          <w:p w14:paraId="1988DF4B" w14:textId="1128D98F" w:rsidR="009F30FE" w:rsidRPr="009F30FE" w:rsidRDefault="00913C96" w:rsidP="009F30FE">
            <w:r>
              <w:rPr>
                <w:noProof/>
              </w:rPr>
              <w:drawing>
                <wp:inline distT="0" distB="0" distL="0" distR="0" wp14:anchorId="390D703E" wp14:editId="64A6809F">
                  <wp:extent cx="5581815" cy="2845709"/>
                  <wp:effectExtent l="0" t="0" r="0" b="0"/>
                  <wp:docPr id="630687136" name="Picture 57" descr="This graph shows the growth rate in online job advertisements in Central West New South Wales, Geelong and Sunshine Coast from August 2019 to August 2024 with a comparison line showing the Australia total growth rate. This figure shows that after the COVID-19 downturn in 2020, the growth in online job advertisements in the three regional labour markets exceeded even the strong growth rate recorded nationally. Since reaching the peak level of online job advertisements in late 2022, declines have been recorded that are somewhat sharper than the average recorded across Australia. Notably, the declines in Sunshine Coast have been smaller than the other regional labour mark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687136" name="Picture 57" descr="This graph shows the growth rate in online job advertisements in Central West New South Wales, Geelong and Sunshine Coast from August 2019 to August 2024 with a comparison line showing the Australia total growth rate. This figure shows that after the COVID-19 downturn in 2020, the growth in online job advertisements in the three regional labour markets exceeded even the strong growth rate recorded nationally. Since reaching the peak level of online job advertisements in late 2022, declines have been recorded that are somewhat sharper than the average recorded across Australia. Notably, the declines in Sunshine Coast have been smaller than the other regional labour markets."/>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605953" cy="2858015"/>
                          </a:xfrm>
                          <a:prstGeom prst="rect">
                            <a:avLst/>
                          </a:prstGeom>
                          <a:noFill/>
                        </pic:spPr>
                      </pic:pic>
                    </a:graphicData>
                  </a:graphic>
                </wp:inline>
              </w:drawing>
            </w:r>
          </w:p>
          <w:p w14:paraId="2C1B5875" w14:textId="0DAF8F41" w:rsidR="00AC2606" w:rsidRPr="00586ABB" w:rsidRDefault="00AC2606" w:rsidP="006B231F">
            <w:pPr>
              <w:pStyle w:val="Source"/>
              <w:rPr>
                <w:lang w:val="en-US"/>
              </w:rPr>
            </w:pPr>
            <w:r w:rsidRPr="00586ABB">
              <w:rPr>
                <w:lang w:val="en-US"/>
              </w:rPr>
              <w:t xml:space="preserve">Source: </w:t>
            </w:r>
            <w:r w:rsidRPr="00586ABB">
              <w:t>Jobs and Skills Australia, Internet Vacancy Index, August 2024, 3-month average data</w:t>
            </w:r>
            <w:r w:rsidR="00797ABF">
              <w:t>.</w:t>
            </w:r>
          </w:p>
          <w:p w14:paraId="730BE9ED" w14:textId="77777777" w:rsidR="00F16EA0" w:rsidRPr="00F16EA0" w:rsidRDefault="00F16EA0" w:rsidP="00F16EA0">
            <w:pPr>
              <w:rPr>
                <w:rFonts w:cs="Arial"/>
              </w:rPr>
            </w:pPr>
            <w:r w:rsidRPr="00F16EA0">
              <w:rPr>
                <w:rFonts w:cs="Arial"/>
              </w:rPr>
              <w:t xml:space="preserve">The occupation groups driving recruitment activity in these regions are indicative both of prevalent social trends (commonalities between regions) and the resilient contribution of each region’s existing drivers and emerging economic contributors (differences between regions). </w:t>
            </w:r>
          </w:p>
          <w:p w14:paraId="2B1A16F2" w14:textId="77777777" w:rsidR="00F16EA0" w:rsidRPr="00F16EA0" w:rsidRDefault="00F16EA0" w:rsidP="00F16EA0">
            <w:pPr>
              <w:rPr>
                <w:rFonts w:cs="Arial"/>
              </w:rPr>
            </w:pPr>
            <w:r w:rsidRPr="00F16EA0">
              <w:rPr>
                <w:rFonts w:cs="Arial"/>
              </w:rPr>
              <w:t xml:space="preserve">The clearest commonality between regions is strong growth in demand for Community and Personal Service Workers, particularly for Carers and Aides (largely Aged and Disabled Carers, and Child Carers) – indicative of demographic changes in these regions and across Australia. </w:t>
            </w:r>
          </w:p>
          <w:p w14:paraId="22EF007B" w14:textId="614FA282" w:rsidR="00F16EA0" w:rsidRPr="00F16EA0" w:rsidRDefault="00F16EA0" w:rsidP="00E307AB">
            <w:pPr>
              <w:keepLines/>
              <w:rPr>
                <w:rFonts w:cs="Arial"/>
              </w:rPr>
            </w:pPr>
            <w:r w:rsidRPr="00F16EA0">
              <w:rPr>
                <w:rFonts w:cs="Arial"/>
              </w:rPr>
              <w:t>For Geelong, distinct drivers of online job advertisement growth include rapid population growth, a long history of industrial and manufacturing activity, and the evolution into modern high-tech manufacturing and research</w:t>
            </w:r>
            <w:sdt>
              <w:sdtPr>
                <w:rPr>
                  <w:rFonts w:cs="Arial"/>
                </w:rPr>
                <w:id w:val="1322233640"/>
                <w:citation/>
              </w:sdtPr>
              <w:sdtEndPr/>
              <w:sdtContent>
                <w:r w:rsidR="00AD0B5B">
                  <w:rPr>
                    <w:rFonts w:cs="Arial"/>
                  </w:rPr>
                  <w:fldChar w:fldCharType="begin"/>
                </w:r>
                <w:r w:rsidR="00AD0B5B">
                  <w:rPr>
                    <w:rFonts w:cs="Arial"/>
                  </w:rPr>
                  <w:instrText xml:space="preserve">CITATION Vic23 \l 3081 </w:instrText>
                </w:r>
                <w:r w:rsidR="00AD0B5B">
                  <w:rPr>
                    <w:rFonts w:cs="Arial"/>
                  </w:rPr>
                  <w:fldChar w:fldCharType="separate"/>
                </w:r>
                <w:r w:rsidR="00CA3587">
                  <w:rPr>
                    <w:rFonts w:cs="Arial"/>
                    <w:noProof/>
                  </w:rPr>
                  <w:t xml:space="preserve"> </w:t>
                </w:r>
                <w:r w:rsidR="00CA3587" w:rsidRPr="00CA3587">
                  <w:rPr>
                    <w:rFonts w:cs="Arial"/>
                    <w:noProof/>
                  </w:rPr>
                  <w:t>(Victoria State Government Department of Jobs, Skills, Industry and Regions, 2023)</w:t>
                </w:r>
                <w:r w:rsidR="00AD0B5B">
                  <w:rPr>
                    <w:rFonts w:cs="Arial"/>
                  </w:rPr>
                  <w:fldChar w:fldCharType="end"/>
                </w:r>
              </w:sdtContent>
            </w:sdt>
            <w:sdt>
              <w:sdtPr>
                <w:rPr>
                  <w:rFonts w:cs="Arial"/>
                </w:rPr>
                <w:id w:val="-1004974015"/>
                <w:citation/>
              </w:sdtPr>
              <w:sdtEndPr/>
              <w:sdtContent>
                <w:r w:rsidR="00AD0B5B">
                  <w:rPr>
                    <w:rFonts w:cs="Arial"/>
                  </w:rPr>
                  <w:fldChar w:fldCharType="begin"/>
                </w:r>
                <w:r w:rsidR="00AD0B5B">
                  <w:rPr>
                    <w:rFonts w:cs="Arial"/>
                  </w:rPr>
                  <w:instrText xml:space="preserve"> CITATION Aus24 \l 3081 </w:instrText>
                </w:r>
                <w:r w:rsidR="00AD0B5B">
                  <w:rPr>
                    <w:rFonts w:cs="Arial"/>
                  </w:rPr>
                  <w:fldChar w:fldCharType="separate"/>
                </w:r>
                <w:r w:rsidR="00CA3587">
                  <w:rPr>
                    <w:rFonts w:cs="Arial"/>
                    <w:noProof/>
                  </w:rPr>
                  <w:t xml:space="preserve"> </w:t>
                </w:r>
                <w:r w:rsidR="00CA3587" w:rsidRPr="00CA3587">
                  <w:rPr>
                    <w:rFonts w:cs="Arial"/>
                    <w:noProof/>
                  </w:rPr>
                  <w:t>(Australian Bureau of Statistics, 2024a)</w:t>
                </w:r>
                <w:r w:rsidR="00AD0B5B">
                  <w:rPr>
                    <w:rFonts w:cs="Arial"/>
                  </w:rPr>
                  <w:fldChar w:fldCharType="end"/>
                </w:r>
              </w:sdtContent>
            </w:sdt>
            <w:r w:rsidRPr="00F16EA0">
              <w:rPr>
                <w:rFonts w:cs="Arial"/>
              </w:rPr>
              <w:t xml:space="preserve">. This has led to a strong demand for Professionals, Managers and Sales Workers. While Central West and Sunshine Coast have also recorded a strong growth in demand for Professionals, this has only translated into growth in the share of total vacancies for Geelong. </w:t>
            </w:r>
          </w:p>
          <w:p w14:paraId="78EF4434" w14:textId="31A3BB36" w:rsidR="00F16EA0" w:rsidRPr="00F16EA0" w:rsidRDefault="00F16EA0" w:rsidP="00F16EA0">
            <w:pPr>
              <w:rPr>
                <w:rFonts w:cs="Arial"/>
              </w:rPr>
            </w:pPr>
            <w:r w:rsidRPr="00F16EA0">
              <w:rPr>
                <w:rFonts w:cs="Arial"/>
              </w:rPr>
              <w:t>In August 2024, almost one-third of all online job advertisements in Geelong sought Professionals, representing a 10% increase in this share over the last 5 years (the second largest increase of any Major Occupation group in the region behind Community and Personal Service Workers). While this features healthcare and education professionals as expected for a rapidly growing regional city, recent employment growth for occupations such as Software and Applications Programmers; Other Information and Organisation Professionals; and Industrial, Mechanical and Production Engineers point to the evolving economic contributors in the region</w:t>
            </w:r>
            <w:sdt>
              <w:sdtPr>
                <w:rPr>
                  <w:rFonts w:cs="Arial"/>
                </w:rPr>
                <w:id w:val="1256779362"/>
                <w:citation/>
              </w:sdtPr>
              <w:sdtEndPr/>
              <w:sdtContent>
                <w:r w:rsidR="004A1F53">
                  <w:rPr>
                    <w:rFonts w:cs="Arial"/>
                  </w:rPr>
                  <w:fldChar w:fldCharType="begin"/>
                </w:r>
                <w:r w:rsidR="00E52B87">
                  <w:rPr>
                    <w:rFonts w:cs="Arial"/>
                  </w:rPr>
                  <w:instrText xml:space="preserve">CITATION Job241 \l 3081 </w:instrText>
                </w:r>
                <w:r w:rsidR="004A1F53">
                  <w:rPr>
                    <w:rFonts w:cs="Arial"/>
                  </w:rPr>
                  <w:fldChar w:fldCharType="separate"/>
                </w:r>
                <w:r w:rsidR="00CA3587">
                  <w:rPr>
                    <w:rFonts w:cs="Arial"/>
                    <w:noProof/>
                  </w:rPr>
                  <w:t xml:space="preserve"> </w:t>
                </w:r>
                <w:r w:rsidR="00CA3587" w:rsidRPr="00CA3587">
                  <w:rPr>
                    <w:rFonts w:cs="Arial"/>
                    <w:noProof/>
                  </w:rPr>
                  <w:t>(Jobs and Skills Australia, 2024d)</w:t>
                </w:r>
                <w:r w:rsidR="004A1F53">
                  <w:rPr>
                    <w:rFonts w:cs="Arial"/>
                  </w:rPr>
                  <w:fldChar w:fldCharType="end"/>
                </w:r>
              </w:sdtContent>
            </w:sdt>
            <w:r w:rsidRPr="00F16EA0">
              <w:rPr>
                <w:rFonts w:cs="Arial"/>
              </w:rPr>
              <w:t>.</w:t>
            </w:r>
          </w:p>
          <w:p w14:paraId="0E188491" w14:textId="415CFF50" w:rsidR="00F16EA0" w:rsidRPr="00F16EA0" w:rsidRDefault="00F16EA0" w:rsidP="00F16EA0">
            <w:pPr>
              <w:rPr>
                <w:rFonts w:cs="Arial"/>
              </w:rPr>
            </w:pPr>
            <w:r w:rsidRPr="00F16EA0">
              <w:rPr>
                <w:rFonts w:cs="Arial"/>
              </w:rPr>
              <w:t>In contrast, Central West has a relatively stable population level and a notably high employment to population ratio</w:t>
            </w:r>
            <w:sdt>
              <w:sdtPr>
                <w:rPr>
                  <w:rFonts w:cs="Arial"/>
                </w:rPr>
                <w:id w:val="1534075362"/>
                <w:citation/>
              </w:sdtPr>
              <w:sdtEndPr/>
              <w:sdtContent>
                <w:r w:rsidR="00EC452C">
                  <w:rPr>
                    <w:rFonts w:cs="Arial"/>
                  </w:rPr>
                  <w:fldChar w:fldCharType="begin"/>
                </w:r>
                <w:r w:rsidR="00EC452C">
                  <w:rPr>
                    <w:rFonts w:cs="Arial"/>
                  </w:rPr>
                  <w:instrText xml:space="preserve"> CITATION Aus24 \l 3081 </w:instrText>
                </w:r>
                <w:r w:rsidR="00EC452C">
                  <w:rPr>
                    <w:rFonts w:cs="Arial"/>
                  </w:rPr>
                  <w:fldChar w:fldCharType="separate"/>
                </w:r>
                <w:r w:rsidR="00CA3587">
                  <w:rPr>
                    <w:rFonts w:cs="Arial"/>
                    <w:noProof/>
                  </w:rPr>
                  <w:t xml:space="preserve"> </w:t>
                </w:r>
                <w:r w:rsidR="00CA3587" w:rsidRPr="00CA3587">
                  <w:rPr>
                    <w:rFonts w:cs="Arial"/>
                    <w:noProof/>
                  </w:rPr>
                  <w:t>(Australian Bureau of Statistics, 2024a)</w:t>
                </w:r>
                <w:r w:rsidR="00EC452C">
                  <w:rPr>
                    <w:rFonts w:cs="Arial"/>
                  </w:rPr>
                  <w:fldChar w:fldCharType="end"/>
                </w:r>
              </w:sdtContent>
            </w:sdt>
            <w:r w:rsidRPr="00F16EA0">
              <w:rPr>
                <w:rFonts w:cs="Arial"/>
              </w:rPr>
              <w:t xml:space="preserve"> </w:t>
            </w:r>
            <w:sdt>
              <w:sdtPr>
                <w:rPr>
                  <w:rFonts w:cs="Arial"/>
                </w:rPr>
                <w:id w:val="-13075338"/>
                <w:citation/>
              </w:sdtPr>
              <w:sdtEndPr/>
              <w:sdtContent>
                <w:r w:rsidR="00EC452C">
                  <w:rPr>
                    <w:rFonts w:cs="Arial"/>
                  </w:rPr>
                  <w:fldChar w:fldCharType="begin"/>
                </w:r>
                <w:r w:rsidR="00EC452C">
                  <w:rPr>
                    <w:rFonts w:cs="Arial"/>
                  </w:rPr>
                  <w:instrText xml:space="preserve"> CITATION Aus241 \l 3081 </w:instrText>
                </w:r>
                <w:r w:rsidR="00EC452C">
                  <w:rPr>
                    <w:rFonts w:cs="Arial"/>
                  </w:rPr>
                  <w:fldChar w:fldCharType="separate"/>
                </w:r>
                <w:r w:rsidR="00CA3587" w:rsidRPr="00CA3587">
                  <w:rPr>
                    <w:rFonts w:cs="Arial"/>
                    <w:noProof/>
                  </w:rPr>
                  <w:t>(Australian Bureau of Statistics, 2024b)</w:t>
                </w:r>
                <w:r w:rsidR="00EC452C">
                  <w:rPr>
                    <w:rFonts w:cs="Arial"/>
                  </w:rPr>
                  <w:fldChar w:fldCharType="end"/>
                </w:r>
              </w:sdtContent>
            </w:sdt>
            <w:r w:rsidRPr="00F16EA0">
              <w:rPr>
                <w:rFonts w:cs="Arial"/>
              </w:rPr>
              <w:t xml:space="preserve">. The region is rich with natural resources, and primary industry continues to drive recruitment activity growth, with Mining recording the largest increase in the share of the region’s employment over the 5 years to August 2024 </w:t>
            </w:r>
            <w:sdt>
              <w:sdtPr>
                <w:rPr>
                  <w:rFonts w:cs="Arial"/>
                </w:rPr>
                <w:id w:val="2043470455"/>
                <w:citation/>
              </w:sdtPr>
              <w:sdtEndPr/>
              <w:sdtContent>
                <w:r w:rsidR="00EC452C">
                  <w:rPr>
                    <w:rFonts w:cs="Arial"/>
                  </w:rPr>
                  <w:fldChar w:fldCharType="begin"/>
                </w:r>
                <w:r w:rsidR="00EC452C">
                  <w:rPr>
                    <w:rFonts w:cs="Arial"/>
                  </w:rPr>
                  <w:instrText xml:space="preserve"> CITATION Aus241 \l 3081 </w:instrText>
                </w:r>
                <w:r w:rsidR="00EC452C">
                  <w:rPr>
                    <w:rFonts w:cs="Arial"/>
                  </w:rPr>
                  <w:fldChar w:fldCharType="separate"/>
                </w:r>
                <w:r w:rsidR="00CA3587" w:rsidRPr="00CA3587">
                  <w:rPr>
                    <w:rFonts w:cs="Arial"/>
                    <w:noProof/>
                  </w:rPr>
                  <w:t>(Australian Bureau of Statistics, 2024b)</w:t>
                </w:r>
                <w:r w:rsidR="00EC452C">
                  <w:rPr>
                    <w:rFonts w:cs="Arial"/>
                  </w:rPr>
                  <w:fldChar w:fldCharType="end"/>
                </w:r>
              </w:sdtContent>
            </w:sdt>
            <w:r w:rsidRPr="00F16EA0">
              <w:rPr>
                <w:rFonts w:cs="Arial"/>
              </w:rPr>
              <w:t xml:space="preserve">. </w:t>
            </w:r>
          </w:p>
          <w:p w14:paraId="5DA263F3" w14:textId="13BC38BA" w:rsidR="00F16EA0" w:rsidRPr="00F16EA0" w:rsidRDefault="00F16EA0" w:rsidP="00F16EA0">
            <w:pPr>
              <w:rPr>
                <w:rFonts w:cs="Arial"/>
              </w:rPr>
            </w:pPr>
            <w:r w:rsidRPr="00F16EA0">
              <w:rPr>
                <w:rFonts w:cs="Arial"/>
              </w:rPr>
              <w:t xml:space="preserve">Health Care and Social Assistance increased its share as the largest employing industry in the region, but the strongest employment growth over the 5 years to August 2024 was recorded in Arts and Recreation Services (up by 353.6%), increasing this industry’s share of regional employment by 1.3 percentage points (from 0.4% to 1.8%) </w:t>
            </w:r>
            <w:sdt>
              <w:sdtPr>
                <w:rPr>
                  <w:rFonts w:cs="Arial"/>
                </w:rPr>
                <w:id w:val="1386673712"/>
                <w:citation/>
              </w:sdtPr>
              <w:sdtEndPr/>
              <w:sdtContent>
                <w:r w:rsidR="00EC452C">
                  <w:rPr>
                    <w:rFonts w:cs="Arial"/>
                  </w:rPr>
                  <w:fldChar w:fldCharType="begin"/>
                </w:r>
                <w:r w:rsidR="00EC452C">
                  <w:rPr>
                    <w:rFonts w:cs="Arial"/>
                  </w:rPr>
                  <w:instrText xml:space="preserve"> CITATION Aus241 \l 3081 </w:instrText>
                </w:r>
                <w:r w:rsidR="00EC452C">
                  <w:rPr>
                    <w:rFonts w:cs="Arial"/>
                  </w:rPr>
                  <w:fldChar w:fldCharType="separate"/>
                </w:r>
                <w:r w:rsidR="00CA3587" w:rsidRPr="00CA3587">
                  <w:rPr>
                    <w:rFonts w:cs="Arial"/>
                    <w:noProof/>
                  </w:rPr>
                  <w:t>(Australian Bureau of Statistics, 2024b)</w:t>
                </w:r>
                <w:r w:rsidR="00EC452C">
                  <w:rPr>
                    <w:rFonts w:cs="Arial"/>
                  </w:rPr>
                  <w:fldChar w:fldCharType="end"/>
                </w:r>
              </w:sdtContent>
            </w:sdt>
            <w:r w:rsidRPr="00F16EA0">
              <w:rPr>
                <w:rFonts w:cs="Arial"/>
              </w:rPr>
              <w:t xml:space="preserve">. </w:t>
            </w:r>
          </w:p>
          <w:p w14:paraId="39E140BD" w14:textId="5CDCE51F" w:rsidR="00F16EA0" w:rsidRPr="00F16EA0" w:rsidRDefault="00F16EA0" w:rsidP="00F16EA0">
            <w:pPr>
              <w:rPr>
                <w:rFonts w:cs="Arial"/>
              </w:rPr>
            </w:pPr>
            <w:r w:rsidRPr="00F16EA0">
              <w:rPr>
                <w:rFonts w:cs="Arial"/>
              </w:rPr>
              <w:t xml:space="preserve">Sunshine Coast has sustained among the strongest rates of population growth across Australian regional areas </w:t>
            </w:r>
            <w:sdt>
              <w:sdtPr>
                <w:rPr>
                  <w:rFonts w:cs="Arial"/>
                </w:rPr>
                <w:id w:val="440423454"/>
                <w:citation/>
              </w:sdtPr>
              <w:sdtEndPr/>
              <w:sdtContent>
                <w:r w:rsidR="00EC452C">
                  <w:rPr>
                    <w:rFonts w:cs="Arial"/>
                  </w:rPr>
                  <w:fldChar w:fldCharType="begin"/>
                </w:r>
                <w:r w:rsidR="00EC452C">
                  <w:rPr>
                    <w:rFonts w:cs="Arial"/>
                  </w:rPr>
                  <w:instrText xml:space="preserve"> CITATION Aus24 \l 3081 </w:instrText>
                </w:r>
                <w:r w:rsidR="00EC452C">
                  <w:rPr>
                    <w:rFonts w:cs="Arial"/>
                  </w:rPr>
                  <w:fldChar w:fldCharType="separate"/>
                </w:r>
                <w:r w:rsidR="00CA3587" w:rsidRPr="00CA3587">
                  <w:rPr>
                    <w:rFonts w:cs="Arial"/>
                    <w:noProof/>
                  </w:rPr>
                  <w:t>(Australian Bureau of Statistics, 2024a)</w:t>
                </w:r>
                <w:r w:rsidR="00EC452C">
                  <w:rPr>
                    <w:rFonts w:cs="Arial"/>
                  </w:rPr>
                  <w:fldChar w:fldCharType="end"/>
                </w:r>
              </w:sdtContent>
            </w:sdt>
            <w:r w:rsidR="00EC452C">
              <w:rPr>
                <w:rFonts w:cs="Arial"/>
              </w:rPr>
              <w:t xml:space="preserve">. </w:t>
            </w:r>
            <w:r w:rsidRPr="00F16EA0">
              <w:rPr>
                <w:rFonts w:cs="Arial"/>
              </w:rPr>
              <w:t xml:space="preserve">The robust contribution of the tourism sector to online job advertisement growth is evident, but drivers of growth also originate from a comparatively diverse range of industries. </w:t>
            </w:r>
          </w:p>
          <w:p w14:paraId="117D55E0" w14:textId="77777777" w:rsidR="00F16EA0" w:rsidRPr="00F16EA0" w:rsidRDefault="00F16EA0" w:rsidP="00F16EA0">
            <w:pPr>
              <w:rPr>
                <w:rFonts w:cs="Arial"/>
              </w:rPr>
            </w:pPr>
            <w:r w:rsidRPr="00F16EA0">
              <w:rPr>
                <w:rFonts w:cs="Arial"/>
              </w:rPr>
              <w:t>Of the 3 regions, Sunshine Coast has recorded the strongest growth in online job advertisements over the 5 years to August 2024 (up by 105.9%). Underlying this growth are particularly strong increases in recruitment activity for occupations supporting tourism, logistics, mining, construction and agribusiness, speaking to the region’s economic diversity.</w:t>
            </w:r>
          </w:p>
          <w:p w14:paraId="6625A9A7" w14:textId="1054233B" w:rsidR="00AC2606" w:rsidRPr="00AC0957" w:rsidRDefault="00F16EA0" w:rsidP="00F16EA0">
            <w:pPr>
              <w:rPr>
                <w:rFonts w:cs="Arial"/>
              </w:rPr>
            </w:pPr>
            <w:r w:rsidRPr="00F16EA0">
              <w:rPr>
                <w:rFonts w:cs="Arial"/>
              </w:rPr>
              <w:t>The continued development and refinement of JSA products such as the Internet Vacancy Index, the Nowcast of Employment by Region and Occupation, and the Regional Labour Market Indicator can help contribute to understanding and discussion of Australia’s regional labour markets and how we can ensure that more Australians can share in the benefits of a strong economy</w:t>
            </w:r>
            <w:r w:rsidR="00AC2606" w:rsidRPr="00AC0957">
              <w:rPr>
                <w:rFonts w:cs="Arial"/>
              </w:rPr>
              <w:t xml:space="preserve">. </w:t>
            </w:r>
          </w:p>
        </w:tc>
      </w:tr>
    </w:tbl>
    <w:p w14:paraId="33F44A4C" w14:textId="77777777" w:rsidR="00AC2606" w:rsidRPr="00AC0957" w:rsidRDefault="00AC2606" w:rsidP="00AC2606">
      <w:pPr>
        <w:rPr>
          <w:rFonts w:cs="Arial"/>
          <w:lang w:val="en-US"/>
        </w:rPr>
      </w:pPr>
    </w:p>
    <w:p w14:paraId="6315FB89" w14:textId="77777777" w:rsidR="00EA4A1A" w:rsidRDefault="00EA4A1A">
      <w:pPr>
        <w:spacing w:after="160" w:line="259" w:lineRule="auto"/>
        <w:rPr>
          <w:rFonts w:eastAsiaTheme="majorEastAsia" w:cs="Arial"/>
          <w:b/>
          <w:sz w:val="32"/>
          <w:szCs w:val="26"/>
          <w:lang w:val="en-US"/>
        </w:rPr>
      </w:pPr>
      <w:bookmarkStart w:id="187" w:name="_Toc179887394"/>
      <w:r>
        <w:rPr>
          <w:rFonts w:cs="Arial"/>
          <w:lang w:val="en-US"/>
        </w:rPr>
        <w:br w:type="page"/>
      </w:r>
    </w:p>
    <w:p w14:paraId="3DD32452" w14:textId="6F4FCA6F" w:rsidR="00AC2606" w:rsidRPr="00AC0957" w:rsidRDefault="00AC2606" w:rsidP="00AC2606">
      <w:pPr>
        <w:pStyle w:val="Heading2"/>
        <w:rPr>
          <w:rFonts w:cs="Arial"/>
          <w:lang w:val="en-US"/>
        </w:rPr>
      </w:pPr>
      <w:bookmarkStart w:id="188" w:name="_Toc181371590"/>
      <w:r w:rsidRPr="00AC0957">
        <w:rPr>
          <w:rFonts w:cs="Arial"/>
          <w:lang w:val="en-US"/>
        </w:rPr>
        <w:t>In summary</w:t>
      </w:r>
      <w:bookmarkEnd w:id="187"/>
      <w:bookmarkEnd w:id="188"/>
      <w:r w:rsidRPr="00AC0957">
        <w:rPr>
          <w:rFonts w:cs="Arial"/>
          <w:lang w:val="en-US"/>
        </w:rPr>
        <w:t xml:space="preserve"> </w:t>
      </w:r>
    </w:p>
    <w:p w14:paraId="2D5DA90B" w14:textId="514190F4" w:rsidR="00C5782A" w:rsidRPr="00C5782A" w:rsidRDefault="00C5782A" w:rsidP="00C5782A">
      <w:pPr>
        <w:rPr>
          <w:rFonts w:cs="Arial"/>
        </w:rPr>
      </w:pPr>
      <w:r w:rsidRPr="00C5782A">
        <w:rPr>
          <w:rFonts w:cs="Arial"/>
        </w:rPr>
        <w:t>The Australian labour market continues to display remarkable resilience against the backdrop of a slowing in economic activity and ongoing uncertainty. Despite some emerging challenges, the labour market remains reasonably tight, although the pace of employment growth has eased over the last year, from the robust growth rates recorded in late 2022 and early 2023.</w:t>
      </w:r>
      <w:r w:rsidR="008C52B1">
        <w:rPr>
          <w:rFonts w:cs="Arial"/>
        </w:rPr>
        <w:t xml:space="preserve"> </w:t>
      </w:r>
    </w:p>
    <w:p w14:paraId="7D2AE8BA" w14:textId="36D503B8" w:rsidR="00C5782A" w:rsidRPr="00C5782A" w:rsidRDefault="00C5782A" w:rsidP="00C5782A">
      <w:pPr>
        <w:rPr>
          <w:rFonts w:cs="Arial"/>
        </w:rPr>
      </w:pPr>
      <w:r w:rsidRPr="00C5782A">
        <w:rPr>
          <w:rFonts w:cs="Arial"/>
        </w:rPr>
        <w:t>Conditions for a number of disadvantaged cohorts</w:t>
      </w:r>
      <w:r w:rsidR="00DF1DD8" w:rsidRPr="00DF1DD8">
        <w:rPr>
          <w:lang w:eastAsia="en-AU"/>
        </w:rPr>
        <w:t xml:space="preserve"> </w:t>
      </w:r>
      <w:r w:rsidR="00DF1DD8">
        <w:rPr>
          <w:lang w:eastAsia="en-AU"/>
        </w:rPr>
        <w:t>and groups that can face barriers to participation</w:t>
      </w:r>
      <w:r w:rsidRPr="00C5782A">
        <w:rPr>
          <w:rFonts w:cs="Arial"/>
        </w:rPr>
        <w:t xml:space="preserve">, such as youth and the long-term unemployed, have also eased over the year. This is not surprising, given these cohorts can be vulnerable during periods of labour market softness, as they often have less education and experience than their more highly skilled counterparts. </w:t>
      </w:r>
    </w:p>
    <w:p w14:paraId="722F30B0" w14:textId="77777777" w:rsidR="00C5782A" w:rsidRPr="00C5782A" w:rsidRDefault="00C5782A" w:rsidP="00C5782A">
      <w:pPr>
        <w:rPr>
          <w:rFonts w:cs="Arial"/>
        </w:rPr>
      </w:pPr>
      <w:r w:rsidRPr="00C5782A">
        <w:rPr>
          <w:rFonts w:cs="Arial"/>
        </w:rPr>
        <w:t>Labour market conditions are also expected to soften further in the period ahead, which may put further upward pressure on the unemployment rate, particularly for those in disadvantaged groups.</w:t>
      </w:r>
    </w:p>
    <w:p w14:paraId="176BB95D" w14:textId="77777777" w:rsidR="00C5782A" w:rsidRPr="00C5782A" w:rsidRDefault="00C5782A" w:rsidP="00C5782A">
      <w:pPr>
        <w:rPr>
          <w:rFonts w:cs="Arial"/>
        </w:rPr>
      </w:pPr>
      <w:r w:rsidRPr="00C5782A">
        <w:rPr>
          <w:rFonts w:cs="Arial"/>
        </w:rPr>
        <w:t>Nevertheless, employers continue to experience challenges finding suitable skilled workers to fill vacant positions. While the average number of applicants per vacancy has generally been increasing over the last year, there has only been a marginal increase in the average number of suitable applicants per vacancy, suggesting shortage pressures persist in the labour market.</w:t>
      </w:r>
    </w:p>
    <w:p w14:paraId="1AB2EE24" w14:textId="77777777" w:rsidR="00C5782A" w:rsidRPr="00C5782A" w:rsidRDefault="00C5782A" w:rsidP="00C5782A">
      <w:pPr>
        <w:rPr>
          <w:rFonts w:cs="Arial"/>
        </w:rPr>
      </w:pPr>
      <w:r w:rsidRPr="00C5782A">
        <w:rPr>
          <w:rFonts w:cs="Arial"/>
        </w:rPr>
        <w:t>Skills shortages in the labour market are persistent, but the driving factors are varied and require different responses. Responses can include actions by employers, policy makers, education providers and individuals, and more work could be undertaken to understand how different approaches yield different outcomes for addressing skills shortages, including considering this data in the context of the reason for shortage or recruitment difficulty.</w:t>
      </w:r>
    </w:p>
    <w:p w14:paraId="5D66AE3F" w14:textId="77777777" w:rsidR="00C5782A" w:rsidRPr="00C5782A" w:rsidRDefault="00C5782A" w:rsidP="00C5782A">
      <w:pPr>
        <w:rPr>
          <w:rFonts w:cs="Arial"/>
        </w:rPr>
      </w:pPr>
      <w:r w:rsidRPr="00C5782A">
        <w:rPr>
          <w:rFonts w:cs="Arial"/>
        </w:rPr>
        <w:t>A truly dynamic, productive, and inclusive labour market must ensure that more Australians can access safe and secure work where they choose to live. Historically, regional and remote regions are more likely to experience weaker labour market conditions and our regions continue to face unique challenges. Categorising regional labour markets can help inform and target policy responses and interventions, and the continued development and refinement of JSA products such as the Internet Vacancy Index, the Nowcast of Employment by Region and Occupation, and the Regional Labour Market Indicator can help contribute to understanding and discussion of Australia’s regional labour markets.</w:t>
      </w:r>
    </w:p>
    <w:p w14:paraId="49BD770B" w14:textId="3CE9A4B7" w:rsidR="00AC2606" w:rsidRDefault="00C5782A" w:rsidP="00C5782A">
      <w:pPr>
        <w:rPr>
          <w:rFonts w:cs="Arial"/>
        </w:rPr>
      </w:pPr>
      <w:r w:rsidRPr="00C5782A">
        <w:rPr>
          <w:rFonts w:cs="Arial"/>
        </w:rPr>
        <w:t>JSA’s intelligence can enable individuals, businesses, education providers, and governments to make better decisions by increasing understanding of the realities of today’s labour market, the opportunities present under current conditions, and the skills required to realise them. A key strategic function for JSA is to provide the labour market and analysis that supports an understanding of the current and future labour market and enables the development of a contemporary skilled Australian workforce</w:t>
      </w:r>
      <w:r w:rsidR="00AC2606" w:rsidRPr="00AC0957">
        <w:rPr>
          <w:rFonts w:cs="Arial"/>
        </w:rPr>
        <w:t xml:space="preserve">. </w:t>
      </w:r>
    </w:p>
    <w:p w14:paraId="5019C3CD" w14:textId="77777777" w:rsidR="00A06692" w:rsidRPr="00AC0957" w:rsidRDefault="00A06692" w:rsidP="00AC2606">
      <w:pPr>
        <w:rPr>
          <w:rFonts w:cs="Arial"/>
        </w:rPr>
      </w:pPr>
    </w:p>
    <w:p w14:paraId="0BDDB907" w14:textId="77777777" w:rsidR="00A06692" w:rsidRDefault="00A06692" w:rsidP="00AC2606">
      <w:pPr>
        <w:pStyle w:val="Heading1"/>
        <w:rPr>
          <w:rFonts w:cs="Arial"/>
        </w:rPr>
        <w:sectPr w:rsidR="00A06692" w:rsidSect="00934658">
          <w:headerReference w:type="even" r:id="rId77"/>
          <w:headerReference w:type="default" r:id="rId78"/>
          <w:headerReference w:type="first" r:id="rId79"/>
          <w:footerReference w:type="first" r:id="rId80"/>
          <w:pgSz w:w="11906" w:h="16838" w:code="9"/>
          <w:pgMar w:top="1276" w:right="1440" w:bottom="1134" w:left="1440" w:header="709" w:footer="709" w:gutter="0"/>
          <w:cols w:space="708"/>
          <w:docGrid w:linePitch="360"/>
        </w:sectPr>
      </w:pPr>
      <w:bookmarkStart w:id="189" w:name="_Toc179887395"/>
    </w:p>
    <w:p w14:paraId="6B2AD195" w14:textId="1E0EA46D" w:rsidR="00E307AB" w:rsidRDefault="00E307AB">
      <w:pPr>
        <w:spacing w:after="160" w:line="259" w:lineRule="auto"/>
      </w:pPr>
      <w:r>
        <w:br w:type="page"/>
      </w:r>
    </w:p>
    <w:p w14:paraId="32C6BC78" w14:textId="77777777" w:rsidR="00A06692" w:rsidRDefault="00A06692" w:rsidP="00A06692">
      <w:pPr>
        <w:pStyle w:val="Chaptergap"/>
      </w:pPr>
    </w:p>
    <w:p w14:paraId="274725A3" w14:textId="3BDB67D3" w:rsidR="00AC2606" w:rsidRPr="00AC0957" w:rsidRDefault="00AC2606" w:rsidP="00AC2606">
      <w:pPr>
        <w:pStyle w:val="Heading1"/>
        <w:rPr>
          <w:rFonts w:cs="Arial"/>
        </w:rPr>
      </w:pPr>
      <w:bookmarkStart w:id="190" w:name="_Toc181371591"/>
      <w:r w:rsidRPr="00AC0957">
        <w:rPr>
          <w:rFonts w:cs="Arial"/>
        </w:rPr>
        <w:t xml:space="preserve">Chapter </w:t>
      </w:r>
      <w:r w:rsidR="00CB060C">
        <w:rPr>
          <w:rFonts w:cs="Arial"/>
        </w:rPr>
        <w:t>3:</w:t>
      </w:r>
      <w:r w:rsidRPr="00AC0957">
        <w:rPr>
          <w:rFonts w:cs="Arial"/>
        </w:rPr>
        <w:t xml:space="preserve"> Shaping Australia’s future workforce</w:t>
      </w:r>
      <w:bookmarkEnd w:id="189"/>
      <w:bookmarkEnd w:id="190"/>
      <w:r w:rsidRPr="00AC0957">
        <w:rPr>
          <w:rFonts w:cs="Arial"/>
        </w:rPr>
        <w:t> </w:t>
      </w:r>
    </w:p>
    <w:p w14:paraId="71A7FC56" w14:textId="77777777" w:rsidR="00AB5AF4" w:rsidRPr="00AB5AF4" w:rsidRDefault="00AB5AF4" w:rsidP="00AB5AF4">
      <w:r w:rsidRPr="00AB5AF4">
        <w:t xml:space="preserve">Major forces are shaping our economy. They are shifting the way we live and how we work – creating new roles and changing existing ones. Digital and technological transformation is driving change across roles – creating demand not only for specific technical skills but also for related skills in the management, ethics, and governance of new technologies. Our response to climate change and the shift to a ‘net zero’ economy is driving innovation and new ways of working. Shifting population demographics and an ageing population are impacting the pool of skills in the existing labour market as well as contributing to rising demand for care and support services. </w:t>
      </w:r>
    </w:p>
    <w:p w14:paraId="54885DC3" w14:textId="77777777" w:rsidR="00AB5AF4" w:rsidRPr="00AB5AF4" w:rsidRDefault="00AB5AF4" w:rsidP="00AB5AF4">
      <w:r w:rsidRPr="00AB5AF4">
        <w:t>Understanding evolving skills and workforce needs, and potential areas of growth, can help Australia better adapt to a changing economy and ensure more Australians can share in the benefits of growth. That is why JSA has a legislative remit to:</w:t>
      </w:r>
    </w:p>
    <w:p w14:paraId="0E81D8AF" w14:textId="77777777" w:rsidR="00AB5AF4" w:rsidRPr="00AB5AF4" w:rsidRDefault="00AB5AF4" w:rsidP="00AB5AF4">
      <w:pPr>
        <w:pStyle w:val="ListBullet"/>
        <w:rPr>
          <w:rFonts w:eastAsiaTheme="minorHAnsi" w:cs="Arial"/>
          <w:spacing w:val="0"/>
          <w:szCs w:val="22"/>
          <w:lang w:val="en-AU" w:eastAsia="en-US"/>
        </w:rPr>
      </w:pPr>
      <w:r w:rsidRPr="00AB5AF4">
        <w:rPr>
          <w:rFonts w:eastAsiaTheme="minorHAnsi" w:cs="Arial"/>
          <w:spacing w:val="0"/>
          <w:szCs w:val="22"/>
          <w:lang w:val="en-AU" w:eastAsia="en-US"/>
        </w:rPr>
        <w:t>provide advice on Australia’s current and emerging labour market, including advice on workforce needs and priorities</w:t>
      </w:r>
    </w:p>
    <w:p w14:paraId="2662790F" w14:textId="77777777" w:rsidR="00AB5AF4" w:rsidRPr="00AB5AF4" w:rsidRDefault="00AB5AF4" w:rsidP="00AB5AF4">
      <w:pPr>
        <w:pStyle w:val="ListBullet"/>
        <w:rPr>
          <w:rFonts w:eastAsiaTheme="minorHAnsi" w:cs="Arial"/>
          <w:spacing w:val="0"/>
          <w:szCs w:val="22"/>
          <w:lang w:val="en-AU" w:eastAsia="en-US"/>
        </w:rPr>
      </w:pPr>
      <w:r w:rsidRPr="00AB5AF4">
        <w:rPr>
          <w:rFonts w:eastAsiaTheme="minorHAnsi" w:cs="Arial"/>
          <w:spacing w:val="0"/>
          <w:szCs w:val="22"/>
          <w:lang w:val="en-AU" w:eastAsia="en-US"/>
        </w:rPr>
        <w:t>provide advice on Australia’s current, emerging and future skills and training needs and priorities (including in relation to apprenticeships, VET and higher education)</w:t>
      </w:r>
    </w:p>
    <w:p w14:paraId="2ACAF2DE" w14:textId="77777777" w:rsidR="00AB5AF4" w:rsidRPr="00AB5AF4" w:rsidRDefault="00AB5AF4" w:rsidP="00AB5AF4">
      <w:pPr>
        <w:pStyle w:val="ListBullet"/>
        <w:rPr>
          <w:rFonts w:eastAsiaTheme="minorHAnsi" w:cs="Arial"/>
          <w:spacing w:val="0"/>
          <w:szCs w:val="22"/>
          <w:lang w:val="en-AU" w:eastAsia="en-US"/>
        </w:rPr>
      </w:pPr>
      <w:r w:rsidRPr="00AB5AF4">
        <w:rPr>
          <w:rFonts w:eastAsiaTheme="minorHAnsi" w:cs="Arial"/>
          <w:spacing w:val="0"/>
          <w:szCs w:val="22"/>
          <w:lang w:val="en-AU" w:eastAsia="en-US"/>
        </w:rPr>
        <w:t>prepare capacity studies, including for emerging and growing industries and occupations</w:t>
      </w:r>
    </w:p>
    <w:p w14:paraId="46D3EDE3" w14:textId="77777777" w:rsidR="00AB5AF4" w:rsidRPr="00AB5AF4" w:rsidRDefault="00AB5AF4" w:rsidP="00AB5AF4">
      <w:pPr>
        <w:pStyle w:val="ListBullet"/>
        <w:rPr>
          <w:rFonts w:eastAsiaTheme="minorHAnsi" w:cs="Arial"/>
          <w:spacing w:val="0"/>
          <w:szCs w:val="22"/>
          <w:lang w:val="en-AU" w:eastAsia="en-US"/>
        </w:rPr>
      </w:pPr>
      <w:r w:rsidRPr="00AB5AF4">
        <w:rPr>
          <w:rFonts w:eastAsiaTheme="minorHAnsi" w:cs="Arial"/>
          <w:spacing w:val="0"/>
          <w:szCs w:val="22"/>
          <w:lang w:val="en-AU" w:eastAsia="en-US"/>
        </w:rPr>
        <w:t>undertake workforce forecasting, assess workforce skills requirements and undertake cross industry workforce analysis</w:t>
      </w:r>
    </w:p>
    <w:p w14:paraId="4B5A02FE" w14:textId="77777777" w:rsidR="00AB5AF4" w:rsidRPr="00AB5AF4" w:rsidRDefault="00AB5AF4" w:rsidP="00AB5AF4">
      <w:pPr>
        <w:pStyle w:val="ListBullet"/>
        <w:rPr>
          <w:rFonts w:eastAsiaTheme="minorHAnsi" w:cs="Arial"/>
          <w:spacing w:val="0"/>
          <w:szCs w:val="22"/>
          <w:lang w:val="en-AU" w:eastAsia="en-US"/>
        </w:rPr>
      </w:pPr>
      <w:r w:rsidRPr="00AB5AF4">
        <w:rPr>
          <w:rFonts w:eastAsiaTheme="minorHAnsi" w:cs="Arial"/>
          <w:spacing w:val="0"/>
          <w:szCs w:val="22"/>
          <w:lang w:val="en-AU" w:eastAsia="en-US"/>
        </w:rPr>
        <w:t>identify labour market imbalances and analyse the demand and supply of skills</w:t>
      </w:r>
    </w:p>
    <w:p w14:paraId="74EFBE8D" w14:textId="5731A8D5" w:rsidR="00AC2606" w:rsidRPr="00AC0957" w:rsidRDefault="00AB5AF4" w:rsidP="00AB5AF4">
      <w:pPr>
        <w:pStyle w:val="ListBullet"/>
      </w:pPr>
      <w:r w:rsidRPr="00AB5AF4">
        <w:rPr>
          <w:rFonts w:eastAsiaTheme="minorHAnsi" w:cs="Arial"/>
          <w:spacing w:val="0"/>
          <w:szCs w:val="22"/>
          <w:lang w:val="en-AU" w:eastAsia="en-US"/>
        </w:rPr>
        <w:t>analyse skills needs and workforce needs, including in regional, rural and remote Australia, and in relation to migration</w:t>
      </w:r>
      <w:r w:rsidR="00AC2606" w:rsidRPr="00AC0957">
        <w:t>.</w:t>
      </w:r>
    </w:p>
    <w:p w14:paraId="6248E6CB" w14:textId="77777777" w:rsidR="00A06692" w:rsidRDefault="00A06692" w:rsidP="00AC2606">
      <w:pPr>
        <w:pBdr>
          <w:bottom w:val="single" w:sz="12" w:space="1" w:color="auto"/>
        </w:pBdr>
        <w:rPr>
          <w:rFonts w:cs="Arial"/>
        </w:rPr>
        <w:sectPr w:rsidR="00A06692" w:rsidSect="00934658">
          <w:headerReference w:type="even" r:id="rId81"/>
          <w:headerReference w:type="default" r:id="rId82"/>
          <w:footerReference w:type="even" r:id="rId83"/>
          <w:footerReference w:type="default" r:id="rId84"/>
          <w:pgSz w:w="11906" w:h="16838" w:code="9"/>
          <w:pgMar w:top="1276" w:right="1440" w:bottom="1134" w:left="1440" w:header="709" w:footer="709" w:gutter="0"/>
          <w:cols w:space="708"/>
          <w:docGrid w:linePitch="360"/>
        </w:sectPr>
      </w:pPr>
    </w:p>
    <w:p w14:paraId="2C6E13F3" w14:textId="77777777" w:rsidR="00AC2606" w:rsidRPr="00AC0957" w:rsidRDefault="00AC2606" w:rsidP="00AC2606">
      <w:pPr>
        <w:pBdr>
          <w:bottom w:val="single" w:sz="12" w:space="1" w:color="auto"/>
        </w:pBdr>
        <w:rPr>
          <w:rFonts w:cs="Arial"/>
        </w:rPr>
      </w:pPr>
    </w:p>
    <w:p w14:paraId="16000AE6" w14:textId="77777777" w:rsidR="00AC2606" w:rsidRPr="00AC0957" w:rsidRDefault="00AC2606" w:rsidP="00AC2606">
      <w:pPr>
        <w:rPr>
          <w:rFonts w:cs="Arial"/>
          <w:b/>
          <w:bCs/>
        </w:rPr>
      </w:pPr>
      <w:r w:rsidRPr="00AC0957">
        <w:rPr>
          <w:rFonts w:cs="Arial"/>
          <w:b/>
          <w:bCs/>
        </w:rPr>
        <w:t>Key themes in this chapter:</w:t>
      </w:r>
    </w:p>
    <w:p w14:paraId="4FFC3756" w14:textId="77777777" w:rsidR="00767572" w:rsidRDefault="00767572" w:rsidP="00767572">
      <w:pPr>
        <w:pStyle w:val="ListBullet"/>
      </w:pPr>
      <w:r>
        <w:t xml:space="preserve">Australia’s workforce is continuing to shift towards a greater share of higher skilled roles. Employment projections produced by Victoria University for JSA show the long-term structural shift in employment towards services-related industries is projected to continue over the next decade. </w:t>
      </w:r>
    </w:p>
    <w:p w14:paraId="5258B56F" w14:textId="77777777" w:rsidR="00767572" w:rsidRDefault="00767572" w:rsidP="00767572">
      <w:pPr>
        <w:pStyle w:val="ListBullet"/>
      </w:pPr>
      <w:r>
        <w:t xml:space="preserve">An alternative projections model scenario was also explored, where post-secondary training and education is responsive to market signals, diverting the supply of labour into occupations where the demand is strong. </w:t>
      </w:r>
    </w:p>
    <w:p w14:paraId="085DE491" w14:textId="7FF403ED" w:rsidR="00767572" w:rsidRDefault="00767572" w:rsidP="00767572">
      <w:pPr>
        <w:pStyle w:val="ListBullet2"/>
      </w:pPr>
      <w:r>
        <w:t xml:space="preserve">In general, we find that when skill supply responds to market demand, there is increased employment in occupations with a VET pathway relative to the baseline, with a reduction in employment in </w:t>
      </w:r>
      <w:r w:rsidR="00E13336">
        <w:rPr>
          <w:rFonts w:cs="Arial"/>
          <w:lang w:val="en-US"/>
        </w:rPr>
        <w:t>occupations requiring higher education qualifications</w:t>
      </w:r>
      <w:r>
        <w:t xml:space="preserve">. The cost of labour associated with occupations that require VET or higher education qualifications are impacted as a result. </w:t>
      </w:r>
    </w:p>
    <w:p w14:paraId="138711BD" w14:textId="77777777" w:rsidR="00767572" w:rsidRDefault="00767572" w:rsidP="00767572">
      <w:pPr>
        <w:pStyle w:val="ListBullet2"/>
      </w:pPr>
      <w:r>
        <w:t xml:space="preserve">We observe increases in projected employment for all Community and Personal Service occupations, most notably Aged and Disabled Carers, Education Aides, Nursing Support and Personal Care Workers, and Child Carers. Other occupations to expand relative to the 10-year baseline projections include Sales Assistants, General Clerks, Registered Nurses, and Electricians. </w:t>
      </w:r>
    </w:p>
    <w:p w14:paraId="4B2BDAC0" w14:textId="77777777" w:rsidR="00767572" w:rsidRDefault="00767572" w:rsidP="00767572">
      <w:pPr>
        <w:pStyle w:val="ListBullet"/>
      </w:pPr>
      <w:r>
        <w:t>There are 37 emerging roles that have been identified in the Australian Labour Market, across 4 key themes that align broadly with the major forces shaping our economy – Health, Care and Medical, Data and Technologies, Net Zero, and Science and Engineering.</w:t>
      </w:r>
    </w:p>
    <w:p w14:paraId="30FA6E03" w14:textId="77777777" w:rsidR="00767572" w:rsidRDefault="00767572" w:rsidP="00767572">
      <w:pPr>
        <w:pStyle w:val="ListBullet"/>
      </w:pPr>
      <w:r>
        <w:t>Targeted capacity studies help us to better understand how industries and workforces are changing and emerging – and can inform decision-making about how to prepare for a likely future labour market.</w:t>
      </w:r>
    </w:p>
    <w:p w14:paraId="5245F494" w14:textId="59E36222" w:rsidR="00767572" w:rsidRDefault="00767572" w:rsidP="00767572">
      <w:pPr>
        <w:pStyle w:val="ListBullet2"/>
      </w:pPr>
      <w:r>
        <w:t xml:space="preserve">The 2023 Jobs and Skills report included findings from </w:t>
      </w:r>
      <w:r w:rsidRPr="00767572">
        <w:rPr>
          <w:i/>
          <w:iCs/>
        </w:rPr>
        <w:t>The Clean Energy Generation: Workforce needs for a net zero economy</w:t>
      </w:r>
      <w:r>
        <w:t xml:space="preserve">. Findings from the report have already supported a range of government and industry measures. Since the report’s release, JSA has </w:t>
      </w:r>
      <w:r w:rsidR="00230419">
        <w:t>finalised</w:t>
      </w:r>
      <w:r>
        <w:t xml:space="preserve"> the findings of two capacity studies into the ECEC sector, and Australia’s food supply chain. </w:t>
      </w:r>
    </w:p>
    <w:p w14:paraId="77FD3CAE" w14:textId="77777777" w:rsidR="00767572" w:rsidRDefault="00767572" w:rsidP="00767572">
      <w:pPr>
        <w:pStyle w:val="ListBullet2"/>
      </w:pPr>
      <w:r>
        <w:t>Australia’s food supply chain will be shaped by multiple interacting changes, including climate change and net zero, technological advances, and demographic changes. Concerns around sovereign capability, industry viability and cost of living will also have an impact. In the midst of these developments, a resilient workforce will be essential to Australia’s food security and strong export industries.</w:t>
      </w:r>
    </w:p>
    <w:p w14:paraId="318ED64B" w14:textId="77777777" w:rsidR="00767572" w:rsidRDefault="00767572" w:rsidP="00767572">
      <w:pPr>
        <w:pStyle w:val="ListBullet2"/>
      </w:pPr>
      <w:r>
        <w:t xml:space="preserve">Ambitious policies are being implemented by governments to improve access to ECEC services, but shortages mean the workforce is already unable to meet existing demand. Improvements must also be made to ensure ECEC services can more appropriately support a diverse workforce, including First Nations educators, families and communities. </w:t>
      </w:r>
    </w:p>
    <w:p w14:paraId="0ECAA009" w14:textId="5A99B26B" w:rsidR="00A06692" w:rsidRPr="00767572" w:rsidRDefault="00A06692" w:rsidP="00AC2606">
      <w:pPr>
        <w:pStyle w:val="ListBullet2"/>
        <w:sectPr w:rsidR="00A06692" w:rsidRPr="00767572" w:rsidSect="00934658">
          <w:headerReference w:type="even" r:id="rId85"/>
          <w:footerReference w:type="even" r:id="rId86"/>
          <w:pgSz w:w="11906" w:h="16838" w:code="9"/>
          <w:pgMar w:top="1276" w:right="1440" w:bottom="1134" w:left="1440" w:header="709" w:footer="709" w:gutter="0"/>
          <w:cols w:space="708"/>
          <w:docGrid w:linePitch="360"/>
        </w:sectPr>
      </w:pPr>
      <w:bookmarkStart w:id="191" w:name="_Toc179887396"/>
    </w:p>
    <w:p w14:paraId="1DFB6D43" w14:textId="09A64479" w:rsidR="00AC2606" w:rsidRPr="00AC0957" w:rsidRDefault="00AC2606" w:rsidP="00AC2606">
      <w:pPr>
        <w:pStyle w:val="Heading2"/>
        <w:rPr>
          <w:rFonts w:cs="Arial"/>
        </w:rPr>
      </w:pPr>
      <w:bookmarkStart w:id="192" w:name="_Toc181371592"/>
      <w:r w:rsidRPr="00AC0957">
        <w:rPr>
          <w:rFonts w:cs="Arial"/>
        </w:rPr>
        <w:t>2024 Employment Projections</w:t>
      </w:r>
      <w:bookmarkEnd w:id="191"/>
      <w:bookmarkEnd w:id="192"/>
      <w:r w:rsidRPr="00AC0957">
        <w:rPr>
          <w:rFonts w:cs="Arial"/>
        </w:rPr>
        <w:t xml:space="preserve"> </w:t>
      </w:r>
    </w:p>
    <w:p w14:paraId="03AFFABD" w14:textId="77777777" w:rsidR="009617BF" w:rsidRPr="009617BF" w:rsidRDefault="009617BF" w:rsidP="009617BF">
      <w:pPr>
        <w:rPr>
          <w:rFonts w:eastAsia="Times New Roman" w:cs="Arial"/>
          <w:lang w:eastAsia="en-AU"/>
        </w:rPr>
      </w:pPr>
      <w:r w:rsidRPr="009617BF">
        <w:rPr>
          <w:rFonts w:eastAsia="Times New Roman" w:cs="Arial"/>
          <w:lang w:eastAsia="en-AU"/>
        </w:rPr>
        <w:t xml:space="preserve">JSA’s employment projections are useful for understanding the impact of the current economic and labour market outlook on Australia’s future workforce needs. The projections give insights into trends and growth areas in the labour market and are used by industry and governments to inform policy decisions and workforce planning activities. </w:t>
      </w:r>
    </w:p>
    <w:p w14:paraId="1132D6F1" w14:textId="77777777" w:rsidR="009617BF" w:rsidRPr="009617BF" w:rsidRDefault="009617BF" w:rsidP="009617BF">
      <w:pPr>
        <w:rPr>
          <w:rFonts w:eastAsia="Times New Roman" w:cs="Arial"/>
          <w:lang w:eastAsia="en-AU"/>
        </w:rPr>
      </w:pPr>
      <w:r w:rsidRPr="009617BF">
        <w:rPr>
          <w:rFonts w:eastAsia="Times New Roman" w:cs="Arial"/>
          <w:lang w:eastAsia="en-AU"/>
        </w:rPr>
        <w:t xml:space="preserve">This year, JSA has worked with Victoria University (VU) to produce employment projections to 2034, using the VU Employment Forecasting Model (VUEF) which is underpinned by a computable general equilibrium (CGE) model. </w:t>
      </w:r>
    </w:p>
    <w:p w14:paraId="666C8A74" w14:textId="77777777" w:rsidR="009617BF" w:rsidRPr="009617BF" w:rsidRDefault="009617BF" w:rsidP="009617BF">
      <w:pPr>
        <w:rPr>
          <w:rFonts w:eastAsia="Times New Roman" w:cs="Arial"/>
          <w:lang w:eastAsia="en-AU"/>
        </w:rPr>
      </w:pPr>
      <w:r w:rsidRPr="009617BF">
        <w:rPr>
          <w:rFonts w:eastAsia="Times New Roman" w:cs="Arial"/>
          <w:lang w:eastAsia="en-AU"/>
        </w:rPr>
        <w:t>The VUEF model brings together a large body of demographic data, employment data, and macroeconomic data, as well as forecasts from government and industry bodies, into a single set of detailed employment forecasts for Australia.</w:t>
      </w:r>
    </w:p>
    <w:p w14:paraId="6D08791A" w14:textId="4EBA1630" w:rsidR="009617BF" w:rsidRPr="009617BF" w:rsidRDefault="009617BF" w:rsidP="009617BF">
      <w:pPr>
        <w:rPr>
          <w:rFonts w:eastAsia="Times New Roman" w:cs="Arial"/>
          <w:lang w:eastAsia="en-AU"/>
        </w:rPr>
      </w:pPr>
      <w:r w:rsidRPr="009617BF">
        <w:rPr>
          <w:rFonts w:eastAsia="Times New Roman" w:cs="Arial"/>
          <w:lang w:eastAsia="en-AU"/>
        </w:rPr>
        <w:t>The employment projections outlined in this chapter have been calibrated to the macroeconomic and labour market outlook provided by the Australian Treasury. It offers a 5</w:t>
      </w:r>
      <w:r w:rsidR="00F60832">
        <w:rPr>
          <w:rFonts w:eastAsia="Times New Roman" w:cs="Arial"/>
          <w:lang w:eastAsia="en-AU"/>
        </w:rPr>
        <w:noBreakHyphen/>
      </w:r>
      <w:r w:rsidRPr="009617BF">
        <w:rPr>
          <w:rFonts w:eastAsia="Times New Roman" w:cs="Arial"/>
          <w:lang w:eastAsia="en-AU"/>
        </w:rPr>
        <w:t>year outlook to highlight the shorter-term employment trends, and a 10-year horizon, to show the impact of longer-term or structural trends.</w:t>
      </w:r>
    </w:p>
    <w:p w14:paraId="00C5A947" w14:textId="791AC909" w:rsidR="00AC2606" w:rsidRPr="00AC0957" w:rsidRDefault="009617BF" w:rsidP="009617BF">
      <w:pPr>
        <w:rPr>
          <w:rFonts w:cs="Arial"/>
        </w:rPr>
      </w:pPr>
      <w:r w:rsidRPr="009617BF">
        <w:rPr>
          <w:rFonts w:eastAsia="Times New Roman" w:cs="Arial"/>
          <w:lang w:eastAsia="en-AU"/>
        </w:rPr>
        <w:t>It is important to note however, that like any model these projections are based on assumptions and contain a degree of inherent uncertainty. They should be used as indicative of the future trends based on our current knowledge, rather than a precise prediction of the future</w:t>
      </w:r>
      <w:r w:rsidR="00AC2606" w:rsidRPr="00AC0957">
        <w:rPr>
          <w:rFonts w:cs="Arial"/>
        </w:rPr>
        <w:t xml:space="preserve">. </w:t>
      </w:r>
    </w:p>
    <w:p w14:paraId="4A456DD0" w14:textId="383D47D3" w:rsidR="00AC2606" w:rsidRPr="00AC0957" w:rsidRDefault="00DB48F0" w:rsidP="00AC2606">
      <w:pPr>
        <w:pStyle w:val="Heading3"/>
        <w:rPr>
          <w:rFonts w:cs="Arial"/>
        </w:rPr>
      </w:pPr>
      <w:bookmarkStart w:id="193" w:name="_Toc181371593"/>
      <w:r>
        <w:rPr>
          <w:rFonts w:cs="Arial"/>
        </w:rPr>
        <w:t>Overall employment growth</w:t>
      </w:r>
      <w:r w:rsidR="003E0D6F">
        <w:rPr>
          <w:rStyle w:val="FootnoteReference"/>
          <w:rFonts w:cs="Arial"/>
        </w:rPr>
        <w:footnoteReference w:id="25"/>
      </w:r>
      <w:bookmarkEnd w:id="193"/>
    </w:p>
    <w:p w14:paraId="68181B45" w14:textId="77777777" w:rsidR="002E24A8" w:rsidRDefault="002E24A8" w:rsidP="002E24A8">
      <w:r>
        <w:t>Over the 5 years from May 2024 to May 2029, total employment in Australia is projected to increase by 6.6%, or around 950,000 people, reaching 15.3 million employed persons.</w:t>
      </w:r>
    </w:p>
    <w:p w14:paraId="308B5DAF" w14:textId="7FDB1DE0" w:rsidR="001D1735" w:rsidRPr="009B7971" w:rsidRDefault="002E24A8" w:rsidP="002E24A8">
      <w:r>
        <w:t xml:space="preserve">Over the 10 years from May 2024 to May 2034, total employment is projected to increase by 13.7%, or nearly 2.0 million people, reaching 16.3 million employed persons. These projections are slightly weaker than those included in the 2023 edition of the JSA Jobs and Skills Report </w:t>
      </w:r>
      <w:r w:rsidR="009B7971" w:rsidRPr="00531B20">
        <w:rPr>
          <w:i/>
          <w:iCs/>
        </w:rPr>
        <w:t>Towards a National Jobs and Skills Roadmap</w:t>
      </w:r>
      <w:r w:rsidR="009B7971">
        <w:t>.</w:t>
      </w:r>
    </w:p>
    <w:p w14:paraId="29F1CAC9" w14:textId="4055E2E3" w:rsidR="00AC2606" w:rsidRDefault="00AC2606" w:rsidP="00AC2606">
      <w:pPr>
        <w:pStyle w:val="Heading3"/>
        <w:rPr>
          <w:rFonts w:cs="Arial"/>
        </w:rPr>
      </w:pPr>
      <w:bookmarkStart w:id="194" w:name="_Toc179887399"/>
      <w:bookmarkStart w:id="195" w:name="_Toc181371594"/>
      <w:r w:rsidRPr="00AC0957">
        <w:rPr>
          <w:rFonts w:cs="Arial"/>
        </w:rPr>
        <w:t xml:space="preserve">Industry </w:t>
      </w:r>
      <w:r w:rsidR="00C5235F">
        <w:rPr>
          <w:rFonts w:cs="Arial"/>
        </w:rPr>
        <w:t>e</w:t>
      </w:r>
      <w:r w:rsidRPr="00AC0957">
        <w:rPr>
          <w:rFonts w:cs="Arial"/>
        </w:rPr>
        <w:t xml:space="preserve">mployment </w:t>
      </w:r>
      <w:r w:rsidR="00C5235F">
        <w:rPr>
          <w:rFonts w:cs="Arial"/>
        </w:rPr>
        <w:t>o</w:t>
      </w:r>
      <w:r w:rsidRPr="00AC0957">
        <w:rPr>
          <w:rFonts w:cs="Arial"/>
        </w:rPr>
        <w:t>utlook</w:t>
      </w:r>
      <w:bookmarkEnd w:id="194"/>
      <w:bookmarkEnd w:id="195"/>
      <w:r w:rsidRPr="00AC0957">
        <w:rPr>
          <w:rFonts w:cs="Arial"/>
        </w:rPr>
        <w:t xml:space="preserve"> </w:t>
      </w:r>
    </w:p>
    <w:p w14:paraId="49CB2B36" w14:textId="72B63AAF" w:rsidR="001840DF" w:rsidRPr="00AC0957" w:rsidRDefault="008F5B50" w:rsidP="001840DF">
      <w:pPr>
        <w:rPr>
          <w:rFonts w:cs="Arial"/>
        </w:rPr>
      </w:pPr>
      <w:r w:rsidRPr="008F5B50">
        <w:rPr>
          <w:rFonts w:cs="Arial"/>
        </w:rPr>
        <w:t xml:space="preserve">The long-term structural shift in employment towards services-related industries is projected to continue over the next decade, with just 3 services industries i.e. Health Care and Social Assistance, Professional, Scientific and Technical Services, and Education and Training, contributing half (50.4%) of the projected employment growth in Australia over this period </w:t>
      </w:r>
      <w:r w:rsidR="001840DF" w:rsidRPr="00AC0957">
        <w:rPr>
          <w:rFonts w:cs="Arial"/>
        </w:rPr>
        <w:t>(</w:t>
      </w:r>
      <w:r w:rsidR="00502575">
        <w:rPr>
          <w:rFonts w:cs="Arial"/>
        </w:rPr>
        <w:fldChar w:fldCharType="begin"/>
      </w:r>
      <w:r w:rsidR="00502575">
        <w:rPr>
          <w:rFonts w:cs="Arial"/>
        </w:rPr>
        <w:instrText xml:space="preserve"> REF _Ref179897982 \h </w:instrText>
      </w:r>
      <w:r w:rsidR="00502575">
        <w:rPr>
          <w:rFonts w:cs="Arial"/>
        </w:rPr>
      </w:r>
      <w:r w:rsidR="00502575">
        <w:rPr>
          <w:rFonts w:cs="Arial"/>
        </w:rPr>
        <w:fldChar w:fldCharType="separate"/>
      </w:r>
      <w:r w:rsidR="00C47A81">
        <w:t xml:space="preserve">Figure </w:t>
      </w:r>
      <w:r w:rsidR="00C47A81">
        <w:rPr>
          <w:noProof/>
        </w:rPr>
        <w:t>40</w:t>
      </w:r>
      <w:r w:rsidR="00502575">
        <w:rPr>
          <w:rFonts w:cs="Arial"/>
        </w:rPr>
        <w:fldChar w:fldCharType="end"/>
      </w:r>
      <w:r w:rsidR="001840DF" w:rsidRPr="00AC0957">
        <w:rPr>
          <w:rFonts w:cs="Arial"/>
        </w:rPr>
        <w:t>).</w:t>
      </w:r>
    </w:p>
    <w:p w14:paraId="7FE00F48" w14:textId="7DBBEDD4" w:rsidR="001840DF" w:rsidRDefault="001840DF" w:rsidP="001840DF">
      <w:pPr>
        <w:pStyle w:val="Caption"/>
      </w:pPr>
      <w:bookmarkStart w:id="196" w:name="_Ref179897982"/>
      <w:bookmarkStart w:id="197" w:name="_Toc181370342"/>
      <w:r>
        <w:t xml:space="preserve">Figure </w:t>
      </w:r>
      <w:r>
        <w:fldChar w:fldCharType="begin"/>
      </w:r>
      <w:r>
        <w:instrText xml:space="preserve"> SEQ Figure \* ARABIC </w:instrText>
      </w:r>
      <w:r>
        <w:fldChar w:fldCharType="separate"/>
      </w:r>
      <w:r w:rsidR="00C47A81">
        <w:rPr>
          <w:noProof/>
        </w:rPr>
        <w:t>40</w:t>
      </w:r>
      <w:r>
        <w:fldChar w:fldCharType="end"/>
      </w:r>
      <w:bookmarkEnd w:id="196"/>
      <w:r>
        <w:t xml:space="preserve">: </w:t>
      </w:r>
      <w:r w:rsidRPr="00613026">
        <w:t>5 and 10-year employment outlook</w:t>
      </w:r>
      <w:r w:rsidR="00832AE6">
        <w:t>,</w:t>
      </w:r>
      <w:r w:rsidRPr="00613026">
        <w:t xml:space="preserve"> by industry, persons, Australia</w:t>
      </w:r>
      <w:bookmarkEnd w:id="197"/>
    </w:p>
    <w:p w14:paraId="1D631041" w14:textId="273FBC31" w:rsidR="009D79F3" w:rsidRPr="009D79F3" w:rsidRDefault="00055046" w:rsidP="008D1F27">
      <w:pPr>
        <w:jc w:val="center"/>
      </w:pPr>
      <w:r>
        <w:rPr>
          <w:noProof/>
        </w:rPr>
        <w:drawing>
          <wp:inline distT="0" distB="0" distL="0" distR="0" wp14:anchorId="45043193" wp14:editId="589D140A">
            <wp:extent cx="5194800" cy="3333600"/>
            <wp:effectExtent l="0" t="0" r="6350" b="635"/>
            <wp:docPr id="725645677" name="Picture 1" descr="This shows the long-term structural shift in employment towards services-related industries is projected to continue in Australia, with just three services industries i.e. Health Care and Social Assistance, Professional, Scientific and Technical Services, and Education and Training, contributing to half (50.4%) of the projected employment growth over the next dec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645677" name="Picture 1" descr="This shows the long-term structural shift in employment towards services-related industries is projected to continue in Australia, with just three services industries i.e. Health Care and Social Assistance, Professional, Scientific and Technical Services, and Education and Training, contributing to half (50.4%) of the projected employment growth over the next decad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194800" cy="3333600"/>
                    </a:xfrm>
                    <a:prstGeom prst="rect">
                      <a:avLst/>
                    </a:prstGeom>
                    <a:noFill/>
                  </pic:spPr>
                </pic:pic>
              </a:graphicData>
            </a:graphic>
          </wp:inline>
        </w:drawing>
      </w:r>
    </w:p>
    <w:p w14:paraId="04E74D61" w14:textId="2D55D419" w:rsidR="00AC2606" w:rsidRPr="001840DF" w:rsidRDefault="00AC2606" w:rsidP="006B231F">
      <w:pPr>
        <w:pStyle w:val="Source"/>
      </w:pPr>
      <w:r w:rsidRPr="001840DF">
        <w:t>Source: 2024-2034 Employment Projections, produced by Victoria University for Jobs and Skills Australia</w:t>
      </w:r>
      <w:r w:rsidR="00797ABF">
        <w:t>.</w:t>
      </w:r>
    </w:p>
    <w:p w14:paraId="1BEF8698" w14:textId="0185F204" w:rsidR="005614EC" w:rsidRPr="005614EC" w:rsidRDefault="005614EC" w:rsidP="005614EC">
      <w:r w:rsidRPr="005614EC">
        <w:t>The overall industry structure of the Australian labour market is projected to remain largely unchanged over the next decade, with most industries maintaining their relative shares of total employment. The most noticeable growth (by share of employment) is projected to occur in the Health Care and Social Assistance industry (up by 1.7 percentage points). While the Retail Trade and Manufacturing industries are projected to decrease their respective shares of total employment (by 0.5 of a percentage point each), they will remain large employers (</w:t>
      </w:r>
      <w:r>
        <w:fldChar w:fldCharType="begin"/>
      </w:r>
      <w:r>
        <w:instrText xml:space="preserve"> REF _Ref180050359 \h </w:instrText>
      </w:r>
      <w:r>
        <w:fldChar w:fldCharType="separate"/>
      </w:r>
      <w:r w:rsidR="00C47A81" w:rsidRPr="00483E5D">
        <w:t xml:space="preserve">Table </w:t>
      </w:r>
      <w:r w:rsidR="00C47A81">
        <w:rPr>
          <w:noProof/>
        </w:rPr>
        <w:t>9</w:t>
      </w:r>
      <w:r>
        <w:fldChar w:fldCharType="end"/>
      </w:r>
      <w:r w:rsidRPr="005614EC">
        <w:t xml:space="preserve">). </w:t>
      </w:r>
    </w:p>
    <w:p w14:paraId="4F0B47CA" w14:textId="77777777" w:rsidR="005614EC" w:rsidRPr="005614EC" w:rsidRDefault="005614EC" w:rsidP="005614EC">
      <w:r w:rsidRPr="005614EC">
        <w:t xml:space="preserve">The top 5 largest employing industries in terms of share of total employment in Australia are the same over both the 5- and 10-year projections: </w:t>
      </w:r>
    </w:p>
    <w:p w14:paraId="7ECDF0AA" w14:textId="19CE8F54" w:rsidR="005614EC" w:rsidRPr="005614EC" w:rsidRDefault="005614EC" w:rsidP="005614EC">
      <w:pPr>
        <w:pStyle w:val="ListBullet"/>
      </w:pPr>
      <w:r w:rsidRPr="005614EC">
        <w:t>The Health Care and Social Assistance industry’s share of total employment is projected to increase from 15.7% in 2024 to 17.4% in 2034. Employment in the industry is projected to grow by 283,100 persons (or 12.5%) to 2029 and by 585,000 persons (or 25.9%) to 2034.</w:t>
      </w:r>
    </w:p>
    <w:p w14:paraId="3D969342" w14:textId="01E8A011" w:rsidR="005614EC" w:rsidRPr="005614EC" w:rsidRDefault="005614EC" w:rsidP="005614EC">
      <w:pPr>
        <w:pStyle w:val="ListBullet2"/>
        <w:spacing w:before="120" w:after="120" w:line="240" w:lineRule="atLeast"/>
        <w:rPr>
          <w:rFonts w:cs="Arial"/>
        </w:rPr>
      </w:pPr>
      <w:r w:rsidRPr="005614EC">
        <w:rPr>
          <w:rFonts w:cs="Arial"/>
        </w:rPr>
        <w:t>Strong employment growth in sectors such as Hospitals, Other Social Assistance Services, Allied Health Services, Residential Care Services, and Medical Services is projected over the next decade.</w:t>
      </w:r>
    </w:p>
    <w:p w14:paraId="549C1B39" w14:textId="1180AABF" w:rsidR="005614EC" w:rsidRPr="005614EC" w:rsidRDefault="005614EC" w:rsidP="005614EC">
      <w:pPr>
        <w:pStyle w:val="ListBullet"/>
      </w:pPr>
      <w:r w:rsidRPr="005614EC">
        <w:t>The Professional, Scientific and Technical Services industry’s share of total employment is projected to increase from 9.2% in 2024 to 9.7% in 2034. Employment in the industry is projected to grow by 144,500 persons (or 10.9%) to 2029 and by 254,600 persons (19.2%) to 2034.</w:t>
      </w:r>
    </w:p>
    <w:p w14:paraId="03CD4828" w14:textId="2877A755" w:rsidR="005614EC" w:rsidRPr="005614EC" w:rsidRDefault="005614EC" w:rsidP="005614EC">
      <w:pPr>
        <w:pStyle w:val="ListBullet2"/>
        <w:spacing w:before="120" w:after="120" w:line="240" w:lineRule="atLeast"/>
        <w:rPr>
          <w:rFonts w:cs="Arial"/>
        </w:rPr>
      </w:pPr>
      <w:r w:rsidRPr="005614EC">
        <w:rPr>
          <w:rFonts w:cs="Arial"/>
        </w:rPr>
        <w:t>Strong employment growth in sectors such as Computer System Design and Related Services, Architectural, Engineering and Technical Services, and Legal and Accounting Services is projected over the next decade.</w:t>
      </w:r>
    </w:p>
    <w:p w14:paraId="7555CFF7" w14:textId="0CCCC890" w:rsidR="005614EC" w:rsidRPr="005614EC" w:rsidRDefault="005614EC" w:rsidP="00E307AB">
      <w:pPr>
        <w:pStyle w:val="ListBullet"/>
        <w:keepNext/>
        <w:keepLines/>
      </w:pPr>
      <w:r w:rsidRPr="005614EC">
        <w:t>The Construction industry’s share of total employment is projected to decline slightly from 9.5% in 2024 to 9.3% in 2034. Despite this, employment in the industry is projected to grow by 95,100 persons (or 7.0%) to 2029 and by 162,600 persons (or 12.0%) to 2034.</w:t>
      </w:r>
    </w:p>
    <w:p w14:paraId="781821BA" w14:textId="6DFE6E4C" w:rsidR="005614EC" w:rsidRPr="005614EC" w:rsidRDefault="005614EC" w:rsidP="005614EC">
      <w:pPr>
        <w:pStyle w:val="ListBullet2"/>
        <w:spacing w:before="120" w:after="120" w:line="240" w:lineRule="atLeast"/>
        <w:rPr>
          <w:rFonts w:cs="Arial"/>
        </w:rPr>
      </w:pPr>
      <w:r w:rsidRPr="005614EC">
        <w:rPr>
          <w:rFonts w:cs="Arial"/>
        </w:rPr>
        <w:t>Strong employment growth in sectors such as Residential Building Construction, Building Installation and Completion Services, and Heavy and Civil Engineering Construction is projected over the next decade.</w:t>
      </w:r>
    </w:p>
    <w:p w14:paraId="50D2C518" w14:textId="4149B73D" w:rsidR="005614EC" w:rsidRPr="005614EC" w:rsidRDefault="005614EC" w:rsidP="005614EC">
      <w:pPr>
        <w:pStyle w:val="ListBullet"/>
      </w:pPr>
      <w:r w:rsidRPr="005614EC">
        <w:t xml:space="preserve">The Retail Trade industry’s share of total employment is projected to decline from 9.2% in 2024 to 8.7% in 2034. Despite this, employment in the industry is projected to grow by 46,500 persons (or 3.5%) to 2029 and 99,800 persons (7.6%) to 2034. </w:t>
      </w:r>
    </w:p>
    <w:p w14:paraId="40E0128B" w14:textId="086EE7CC" w:rsidR="005614EC" w:rsidRPr="005614EC" w:rsidRDefault="005614EC" w:rsidP="005614EC">
      <w:pPr>
        <w:pStyle w:val="ListBullet2"/>
        <w:spacing w:before="120" w:after="120" w:line="240" w:lineRule="atLeast"/>
        <w:rPr>
          <w:rFonts w:cs="Arial"/>
        </w:rPr>
      </w:pPr>
      <w:r w:rsidRPr="005614EC">
        <w:rPr>
          <w:rFonts w:cs="Arial"/>
        </w:rPr>
        <w:t>Strong employment growth in sectors such as Pharmaceutical and Other Store-Based Retailing, Supermarket and Grocery Stores, and Clothing, Footwear and Personal Accessory Retailing is projected over the next decade.</w:t>
      </w:r>
    </w:p>
    <w:p w14:paraId="6F343CC1" w14:textId="75FE9963" w:rsidR="005614EC" w:rsidRPr="005614EC" w:rsidRDefault="005614EC" w:rsidP="005614EC">
      <w:pPr>
        <w:pStyle w:val="ListBullet"/>
      </w:pPr>
      <w:r w:rsidRPr="005614EC">
        <w:t xml:space="preserve">The Education and Training industry’s share of total employment is projected to remain broadly unchanged between 2024 and 2034 at around 8.3%. Employment in the industry is projected to grow by 71,500 persons (5.9%) to 2029 and 150,100 persons (12.4%) to 2034. </w:t>
      </w:r>
    </w:p>
    <w:p w14:paraId="1F93A46F" w14:textId="2446C9CB" w:rsidR="00AC2606" w:rsidRPr="005614EC" w:rsidRDefault="005614EC" w:rsidP="005614EC">
      <w:pPr>
        <w:pStyle w:val="ListBullet2"/>
      </w:pPr>
      <w:r w:rsidRPr="005614EC">
        <w:t>Strong employment growth in sectors such as Tertiary Education, School Education, and Adult, Community and Other Education is projected over the next decade</w:t>
      </w:r>
      <w:r w:rsidR="00AC2606" w:rsidRPr="005614EC">
        <w:t>.</w:t>
      </w:r>
    </w:p>
    <w:p w14:paraId="45F95418" w14:textId="3FF1B6AF" w:rsidR="00AF6380" w:rsidRDefault="00AF6380" w:rsidP="00AF6380">
      <w:pPr>
        <w:pStyle w:val="Caption"/>
      </w:pPr>
      <w:bookmarkStart w:id="198" w:name="_Ref180050359"/>
      <w:r w:rsidRPr="00483E5D">
        <w:t xml:space="preserve">Table </w:t>
      </w:r>
      <w:r w:rsidRPr="00483E5D">
        <w:fldChar w:fldCharType="begin"/>
      </w:r>
      <w:r w:rsidRPr="00483E5D">
        <w:instrText xml:space="preserve"> SEQ Table \* ARABIC </w:instrText>
      </w:r>
      <w:r w:rsidRPr="00483E5D">
        <w:fldChar w:fldCharType="separate"/>
      </w:r>
      <w:r w:rsidR="00C47A81">
        <w:rPr>
          <w:noProof/>
        </w:rPr>
        <w:t>9</w:t>
      </w:r>
      <w:r w:rsidRPr="00483E5D">
        <w:fldChar w:fldCharType="end"/>
      </w:r>
      <w:bookmarkEnd w:id="198"/>
      <w:r w:rsidRPr="00483E5D">
        <w:t>: Projected employment growth over the next 5 and 10 years, by industry</w:t>
      </w:r>
      <w:r w:rsidR="00AC6BBF" w:rsidRPr="00483E5D">
        <w:t>, Australia</w:t>
      </w:r>
    </w:p>
    <w:tbl>
      <w:tblPr>
        <w:tblStyle w:val="JSATable1"/>
        <w:tblW w:w="9026" w:type="dxa"/>
        <w:tblLayout w:type="fixed"/>
        <w:tblLook w:val="0020" w:firstRow="1" w:lastRow="0" w:firstColumn="0" w:lastColumn="0" w:noHBand="0" w:noVBand="0"/>
        <w:tblCaption w:val="Projected employment growth over the next 5 and 10 years, by industry, Australia"/>
        <w:tblDescription w:val="This shows current and projected employment levels in Australia by industry. It also shows the industry shares of total employment and how they are projected to change over the next 5 and 10 years.&#10;The overall industry structure of the Australian labour market is projected to remain largely unchanged over the next decade, with most industries maintaining their relative shares of total employment. &#10;The most noticeable growth (by share of employment) is projected to occur in the Health Care and Social Assistance industry (up by 1.7  percentage points). Employment in the industry is projected to grow by 283,100 persons (or 12.5 %) to 2029 and by 585,000 persons (or 25.9%) to 2034 - the highest growth of the industries."/>
      </w:tblPr>
      <w:tblGrid>
        <w:gridCol w:w="1427"/>
        <w:gridCol w:w="759"/>
        <w:gridCol w:w="760"/>
        <w:gridCol w:w="760"/>
        <w:gridCol w:w="760"/>
        <w:gridCol w:w="760"/>
        <w:gridCol w:w="760"/>
        <w:gridCol w:w="760"/>
        <w:gridCol w:w="760"/>
        <w:gridCol w:w="760"/>
        <w:gridCol w:w="760"/>
      </w:tblGrid>
      <w:tr w:rsidR="00197E18" w:rsidRPr="006F1FD4" w14:paraId="57C7445C" w14:textId="77777777" w:rsidTr="00197E18">
        <w:trPr>
          <w:cnfStyle w:val="100000000000" w:firstRow="1" w:lastRow="0" w:firstColumn="0" w:lastColumn="0" w:oddVBand="0" w:evenVBand="0" w:oddHBand="0" w:evenHBand="0" w:firstRowFirstColumn="0" w:firstRowLastColumn="0" w:lastRowFirstColumn="0" w:lastRowLastColumn="0"/>
          <w:trHeight w:val="381"/>
        </w:trPr>
        <w:tc>
          <w:tcPr>
            <w:tcW w:w="1427" w:type="dxa"/>
            <w:vMerge w:val="restart"/>
          </w:tcPr>
          <w:p w14:paraId="26B61234" w14:textId="45E9941A" w:rsidR="00197E18" w:rsidRPr="00197E18" w:rsidRDefault="00197E18" w:rsidP="00197E18">
            <w:pPr>
              <w:jc w:val="center"/>
              <w:rPr>
                <w:sz w:val="20"/>
                <w:szCs w:val="20"/>
              </w:rPr>
            </w:pPr>
            <w:r w:rsidRPr="00197E18">
              <w:rPr>
                <w:sz w:val="20"/>
                <w:szCs w:val="20"/>
              </w:rPr>
              <w:t>Industry</w:t>
            </w:r>
          </w:p>
          <w:p w14:paraId="594F84DA" w14:textId="371E7688" w:rsidR="00197E18" w:rsidRPr="00345F22" w:rsidRDefault="00197E18" w:rsidP="00197E18">
            <w:pPr>
              <w:jc w:val="center"/>
              <w:rPr>
                <w:vertAlign w:val="subscript"/>
              </w:rPr>
            </w:pPr>
            <w:r w:rsidRPr="00197E18">
              <w:rPr>
                <w:sz w:val="20"/>
                <w:szCs w:val="20"/>
              </w:rPr>
              <w:t>(1-digit ANZSIC)</w:t>
            </w:r>
          </w:p>
        </w:tc>
        <w:tc>
          <w:tcPr>
            <w:tcW w:w="1519" w:type="dxa"/>
            <w:gridSpan w:val="2"/>
            <w:shd w:val="clear" w:color="auto" w:fill="E0D1F5" w:themeFill="accent1" w:themeFillTint="33"/>
            <w:vAlign w:val="center"/>
          </w:tcPr>
          <w:p w14:paraId="0C26E0B9" w14:textId="60D79881" w:rsidR="00197E18" w:rsidRPr="006F1FD4" w:rsidRDefault="00197E18" w:rsidP="000D3C4B">
            <w:pPr>
              <w:jc w:val="center"/>
              <w:rPr>
                <w:rFonts w:asciiTheme="minorHAnsi" w:hAnsiTheme="minorHAnsi" w:cstheme="minorHAnsi"/>
                <w:sz w:val="18"/>
                <w:szCs w:val="18"/>
              </w:rPr>
            </w:pPr>
            <w:r>
              <w:rPr>
                <w:rFonts w:asciiTheme="minorHAnsi" w:hAnsiTheme="minorHAnsi" w:cstheme="minorHAnsi"/>
                <w:sz w:val="18"/>
                <w:szCs w:val="18"/>
              </w:rPr>
              <w:t>Baseline</w:t>
            </w:r>
          </w:p>
        </w:tc>
        <w:tc>
          <w:tcPr>
            <w:tcW w:w="3040" w:type="dxa"/>
            <w:gridSpan w:val="4"/>
            <w:shd w:val="clear" w:color="auto" w:fill="F5F8DD" w:themeFill="background2" w:themeFillTint="33"/>
            <w:vAlign w:val="center"/>
          </w:tcPr>
          <w:p w14:paraId="5EEF0CE5" w14:textId="078C7EFF" w:rsidR="00197E18" w:rsidRPr="006F1FD4" w:rsidRDefault="00197E18" w:rsidP="000D3C4B">
            <w:pPr>
              <w:jc w:val="center"/>
              <w:rPr>
                <w:rFonts w:asciiTheme="minorHAnsi" w:hAnsiTheme="minorHAnsi" w:cstheme="minorHAnsi"/>
                <w:sz w:val="18"/>
                <w:szCs w:val="18"/>
              </w:rPr>
            </w:pPr>
            <w:r>
              <w:rPr>
                <w:rFonts w:asciiTheme="minorHAnsi" w:hAnsiTheme="minorHAnsi" w:cstheme="minorHAnsi"/>
                <w:sz w:val="18"/>
                <w:szCs w:val="18"/>
              </w:rPr>
              <w:t>5-year outlook</w:t>
            </w:r>
          </w:p>
        </w:tc>
        <w:tc>
          <w:tcPr>
            <w:tcW w:w="3040" w:type="dxa"/>
            <w:gridSpan w:val="4"/>
            <w:shd w:val="clear" w:color="auto" w:fill="CEE9FB" w:themeFill="accent5" w:themeFillTint="33"/>
            <w:vAlign w:val="center"/>
          </w:tcPr>
          <w:p w14:paraId="1E3AFB4C" w14:textId="26C5CAB4" w:rsidR="00197E18" w:rsidRPr="006F1FD4" w:rsidRDefault="00197E18" w:rsidP="000D3C4B">
            <w:pPr>
              <w:jc w:val="center"/>
              <w:rPr>
                <w:rFonts w:asciiTheme="minorHAnsi" w:hAnsiTheme="minorHAnsi" w:cstheme="minorHAnsi"/>
                <w:sz w:val="18"/>
                <w:szCs w:val="18"/>
              </w:rPr>
            </w:pPr>
            <w:r>
              <w:rPr>
                <w:rFonts w:asciiTheme="minorHAnsi" w:hAnsiTheme="minorHAnsi" w:cstheme="minorHAnsi"/>
                <w:sz w:val="18"/>
                <w:szCs w:val="18"/>
              </w:rPr>
              <w:t>10-year outlook</w:t>
            </w:r>
          </w:p>
        </w:tc>
      </w:tr>
      <w:tr w:rsidR="00197E18" w:rsidRPr="006F1FD4" w14:paraId="14F76461" w14:textId="77777777" w:rsidTr="00197E18">
        <w:trPr>
          <w:trHeight w:val="381"/>
        </w:trPr>
        <w:tc>
          <w:tcPr>
            <w:tcW w:w="1427" w:type="dxa"/>
            <w:vMerge/>
          </w:tcPr>
          <w:p w14:paraId="2E2A1F04" w14:textId="0A08746F" w:rsidR="00197E18" w:rsidRPr="002E6E36" w:rsidRDefault="00197E18" w:rsidP="00197E18"/>
        </w:tc>
        <w:tc>
          <w:tcPr>
            <w:tcW w:w="759" w:type="dxa"/>
            <w:vMerge w:val="restart"/>
            <w:shd w:val="clear" w:color="auto" w:fill="2F005F"/>
            <w:vAlign w:val="center"/>
          </w:tcPr>
          <w:p w14:paraId="20F49B2C" w14:textId="478F5FD6" w:rsidR="00197E18" w:rsidRPr="006F1FD4" w:rsidRDefault="00197E18" w:rsidP="00197E18">
            <w:pPr>
              <w:jc w:val="center"/>
              <w:rPr>
                <w:rFonts w:asciiTheme="minorHAnsi" w:hAnsiTheme="minorHAnsi" w:cstheme="minorHAnsi"/>
                <w:sz w:val="18"/>
                <w:szCs w:val="18"/>
              </w:rPr>
            </w:pPr>
            <w:r>
              <w:rPr>
                <w:rFonts w:asciiTheme="minorHAnsi" w:hAnsiTheme="minorHAnsi" w:cstheme="minorHAnsi"/>
                <w:sz w:val="18"/>
                <w:szCs w:val="18"/>
              </w:rPr>
              <w:t>Empl. (‘000) May 2024</w:t>
            </w:r>
          </w:p>
        </w:tc>
        <w:tc>
          <w:tcPr>
            <w:tcW w:w="760" w:type="dxa"/>
            <w:vMerge w:val="restart"/>
            <w:shd w:val="clear" w:color="auto" w:fill="2F005F"/>
            <w:vAlign w:val="center"/>
          </w:tcPr>
          <w:p w14:paraId="62F19BBB" w14:textId="04D2BA3D" w:rsidR="00197E18" w:rsidRPr="006F1FD4" w:rsidRDefault="00197E18" w:rsidP="00197E18">
            <w:pPr>
              <w:jc w:val="center"/>
              <w:rPr>
                <w:rFonts w:asciiTheme="minorHAnsi" w:hAnsiTheme="minorHAnsi" w:cstheme="minorHAnsi"/>
                <w:sz w:val="18"/>
                <w:szCs w:val="18"/>
              </w:rPr>
            </w:pPr>
            <w:r>
              <w:rPr>
                <w:rFonts w:asciiTheme="minorHAnsi" w:hAnsiTheme="minorHAnsi" w:cstheme="minorHAnsi"/>
                <w:sz w:val="18"/>
                <w:szCs w:val="18"/>
              </w:rPr>
              <w:t>Share of total empl.</w:t>
            </w:r>
          </w:p>
        </w:tc>
        <w:tc>
          <w:tcPr>
            <w:tcW w:w="760" w:type="dxa"/>
            <w:vMerge w:val="restart"/>
            <w:shd w:val="clear" w:color="auto" w:fill="2F005F"/>
            <w:vAlign w:val="center"/>
          </w:tcPr>
          <w:p w14:paraId="69F05057" w14:textId="757D85C9" w:rsidR="00197E18" w:rsidRPr="006F1FD4" w:rsidRDefault="00197E18" w:rsidP="00197E18">
            <w:pPr>
              <w:jc w:val="center"/>
              <w:rPr>
                <w:rFonts w:asciiTheme="minorHAnsi" w:hAnsiTheme="minorHAnsi" w:cstheme="minorHAnsi"/>
                <w:sz w:val="18"/>
                <w:szCs w:val="18"/>
              </w:rPr>
            </w:pPr>
            <w:r>
              <w:rPr>
                <w:rFonts w:asciiTheme="minorHAnsi" w:hAnsiTheme="minorHAnsi" w:cstheme="minorHAnsi"/>
                <w:sz w:val="18"/>
                <w:szCs w:val="18"/>
              </w:rPr>
              <w:t>Empl. (‘000) May 2029</w:t>
            </w:r>
          </w:p>
        </w:tc>
        <w:tc>
          <w:tcPr>
            <w:tcW w:w="760" w:type="dxa"/>
            <w:vMerge w:val="restart"/>
            <w:shd w:val="clear" w:color="auto" w:fill="2F005F"/>
            <w:vAlign w:val="center"/>
          </w:tcPr>
          <w:p w14:paraId="4346F9AA" w14:textId="44C0C687" w:rsidR="00197E18" w:rsidRPr="006F1FD4" w:rsidRDefault="00197E18" w:rsidP="00197E18">
            <w:pPr>
              <w:jc w:val="center"/>
              <w:rPr>
                <w:rFonts w:asciiTheme="minorHAnsi" w:hAnsiTheme="minorHAnsi" w:cstheme="minorHAnsi"/>
                <w:sz w:val="18"/>
                <w:szCs w:val="18"/>
              </w:rPr>
            </w:pPr>
            <w:r>
              <w:rPr>
                <w:rFonts w:asciiTheme="minorHAnsi" w:hAnsiTheme="minorHAnsi" w:cstheme="minorHAnsi"/>
                <w:sz w:val="18"/>
                <w:szCs w:val="18"/>
              </w:rPr>
              <w:t>Share of total empl.</w:t>
            </w:r>
          </w:p>
        </w:tc>
        <w:tc>
          <w:tcPr>
            <w:tcW w:w="1520" w:type="dxa"/>
            <w:gridSpan w:val="2"/>
            <w:shd w:val="clear" w:color="auto" w:fill="F2F2F2" w:themeFill="background1" w:themeFillShade="F2"/>
            <w:vAlign w:val="center"/>
          </w:tcPr>
          <w:p w14:paraId="2727304F" w14:textId="0BC6B04A" w:rsidR="00197E18" w:rsidRPr="006F1FD4" w:rsidRDefault="00197E18" w:rsidP="00197E18">
            <w:pPr>
              <w:jc w:val="center"/>
              <w:rPr>
                <w:rFonts w:asciiTheme="minorHAnsi" w:hAnsiTheme="minorHAnsi" w:cstheme="minorHAnsi"/>
                <w:sz w:val="18"/>
                <w:szCs w:val="18"/>
              </w:rPr>
            </w:pPr>
            <w:r>
              <w:rPr>
                <w:rFonts w:asciiTheme="minorHAnsi" w:hAnsiTheme="minorHAnsi" w:cstheme="minorHAnsi"/>
                <w:sz w:val="18"/>
                <w:szCs w:val="18"/>
              </w:rPr>
              <w:t>Change</w:t>
            </w:r>
          </w:p>
        </w:tc>
        <w:tc>
          <w:tcPr>
            <w:tcW w:w="760" w:type="dxa"/>
            <w:vMerge w:val="restart"/>
            <w:shd w:val="clear" w:color="auto" w:fill="2F005F"/>
            <w:vAlign w:val="center"/>
          </w:tcPr>
          <w:p w14:paraId="25750DA9" w14:textId="1579B6F6" w:rsidR="00197E18" w:rsidRPr="006F1FD4" w:rsidRDefault="00197E18" w:rsidP="00197E18">
            <w:pPr>
              <w:jc w:val="center"/>
              <w:rPr>
                <w:rFonts w:asciiTheme="minorHAnsi" w:hAnsiTheme="minorHAnsi" w:cstheme="minorHAnsi"/>
                <w:sz w:val="18"/>
                <w:szCs w:val="18"/>
              </w:rPr>
            </w:pPr>
            <w:r>
              <w:rPr>
                <w:rFonts w:asciiTheme="minorHAnsi" w:hAnsiTheme="minorHAnsi" w:cstheme="minorHAnsi"/>
                <w:sz w:val="18"/>
                <w:szCs w:val="18"/>
              </w:rPr>
              <w:t>Empl. (‘000) May 2034</w:t>
            </w:r>
          </w:p>
        </w:tc>
        <w:tc>
          <w:tcPr>
            <w:tcW w:w="760" w:type="dxa"/>
            <w:vMerge w:val="restart"/>
            <w:shd w:val="clear" w:color="auto" w:fill="2F005F"/>
            <w:vAlign w:val="center"/>
          </w:tcPr>
          <w:p w14:paraId="1699C066" w14:textId="60DFA32E" w:rsidR="00197E18" w:rsidRPr="006F1FD4" w:rsidRDefault="00197E18" w:rsidP="00197E18">
            <w:pPr>
              <w:jc w:val="center"/>
              <w:rPr>
                <w:rFonts w:asciiTheme="minorHAnsi" w:hAnsiTheme="minorHAnsi" w:cstheme="minorHAnsi"/>
                <w:sz w:val="18"/>
                <w:szCs w:val="18"/>
              </w:rPr>
            </w:pPr>
            <w:r>
              <w:rPr>
                <w:rFonts w:asciiTheme="minorHAnsi" w:hAnsiTheme="minorHAnsi" w:cstheme="minorHAnsi"/>
                <w:sz w:val="18"/>
                <w:szCs w:val="18"/>
              </w:rPr>
              <w:t>Share of total empl.</w:t>
            </w:r>
          </w:p>
        </w:tc>
        <w:tc>
          <w:tcPr>
            <w:tcW w:w="1520" w:type="dxa"/>
            <w:gridSpan w:val="2"/>
            <w:shd w:val="clear" w:color="auto" w:fill="F2F2F2" w:themeFill="background1" w:themeFillShade="F2"/>
          </w:tcPr>
          <w:p w14:paraId="1D81BB33" w14:textId="76B8E12A" w:rsidR="00197E18" w:rsidRPr="006F1FD4" w:rsidRDefault="00197E18" w:rsidP="00197E18">
            <w:pPr>
              <w:jc w:val="center"/>
              <w:rPr>
                <w:rFonts w:asciiTheme="minorHAnsi" w:hAnsiTheme="minorHAnsi" w:cstheme="minorHAnsi"/>
                <w:sz w:val="18"/>
                <w:szCs w:val="18"/>
              </w:rPr>
            </w:pPr>
            <w:r>
              <w:rPr>
                <w:rFonts w:asciiTheme="minorHAnsi" w:hAnsiTheme="minorHAnsi" w:cstheme="minorHAnsi"/>
                <w:sz w:val="18"/>
                <w:szCs w:val="18"/>
              </w:rPr>
              <w:t>Change</w:t>
            </w:r>
          </w:p>
        </w:tc>
      </w:tr>
      <w:tr w:rsidR="00197E18" w:rsidRPr="006F1FD4" w14:paraId="6222401F" w14:textId="734713BA" w:rsidTr="000D3C4B">
        <w:trPr>
          <w:cnfStyle w:val="000000010000" w:firstRow="0" w:lastRow="0" w:firstColumn="0" w:lastColumn="0" w:oddVBand="0" w:evenVBand="0" w:oddHBand="0" w:evenHBand="1" w:firstRowFirstColumn="0" w:firstRowLastColumn="0" w:lastRowFirstColumn="0" w:lastRowLastColumn="0"/>
          <w:trHeight w:val="381"/>
        </w:trPr>
        <w:tc>
          <w:tcPr>
            <w:tcW w:w="1427" w:type="dxa"/>
            <w:vMerge/>
          </w:tcPr>
          <w:p w14:paraId="73BCC8BA" w14:textId="6FF57BEB" w:rsidR="00197E18" w:rsidRPr="00C546A6" w:rsidRDefault="00197E18" w:rsidP="00197E18"/>
        </w:tc>
        <w:tc>
          <w:tcPr>
            <w:tcW w:w="759" w:type="dxa"/>
            <w:vMerge/>
            <w:shd w:val="clear" w:color="auto" w:fill="2F005F"/>
            <w:vAlign w:val="center"/>
          </w:tcPr>
          <w:p w14:paraId="2C6D745E" w14:textId="424F4990" w:rsidR="00197E18" w:rsidRPr="006F1FD4" w:rsidRDefault="00197E18" w:rsidP="00197E18">
            <w:pPr>
              <w:jc w:val="center"/>
              <w:rPr>
                <w:rFonts w:asciiTheme="minorHAnsi" w:hAnsiTheme="minorHAnsi" w:cstheme="minorHAnsi"/>
                <w:sz w:val="18"/>
                <w:szCs w:val="18"/>
              </w:rPr>
            </w:pPr>
          </w:p>
        </w:tc>
        <w:tc>
          <w:tcPr>
            <w:tcW w:w="760" w:type="dxa"/>
            <w:vMerge/>
            <w:shd w:val="clear" w:color="auto" w:fill="2F005F"/>
            <w:vAlign w:val="center"/>
          </w:tcPr>
          <w:p w14:paraId="7E160A18" w14:textId="01AC1932" w:rsidR="00197E18" w:rsidRPr="006F1FD4" w:rsidRDefault="00197E18" w:rsidP="00197E18">
            <w:pPr>
              <w:jc w:val="center"/>
              <w:rPr>
                <w:rFonts w:asciiTheme="minorHAnsi" w:hAnsiTheme="minorHAnsi" w:cstheme="minorHAnsi"/>
                <w:sz w:val="18"/>
                <w:szCs w:val="18"/>
              </w:rPr>
            </w:pPr>
          </w:p>
        </w:tc>
        <w:tc>
          <w:tcPr>
            <w:tcW w:w="760" w:type="dxa"/>
            <w:vMerge/>
            <w:shd w:val="clear" w:color="auto" w:fill="2F005F"/>
            <w:vAlign w:val="center"/>
          </w:tcPr>
          <w:p w14:paraId="2E8E33A8" w14:textId="60719D4A" w:rsidR="00197E18" w:rsidRPr="006F1FD4" w:rsidRDefault="00197E18" w:rsidP="00197E18">
            <w:pPr>
              <w:jc w:val="center"/>
              <w:rPr>
                <w:rFonts w:asciiTheme="minorHAnsi" w:hAnsiTheme="minorHAnsi" w:cstheme="minorHAnsi"/>
                <w:sz w:val="18"/>
                <w:szCs w:val="18"/>
              </w:rPr>
            </w:pPr>
          </w:p>
        </w:tc>
        <w:tc>
          <w:tcPr>
            <w:tcW w:w="760" w:type="dxa"/>
            <w:vMerge/>
            <w:shd w:val="clear" w:color="auto" w:fill="2F005F"/>
            <w:vAlign w:val="center"/>
          </w:tcPr>
          <w:p w14:paraId="20606E1A" w14:textId="7DBD40F3" w:rsidR="00197E18" w:rsidRPr="006F1FD4" w:rsidRDefault="00197E18" w:rsidP="00197E18">
            <w:pPr>
              <w:jc w:val="center"/>
              <w:rPr>
                <w:rFonts w:asciiTheme="minorHAnsi" w:hAnsiTheme="minorHAnsi" w:cstheme="minorHAnsi"/>
                <w:sz w:val="18"/>
                <w:szCs w:val="18"/>
              </w:rPr>
            </w:pPr>
          </w:p>
        </w:tc>
        <w:tc>
          <w:tcPr>
            <w:tcW w:w="760" w:type="dxa"/>
            <w:shd w:val="clear" w:color="auto" w:fill="2F005F"/>
            <w:vAlign w:val="center"/>
          </w:tcPr>
          <w:p w14:paraId="2E6CAC85" w14:textId="0A67C780" w:rsidR="00197E18" w:rsidRPr="006F1FD4" w:rsidRDefault="00197E18" w:rsidP="00197E18">
            <w:pPr>
              <w:jc w:val="center"/>
              <w:rPr>
                <w:rFonts w:asciiTheme="minorHAnsi" w:hAnsiTheme="minorHAnsi" w:cstheme="minorHAnsi"/>
                <w:sz w:val="18"/>
                <w:szCs w:val="18"/>
              </w:rPr>
            </w:pPr>
            <w:r>
              <w:rPr>
                <w:rFonts w:asciiTheme="minorHAnsi" w:hAnsiTheme="minorHAnsi" w:cstheme="minorHAnsi"/>
                <w:sz w:val="18"/>
                <w:szCs w:val="18"/>
              </w:rPr>
              <w:t>Level (‘000)</w:t>
            </w:r>
          </w:p>
        </w:tc>
        <w:tc>
          <w:tcPr>
            <w:tcW w:w="760" w:type="dxa"/>
            <w:shd w:val="clear" w:color="auto" w:fill="2F005F"/>
            <w:vAlign w:val="center"/>
          </w:tcPr>
          <w:p w14:paraId="1A233253" w14:textId="70036E59" w:rsidR="00197E18" w:rsidRPr="006F1FD4" w:rsidRDefault="00197E18" w:rsidP="00197E18">
            <w:pPr>
              <w:jc w:val="center"/>
              <w:rPr>
                <w:rFonts w:asciiTheme="minorHAnsi" w:hAnsiTheme="minorHAnsi" w:cstheme="minorHAnsi"/>
                <w:sz w:val="18"/>
                <w:szCs w:val="18"/>
              </w:rPr>
            </w:pPr>
            <w:r>
              <w:rPr>
                <w:rFonts w:asciiTheme="minorHAnsi" w:hAnsiTheme="minorHAnsi" w:cstheme="minorHAnsi"/>
                <w:sz w:val="18"/>
                <w:szCs w:val="18"/>
              </w:rPr>
              <w:t>%</w:t>
            </w:r>
          </w:p>
        </w:tc>
        <w:tc>
          <w:tcPr>
            <w:tcW w:w="760" w:type="dxa"/>
            <w:vMerge/>
            <w:shd w:val="clear" w:color="auto" w:fill="2F005F"/>
            <w:vAlign w:val="center"/>
          </w:tcPr>
          <w:p w14:paraId="534E62FB" w14:textId="0F829ACD" w:rsidR="00197E18" w:rsidRPr="006F1FD4" w:rsidRDefault="00197E18" w:rsidP="00197E18">
            <w:pPr>
              <w:jc w:val="center"/>
              <w:rPr>
                <w:rFonts w:asciiTheme="minorHAnsi" w:hAnsiTheme="minorHAnsi" w:cstheme="minorHAnsi"/>
                <w:sz w:val="18"/>
                <w:szCs w:val="18"/>
              </w:rPr>
            </w:pPr>
          </w:p>
        </w:tc>
        <w:tc>
          <w:tcPr>
            <w:tcW w:w="760" w:type="dxa"/>
            <w:vMerge/>
            <w:shd w:val="clear" w:color="auto" w:fill="2F005F"/>
            <w:vAlign w:val="center"/>
          </w:tcPr>
          <w:p w14:paraId="0138264E" w14:textId="6E5A0BC6" w:rsidR="00197E18" w:rsidRPr="006F1FD4" w:rsidRDefault="00197E18" w:rsidP="00197E18">
            <w:pPr>
              <w:jc w:val="center"/>
              <w:rPr>
                <w:rFonts w:asciiTheme="minorHAnsi" w:hAnsiTheme="minorHAnsi" w:cstheme="minorHAnsi"/>
                <w:sz w:val="18"/>
                <w:szCs w:val="18"/>
              </w:rPr>
            </w:pPr>
          </w:p>
        </w:tc>
        <w:tc>
          <w:tcPr>
            <w:tcW w:w="760" w:type="dxa"/>
            <w:shd w:val="clear" w:color="auto" w:fill="2F005F"/>
            <w:vAlign w:val="center"/>
          </w:tcPr>
          <w:p w14:paraId="08CCB432" w14:textId="7B1F6692" w:rsidR="00197E18" w:rsidRPr="006F1FD4" w:rsidRDefault="00197E18" w:rsidP="00197E18">
            <w:pPr>
              <w:jc w:val="center"/>
              <w:rPr>
                <w:rFonts w:asciiTheme="minorHAnsi" w:hAnsiTheme="minorHAnsi" w:cstheme="minorHAnsi"/>
                <w:sz w:val="18"/>
                <w:szCs w:val="18"/>
              </w:rPr>
            </w:pPr>
            <w:r>
              <w:rPr>
                <w:rFonts w:asciiTheme="minorHAnsi" w:hAnsiTheme="minorHAnsi" w:cstheme="minorHAnsi"/>
                <w:sz w:val="18"/>
                <w:szCs w:val="18"/>
              </w:rPr>
              <w:t>Level (‘000)</w:t>
            </w:r>
          </w:p>
        </w:tc>
        <w:tc>
          <w:tcPr>
            <w:tcW w:w="760" w:type="dxa"/>
            <w:shd w:val="clear" w:color="auto" w:fill="2F005F"/>
            <w:vAlign w:val="center"/>
          </w:tcPr>
          <w:p w14:paraId="30298BC0" w14:textId="7EAEEAF8" w:rsidR="00197E18" w:rsidRPr="006F1FD4" w:rsidRDefault="00197E18" w:rsidP="00197E18">
            <w:pPr>
              <w:jc w:val="center"/>
              <w:rPr>
                <w:rFonts w:asciiTheme="minorHAnsi" w:hAnsiTheme="minorHAnsi" w:cstheme="minorHAnsi"/>
                <w:sz w:val="18"/>
                <w:szCs w:val="18"/>
              </w:rPr>
            </w:pPr>
            <w:r>
              <w:rPr>
                <w:rFonts w:asciiTheme="minorHAnsi" w:hAnsiTheme="minorHAnsi" w:cstheme="minorHAnsi"/>
                <w:sz w:val="18"/>
                <w:szCs w:val="18"/>
              </w:rPr>
              <w:t>%</w:t>
            </w:r>
          </w:p>
        </w:tc>
      </w:tr>
      <w:tr w:rsidR="00972F09" w:rsidRPr="006F1FD4" w14:paraId="231E3118" w14:textId="16B7ED0A" w:rsidTr="00972F09">
        <w:trPr>
          <w:trHeight w:val="381"/>
        </w:trPr>
        <w:tc>
          <w:tcPr>
            <w:tcW w:w="1427" w:type="dxa"/>
            <w:vAlign w:val="center"/>
          </w:tcPr>
          <w:p w14:paraId="5702D188" w14:textId="6091DA82" w:rsidR="00972F09" w:rsidRPr="00972F09" w:rsidRDefault="00972F09" w:rsidP="00972F09">
            <w:pPr>
              <w:rPr>
                <w:rFonts w:asciiTheme="minorHAnsi" w:hAnsiTheme="minorHAnsi" w:cstheme="minorHAnsi"/>
                <w:sz w:val="18"/>
                <w:szCs w:val="18"/>
              </w:rPr>
            </w:pPr>
            <w:r w:rsidRPr="00972F09">
              <w:rPr>
                <w:rFonts w:asciiTheme="minorHAnsi" w:hAnsiTheme="minorHAnsi" w:cstheme="minorHAnsi"/>
                <w:sz w:val="18"/>
                <w:szCs w:val="18"/>
              </w:rPr>
              <w:t>Agriculture, Forestry and Fishing</w:t>
            </w:r>
          </w:p>
        </w:tc>
        <w:tc>
          <w:tcPr>
            <w:tcW w:w="759" w:type="dxa"/>
            <w:vAlign w:val="center"/>
          </w:tcPr>
          <w:p w14:paraId="222D45C5" w14:textId="5678A5A3"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322.8 </w:t>
            </w:r>
          </w:p>
        </w:tc>
        <w:tc>
          <w:tcPr>
            <w:tcW w:w="760" w:type="dxa"/>
            <w:vAlign w:val="center"/>
          </w:tcPr>
          <w:p w14:paraId="3DDA579B" w14:textId="6D773415"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2.2%</w:t>
            </w:r>
          </w:p>
        </w:tc>
        <w:tc>
          <w:tcPr>
            <w:tcW w:w="760" w:type="dxa"/>
            <w:vAlign w:val="center"/>
          </w:tcPr>
          <w:p w14:paraId="7C5FA242" w14:textId="1115E99E"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330.2 </w:t>
            </w:r>
          </w:p>
        </w:tc>
        <w:tc>
          <w:tcPr>
            <w:tcW w:w="760" w:type="dxa"/>
            <w:vAlign w:val="center"/>
          </w:tcPr>
          <w:p w14:paraId="7BE0ACB8" w14:textId="10AFF9BD"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2.2%</w:t>
            </w:r>
          </w:p>
        </w:tc>
        <w:tc>
          <w:tcPr>
            <w:tcW w:w="760" w:type="dxa"/>
            <w:vAlign w:val="center"/>
          </w:tcPr>
          <w:p w14:paraId="754EFAAA" w14:textId="4A0C88FF"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7.4 </w:t>
            </w:r>
          </w:p>
        </w:tc>
        <w:tc>
          <w:tcPr>
            <w:tcW w:w="760" w:type="dxa"/>
            <w:vAlign w:val="center"/>
          </w:tcPr>
          <w:p w14:paraId="71F33448" w14:textId="5DF08776"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2.3%</w:t>
            </w:r>
          </w:p>
        </w:tc>
        <w:tc>
          <w:tcPr>
            <w:tcW w:w="760" w:type="dxa"/>
            <w:vAlign w:val="center"/>
          </w:tcPr>
          <w:p w14:paraId="1A2996FC" w14:textId="6F899820"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345.6 </w:t>
            </w:r>
          </w:p>
        </w:tc>
        <w:tc>
          <w:tcPr>
            <w:tcW w:w="760" w:type="dxa"/>
            <w:vAlign w:val="center"/>
          </w:tcPr>
          <w:p w14:paraId="4891F985" w14:textId="0C9DF0CD"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2.1%</w:t>
            </w:r>
          </w:p>
        </w:tc>
        <w:tc>
          <w:tcPr>
            <w:tcW w:w="760" w:type="dxa"/>
            <w:vAlign w:val="center"/>
          </w:tcPr>
          <w:p w14:paraId="290D68E2" w14:textId="222B8E9D"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22.8 </w:t>
            </w:r>
          </w:p>
        </w:tc>
        <w:tc>
          <w:tcPr>
            <w:tcW w:w="760" w:type="dxa"/>
            <w:vAlign w:val="center"/>
          </w:tcPr>
          <w:p w14:paraId="027D6E30" w14:textId="7C0AE1F7"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7.1%</w:t>
            </w:r>
          </w:p>
        </w:tc>
      </w:tr>
      <w:tr w:rsidR="00972F09" w:rsidRPr="006F1FD4" w14:paraId="388C5E41" w14:textId="2091DA42" w:rsidTr="00972F09">
        <w:trPr>
          <w:cnfStyle w:val="000000010000" w:firstRow="0" w:lastRow="0" w:firstColumn="0" w:lastColumn="0" w:oddVBand="0" w:evenVBand="0" w:oddHBand="0" w:evenHBand="1" w:firstRowFirstColumn="0" w:firstRowLastColumn="0" w:lastRowFirstColumn="0" w:lastRowLastColumn="0"/>
          <w:trHeight w:val="366"/>
        </w:trPr>
        <w:tc>
          <w:tcPr>
            <w:tcW w:w="1427" w:type="dxa"/>
            <w:vAlign w:val="center"/>
          </w:tcPr>
          <w:p w14:paraId="584E2E06" w14:textId="35165B54" w:rsidR="00972F09" w:rsidRPr="00972F09" w:rsidRDefault="00972F09" w:rsidP="00972F09">
            <w:pPr>
              <w:rPr>
                <w:rFonts w:asciiTheme="minorHAnsi" w:hAnsiTheme="minorHAnsi" w:cstheme="minorHAnsi"/>
                <w:sz w:val="18"/>
                <w:szCs w:val="18"/>
              </w:rPr>
            </w:pPr>
            <w:r w:rsidRPr="00972F09">
              <w:rPr>
                <w:rFonts w:asciiTheme="minorHAnsi" w:hAnsiTheme="minorHAnsi" w:cstheme="minorHAnsi"/>
                <w:sz w:val="18"/>
                <w:szCs w:val="18"/>
              </w:rPr>
              <w:t>Mining</w:t>
            </w:r>
          </w:p>
        </w:tc>
        <w:tc>
          <w:tcPr>
            <w:tcW w:w="759" w:type="dxa"/>
            <w:vAlign w:val="center"/>
          </w:tcPr>
          <w:p w14:paraId="4A4880E2" w14:textId="35BA8546"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300.4 </w:t>
            </w:r>
          </w:p>
        </w:tc>
        <w:tc>
          <w:tcPr>
            <w:tcW w:w="760" w:type="dxa"/>
            <w:vAlign w:val="center"/>
          </w:tcPr>
          <w:p w14:paraId="5A853CBC" w14:textId="4F97AD83"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2.1%</w:t>
            </w:r>
          </w:p>
        </w:tc>
        <w:tc>
          <w:tcPr>
            <w:tcW w:w="760" w:type="dxa"/>
            <w:vAlign w:val="center"/>
          </w:tcPr>
          <w:p w14:paraId="4477E1F2" w14:textId="08E867B0"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307.3 </w:t>
            </w:r>
          </w:p>
        </w:tc>
        <w:tc>
          <w:tcPr>
            <w:tcW w:w="760" w:type="dxa"/>
            <w:vAlign w:val="center"/>
          </w:tcPr>
          <w:p w14:paraId="4623DF19" w14:textId="56DE9065"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2.0%</w:t>
            </w:r>
          </w:p>
        </w:tc>
        <w:tc>
          <w:tcPr>
            <w:tcW w:w="760" w:type="dxa"/>
            <w:vAlign w:val="center"/>
          </w:tcPr>
          <w:p w14:paraId="6932A848" w14:textId="33565B24"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6.9 </w:t>
            </w:r>
          </w:p>
        </w:tc>
        <w:tc>
          <w:tcPr>
            <w:tcW w:w="760" w:type="dxa"/>
            <w:vAlign w:val="center"/>
          </w:tcPr>
          <w:p w14:paraId="576EC911" w14:textId="12F355DD"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2.3%</w:t>
            </w:r>
          </w:p>
        </w:tc>
        <w:tc>
          <w:tcPr>
            <w:tcW w:w="760" w:type="dxa"/>
            <w:vAlign w:val="center"/>
          </w:tcPr>
          <w:p w14:paraId="50247521" w14:textId="1C31B456"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326.4 </w:t>
            </w:r>
          </w:p>
        </w:tc>
        <w:tc>
          <w:tcPr>
            <w:tcW w:w="760" w:type="dxa"/>
            <w:vAlign w:val="center"/>
          </w:tcPr>
          <w:p w14:paraId="21AE58AB" w14:textId="39E011CC"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2.0%</w:t>
            </w:r>
          </w:p>
        </w:tc>
        <w:tc>
          <w:tcPr>
            <w:tcW w:w="760" w:type="dxa"/>
            <w:vAlign w:val="center"/>
          </w:tcPr>
          <w:p w14:paraId="166ECF4D" w14:textId="64178EAE"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26.0 </w:t>
            </w:r>
          </w:p>
        </w:tc>
        <w:tc>
          <w:tcPr>
            <w:tcW w:w="760" w:type="dxa"/>
            <w:vAlign w:val="center"/>
          </w:tcPr>
          <w:p w14:paraId="34136EBA" w14:textId="76C9A5AA"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8.7%</w:t>
            </w:r>
          </w:p>
        </w:tc>
      </w:tr>
      <w:tr w:rsidR="00972F09" w:rsidRPr="006F1FD4" w14:paraId="2DEE3446" w14:textId="5156112F" w:rsidTr="00972F09">
        <w:trPr>
          <w:trHeight w:val="366"/>
        </w:trPr>
        <w:tc>
          <w:tcPr>
            <w:tcW w:w="1427" w:type="dxa"/>
            <w:vAlign w:val="center"/>
          </w:tcPr>
          <w:p w14:paraId="7C08BE0C" w14:textId="6A932491" w:rsidR="00972F09" w:rsidRPr="00972F09" w:rsidRDefault="00972F09" w:rsidP="00972F09">
            <w:pPr>
              <w:rPr>
                <w:rFonts w:asciiTheme="minorHAnsi" w:hAnsiTheme="minorHAnsi" w:cstheme="minorHAnsi"/>
                <w:sz w:val="18"/>
                <w:szCs w:val="18"/>
              </w:rPr>
            </w:pPr>
            <w:r w:rsidRPr="00972F09">
              <w:rPr>
                <w:rFonts w:asciiTheme="minorHAnsi" w:hAnsiTheme="minorHAnsi" w:cstheme="minorHAnsi"/>
                <w:sz w:val="18"/>
                <w:szCs w:val="18"/>
              </w:rPr>
              <w:t>Manufacturing</w:t>
            </w:r>
          </w:p>
        </w:tc>
        <w:tc>
          <w:tcPr>
            <w:tcW w:w="759" w:type="dxa"/>
            <w:vAlign w:val="center"/>
          </w:tcPr>
          <w:p w14:paraId="766FDBC6" w14:textId="29EEB089"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909.1 </w:t>
            </w:r>
          </w:p>
        </w:tc>
        <w:tc>
          <w:tcPr>
            <w:tcW w:w="760" w:type="dxa"/>
            <w:vAlign w:val="center"/>
          </w:tcPr>
          <w:p w14:paraId="3C4F403A" w14:textId="44F733CA"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6.3%</w:t>
            </w:r>
          </w:p>
        </w:tc>
        <w:tc>
          <w:tcPr>
            <w:tcW w:w="760" w:type="dxa"/>
            <w:vAlign w:val="center"/>
          </w:tcPr>
          <w:p w14:paraId="475FD04E" w14:textId="5A8A92D0"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907.3 </w:t>
            </w:r>
          </w:p>
        </w:tc>
        <w:tc>
          <w:tcPr>
            <w:tcW w:w="760" w:type="dxa"/>
            <w:vAlign w:val="center"/>
          </w:tcPr>
          <w:p w14:paraId="41C71501" w14:textId="112F2BE1"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5.9%</w:t>
            </w:r>
          </w:p>
        </w:tc>
        <w:tc>
          <w:tcPr>
            <w:tcW w:w="760" w:type="dxa"/>
            <w:vAlign w:val="center"/>
          </w:tcPr>
          <w:p w14:paraId="0D7DAAF2" w14:textId="59B302F2"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-1.9 </w:t>
            </w:r>
          </w:p>
        </w:tc>
        <w:tc>
          <w:tcPr>
            <w:tcW w:w="760" w:type="dxa"/>
            <w:vAlign w:val="center"/>
          </w:tcPr>
          <w:p w14:paraId="2913C8C0" w14:textId="4384DE32"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-0.2%</w:t>
            </w:r>
          </w:p>
        </w:tc>
        <w:tc>
          <w:tcPr>
            <w:tcW w:w="760" w:type="dxa"/>
            <w:vAlign w:val="center"/>
          </w:tcPr>
          <w:p w14:paraId="7709487C" w14:textId="5B4D0DA9"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959.3 </w:t>
            </w:r>
          </w:p>
        </w:tc>
        <w:tc>
          <w:tcPr>
            <w:tcW w:w="760" w:type="dxa"/>
            <w:vAlign w:val="center"/>
          </w:tcPr>
          <w:p w14:paraId="3A2EBBFA" w14:textId="36120302"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5.9%</w:t>
            </w:r>
          </w:p>
        </w:tc>
        <w:tc>
          <w:tcPr>
            <w:tcW w:w="760" w:type="dxa"/>
            <w:vAlign w:val="center"/>
          </w:tcPr>
          <w:p w14:paraId="6DDE0818" w14:textId="6C0A2BCE"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50.1 </w:t>
            </w:r>
          </w:p>
        </w:tc>
        <w:tc>
          <w:tcPr>
            <w:tcW w:w="760" w:type="dxa"/>
            <w:vAlign w:val="center"/>
          </w:tcPr>
          <w:p w14:paraId="79E9809E" w14:textId="5D3F73FF"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5.5%</w:t>
            </w:r>
          </w:p>
        </w:tc>
      </w:tr>
      <w:tr w:rsidR="00972F09" w:rsidRPr="006F1FD4" w14:paraId="2EA6D92B" w14:textId="58112929" w:rsidTr="00972F09">
        <w:trPr>
          <w:cnfStyle w:val="000000010000" w:firstRow="0" w:lastRow="0" w:firstColumn="0" w:lastColumn="0" w:oddVBand="0" w:evenVBand="0" w:oddHBand="0" w:evenHBand="1" w:firstRowFirstColumn="0" w:firstRowLastColumn="0" w:lastRowFirstColumn="0" w:lastRowLastColumn="0"/>
          <w:trHeight w:val="366"/>
        </w:trPr>
        <w:tc>
          <w:tcPr>
            <w:tcW w:w="1427" w:type="dxa"/>
            <w:vAlign w:val="center"/>
          </w:tcPr>
          <w:p w14:paraId="26581BBA" w14:textId="6F59573F" w:rsidR="00972F09" w:rsidRPr="00972F09" w:rsidRDefault="00972F09" w:rsidP="00972F09">
            <w:pPr>
              <w:rPr>
                <w:rFonts w:asciiTheme="minorHAnsi" w:hAnsiTheme="minorHAnsi" w:cstheme="minorHAnsi"/>
                <w:sz w:val="18"/>
                <w:szCs w:val="18"/>
              </w:rPr>
            </w:pPr>
            <w:r w:rsidRPr="00972F09">
              <w:rPr>
                <w:rFonts w:asciiTheme="minorHAnsi" w:hAnsiTheme="minorHAnsi" w:cstheme="minorHAnsi"/>
                <w:sz w:val="18"/>
                <w:szCs w:val="18"/>
              </w:rPr>
              <w:t>Electricity, Gas, Water and Waste Services</w:t>
            </w:r>
          </w:p>
        </w:tc>
        <w:tc>
          <w:tcPr>
            <w:tcW w:w="759" w:type="dxa"/>
            <w:vAlign w:val="center"/>
          </w:tcPr>
          <w:p w14:paraId="1D2C6E30" w14:textId="5174F084"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184.2 </w:t>
            </w:r>
          </w:p>
        </w:tc>
        <w:tc>
          <w:tcPr>
            <w:tcW w:w="760" w:type="dxa"/>
            <w:vAlign w:val="center"/>
          </w:tcPr>
          <w:p w14:paraId="4C8BE314" w14:textId="0E3BCFB3"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1.3%</w:t>
            </w:r>
          </w:p>
        </w:tc>
        <w:tc>
          <w:tcPr>
            <w:tcW w:w="760" w:type="dxa"/>
            <w:vAlign w:val="center"/>
          </w:tcPr>
          <w:p w14:paraId="2D936696" w14:textId="279BAE0A"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197.4 </w:t>
            </w:r>
          </w:p>
        </w:tc>
        <w:tc>
          <w:tcPr>
            <w:tcW w:w="760" w:type="dxa"/>
            <w:vAlign w:val="center"/>
          </w:tcPr>
          <w:p w14:paraId="0AD346B0" w14:textId="1A708F53"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1.3%</w:t>
            </w:r>
          </w:p>
        </w:tc>
        <w:tc>
          <w:tcPr>
            <w:tcW w:w="760" w:type="dxa"/>
            <w:vAlign w:val="center"/>
          </w:tcPr>
          <w:p w14:paraId="664B7845" w14:textId="6B3726E3"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13.2 </w:t>
            </w:r>
          </w:p>
        </w:tc>
        <w:tc>
          <w:tcPr>
            <w:tcW w:w="760" w:type="dxa"/>
            <w:vAlign w:val="center"/>
          </w:tcPr>
          <w:p w14:paraId="7851E0F4" w14:textId="3DDBB419"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7.2%</w:t>
            </w:r>
          </w:p>
        </w:tc>
        <w:tc>
          <w:tcPr>
            <w:tcW w:w="760" w:type="dxa"/>
            <w:vAlign w:val="center"/>
          </w:tcPr>
          <w:p w14:paraId="782FF470" w14:textId="3098F0A2"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209.2 </w:t>
            </w:r>
          </w:p>
        </w:tc>
        <w:tc>
          <w:tcPr>
            <w:tcW w:w="760" w:type="dxa"/>
            <w:vAlign w:val="center"/>
          </w:tcPr>
          <w:p w14:paraId="62C15A02" w14:textId="7654509D"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1.3%</w:t>
            </w:r>
          </w:p>
        </w:tc>
        <w:tc>
          <w:tcPr>
            <w:tcW w:w="760" w:type="dxa"/>
            <w:vAlign w:val="center"/>
          </w:tcPr>
          <w:p w14:paraId="2564DFFD" w14:textId="1BA5881B"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25.1 </w:t>
            </w:r>
          </w:p>
        </w:tc>
        <w:tc>
          <w:tcPr>
            <w:tcW w:w="760" w:type="dxa"/>
            <w:vAlign w:val="center"/>
          </w:tcPr>
          <w:p w14:paraId="29F1BB70" w14:textId="38632B08"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13.6%</w:t>
            </w:r>
          </w:p>
        </w:tc>
      </w:tr>
      <w:tr w:rsidR="00972F09" w:rsidRPr="006F1FD4" w14:paraId="1D1134C2" w14:textId="6968CEBB" w:rsidTr="00972F09">
        <w:trPr>
          <w:trHeight w:val="366"/>
        </w:trPr>
        <w:tc>
          <w:tcPr>
            <w:tcW w:w="1427" w:type="dxa"/>
            <w:vAlign w:val="center"/>
          </w:tcPr>
          <w:p w14:paraId="51E60350" w14:textId="15E6F8BA" w:rsidR="00972F09" w:rsidRPr="00972F09" w:rsidRDefault="00972F09" w:rsidP="00972F09">
            <w:pPr>
              <w:rPr>
                <w:rFonts w:asciiTheme="minorHAnsi" w:hAnsiTheme="minorHAnsi" w:cstheme="minorHAnsi"/>
                <w:sz w:val="18"/>
                <w:szCs w:val="18"/>
              </w:rPr>
            </w:pPr>
            <w:r w:rsidRPr="00972F09">
              <w:rPr>
                <w:rFonts w:asciiTheme="minorHAnsi" w:hAnsiTheme="minorHAnsi" w:cstheme="minorHAnsi"/>
                <w:sz w:val="18"/>
                <w:szCs w:val="18"/>
              </w:rPr>
              <w:t>Construction</w:t>
            </w:r>
          </w:p>
        </w:tc>
        <w:tc>
          <w:tcPr>
            <w:tcW w:w="759" w:type="dxa"/>
            <w:vAlign w:val="center"/>
          </w:tcPr>
          <w:p w14:paraId="0019F2DA" w14:textId="58E0B22A"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w:t>
            </w:r>
            <w:r w:rsidRPr="00B11180">
              <w:rPr>
                <w:rFonts w:asciiTheme="minorHAnsi" w:hAnsiTheme="minorHAnsi" w:cstheme="minorHAnsi"/>
                <w:sz w:val="16"/>
                <w:szCs w:val="16"/>
              </w:rPr>
              <w:t xml:space="preserve">1,357.7 </w:t>
            </w:r>
          </w:p>
        </w:tc>
        <w:tc>
          <w:tcPr>
            <w:tcW w:w="760" w:type="dxa"/>
            <w:vAlign w:val="center"/>
          </w:tcPr>
          <w:p w14:paraId="7E86400D" w14:textId="3F1FD0BF"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9.5%</w:t>
            </w:r>
          </w:p>
        </w:tc>
        <w:tc>
          <w:tcPr>
            <w:tcW w:w="760" w:type="dxa"/>
            <w:vAlign w:val="center"/>
          </w:tcPr>
          <w:p w14:paraId="7F542F07" w14:textId="429800E9"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w:t>
            </w:r>
            <w:r w:rsidRPr="00B11180">
              <w:rPr>
                <w:rFonts w:asciiTheme="minorHAnsi" w:hAnsiTheme="minorHAnsi" w:cstheme="minorHAnsi"/>
                <w:sz w:val="16"/>
                <w:szCs w:val="16"/>
              </w:rPr>
              <w:t xml:space="preserve">1,452.8 </w:t>
            </w:r>
          </w:p>
        </w:tc>
        <w:tc>
          <w:tcPr>
            <w:tcW w:w="760" w:type="dxa"/>
            <w:vAlign w:val="center"/>
          </w:tcPr>
          <w:p w14:paraId="5B9D1434" w14:textId="5C67B619"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9.5%</w:t>
            </w:r>
          </w:p>
        </w:tc>
        <w:tc>
          <w:tcPr>
            <w:tcW w:w="760" w:type="dxa"/>
            <w:vAlign w:val="center"/>
          </w:tcPr>
          <w:p w14:paraId="341D080D" w14:textId="11C1B38D"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95.1 </w:t>
            </w:r>
          </w:p>
        </w:tc>
        <w:tc>
          <w:tcPr>
            <w:tcW w:w="760" w:type="dxa"/>
            <w:vAlign w:val="center"/>
          </w:tcPr>
          <w:p w14:paraId="58CAA98C" w14:textId="4F11F33A"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7.0%</w:t>
            </w:r>
          </w:p>
        </w:tc>
        <w:tc>
          <w:tcPr>
            <w:tcW w:w="760" w:type="dxa"/>
            <w:vAlign w:val="center"/>
          </w:tcPr>
          <w:p w14:paraId="71D73CFE" w14:textId="7EACCB16" w:rsidR="00972F09" w:rsidRPr="00B11180" w:rsidRDefault="00972F09" w:rsidP="00972F09">
            <w:pPr>
              <w:jc w:val="center"/>
              <w:rPr>
                <w:rFonts w:asciiTheme="minorHAnsi" w:hAnsiTheme="minorHAnsi" w:cstheme="minorHAnsi"/>
                <w:sz w:val="16"/>
                <w:szCs w:val="16"/>
              </w:rPr>
            </w:pPr>
            <w:r w:rsidRPr="00B11180">
              <w:rPr>
                <w:rFonts w:asciiTheme="minorHAnsi" w:hAnsiTheme="minorHAnsi" w:cstheme="minorHAnsi"/>
                <w:sz w:val="16"/>
                <w:szCs w:val="16"/>
              </w:rPr>
              <w:t xml:space="preserve"> 1,520.3 </w:t>
            </w:r>
          </w:p>
        </w:tc>
        <w:tc>
          <w:tcPr>
            <w:tcW w:w="760" w:type="dxa"/>
            <w:vAlign w:val="center"/>
          </w:tcPr>
          <w:p w14:paraId="694BD402" w14:textId="45F81516"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9.3%</w:t>
            </w:r>
          </w:p>
        </w:tc>
        <w:tc>
          <w:tcPr>
            <w:tcW w:w="760" w:type="dxa"/>
            <w:vAlign w:val="center"/>
          </w:tcPr>
          <w:p w14:paraId="74CFC8BA" w14:textId="594DBDD7"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162.6 </w:t>
            </w:r>
          </w:p>
        </w:tc>
        <w:tc>
          <w:tcPr>
            <w:tcW w:w="760" w:type="dxa"/>
            <w:vAlign w:val="center"/>
          </w:tcPr>
          <w:p w14:paraId="62547DE1" w14:textId="1678BA93"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12.0%</w:t>
            </w:r>
          </w:p>
        </w:tc>
      </w:tr>
      <w:tr w:rsidR="00972F09" w:rsidRPr="006F1FD4" w14:paraId="34727E62" w14:textId="3705A198" w:rsidTr="00972F09">
        <w:trPr>
          <w:cnfStyle w:val="000000010000" w:firstRow="0" w:lastRow="0" w:firstColumn="0" w:lastColumn="0" w:oddVBand="0" w:evenVBand="0" w:oddHBand="0" w:evenHBand="1" w:firstRowFirstColumn="0" w:firstRowLastColumn="0" w:lastRowFirstColumn="0" w:lastRowLastColumn="0"/>
          <w:trHeight w:val="366"/>
        </w:trPr>
        <w:tc>
          <w:tcPr>
            <w:tcW w:w="1427" w:type="dxa"/>
            <w:vAlign w:val="center"/>
          </w:tcPr>
          <w:p w14:paraId="3821BCC3" w14:textId="29D1ED6E" w:rsidR="00972F09" w:rsidRPr="00972F09" w:rsidRDefault="00972F09" w:rsidP="00972F09">
            <w:pPr>
              <w:rPr>
                <w:rFonts w:asciiTheme="minorHAnsi" w:hAnsiTheme="minorHAnsi" w:cstheme="minorHAnsi"/>
                <w:sz w:val="18"/>
                <w:szCs w:val="18"/>
              </w:rPr>
            </w:pPr>
            <w:r w:rsidRPr="00972F09">
              <w:rPr>
                <w:rFonts w:asciiTheme="minorHAnsi" w:hAnsiTheme="minorHAnsi" w:cstheme="minorHAnsi"/>
                <w:sz w:val="18"/>
                <w:szCs w:val="18"/>
              </w:rPr>
              <w:t>Wholesale Trade</w:t>
            </w:r>
          </w:p>
        </w:tc>
        <w:tc>
          <w:tcPr>
            <w:tcW w:w="759" w:type="dxa"/>
            <w:vAlign w:val="center"/>
          </w:tcPr>
          <w:p w14:paraId="015346DB" w14:textId="758E614F"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384.2 </w:t>
            </w:r>
          </w:p>
        </w:tc>
        <w:tc>
          <w:tcPr>
            <w:tcW w:w="760" w:type="dxa"/>
            <w:vAlign w:val="center"/>
          </w:tcPr>
          <w:p w14:paraId="72D1F401" w14:textId="7238176C"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2.7%</w:t>
            </w:r>
          </w:p>
        </w:tc>
        <w:tc>
          <w:tcPr>
            <w:tcW w:w="760" w:type="dxa"/>
            <w:vAlign w:val="center"/>
          </w:tcPr>
          <w:p w14:paraId="7B8AD042" w14:textId="6CE770A9"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411.6 </w:t>
            </w:r>
          </w:p>
        </w:tc>
        <w:tc>
          <w:tcPr>
            <w:tcW w:w="760" w:type="dxa"/>
            <w:vAlign w:val="center"/>
          </w:tcPr>
          <w:p w14:paraId="17647023" w14:textId="05D9E8ED"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2.7%</w:t>
            </w:r>
          </w:p>
        </w:tc>
        <w:tc>
          <w:tcPr>
            <w:tcW w:w="760" w:type="dxa"/>
            <w:vAlign w:val="center"/>
          </w:tcPr>
          <w:p w14:paraId="032EA172" w14:textId="13C9845F"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27.5 </w:t>
            </w:r>
          </w:p>
        </w:tc>
        <w:tc>
          <w:tcPr>
            <w:tcW w:w="760" w:type="dxa"/>
            <w:vAlign w:val="center"/>
          </w:tcPr>
          <w:p w14:paraId="2EF444C4" w14:textId="34E7F3CC"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7.2%</w:t>
            </w:r>
          </w:p>
        </w:tc>
        <w:tc>
          <w:tcPr>
            <w:tcW w:w="760" w:type="dxa"/>
            <w:vAlign w:val="center"/>
          </w:tcPr>
          <w:p w14:paraId="6BFEEF71" w14:textId="4180B74B" w:rsidR="00972F09" w:rsidRPr="00B11180" w:rsidRDefault="00972F09" w:rsidP="00972F09">
            <w:pPr>
              <w:jc w:val="center"/>
              <w:rPr>
                <w:rFonts w:asciiTheme="minorHAnsi" w:hAnsiTheme="minorHAnsi" w:cstheme="minorHAnsi"/>
                <w:sz w:val="16"/>
                <w:szCs w:val="16"/>
              </w:rPr>
            </w:pPr>
            <w:r w:rsidRPr="00B11180">
              <w:rPr>
                <w:rFonts w:asciiTheme="minorHAnsi" w:hAnsiTheme="minorHAnsi" w:cstheme="minorHAnsi"/>
                <w:sz w:val="16"/>
                <w:szCs w:val="16"/>
              </w:rPr>
              <w:t xml:space="preserve"> 437.6 </w:t>
            </w:r>
          </w:p>
        </w:tc>
        <w:tc>
          <w:tcPr>
            <w:tcW w:w="760" w:type="dxa"/>
            <w:vAlign w:val="center"/>
          </w:tcPr>
          <w:p w14:paraId="2E34A389" w14:textId="02049E74"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2.7%</w:t>
            </w:r>
          </w:p>
        </w:tc>
        <w:tc>
          <w:tcPr>
            <w:tcW w:w="760" w:type="dxa"/>
            <w:vAlign w:val="center"/>
          </w:tcPr>
          <w:p w14:paraId="6E1514D7" w14:textId="063F7254"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53.5 </w:t>
            </w:r>
          </w:p>
        </w:tc>
        <w:tc>
          <w:tcPr>
            <w:tcW w:w="760" w:type="dxa"/>
            <w:vAlign w:val="center"/>
          </w:tcPr>
          <w:p w14:paraId="39CD6707" w14:textId="4B11BE1C"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13.9%</w:t>
            </w:r>
          </w:p>
        </w:tc>
      </w:tr>
      <w:tr w:rsidR="00972F09" w:rsidRPr="006F1FD4" w14:paraId="013FB127" w14:textId="6F08D172" w:rsidTr="00972F09">
        <w:trPr>
          <w:trHeight w:val="366"/>
        </w:trPr>
        <w:tc>
          <w:tcPr>
            <w:tcW w:w="1427" w:type="dxa"/>
            <w:vAlign w:val="center"/>
          </w:tcPr>
          <w:p w14:paraId="2767579C" w14:textId="43B358D4" w:rsidR="00972F09" w:rsidRPr="00972F09" w:rsidRDefault="00972F09" w:rsidP="00972F09">
            <w:pPr>
              <w:rPr>
                <w:rFonts w:asciiTheme="minorHAnsi" w:hAnsiTheme="minorHAnsi" w:cstheme="minorHAnsi"/>
                <w:sz w:val="18"/>
                <w:szCs w:val="18"/>
              </w:rPr>
            </w:pPr>
            <w:r w:rsidRPr="00972F09">
              <w:rPr>
                <w:rFonts w:asciiTheme="minorHAnsi" w:hAnsiTheme="minorHAnsi" w:cstheme="minorHAnsi"/>
                <w:sz w:val="18"/>
                <w:szCs w:val="18"/>
              </w:rPr>
              <w:t>Retail trade</w:t>
            </w:r>
          </w:p>
        </w:tc>
        <w:tc>
          <w:tcPr>
            <w:tcW w:w="759" w:type="dxa"/>
            <w:vAlign w:val="center"/>
          </w:tcPr>
          <w:p w14:paraId="4298C5A0" w14:textId="5263962F"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w:t>
            </w:r>
            <w:r w:rsidRPr="00B11180">
              <w:rPr>
                <w:rFonts w:asciiTheme="minorHAnsi" w:hAnsiTheme="minorHAnsi" w:cstheme="minorHAnsi"/>
                <w:sz w:val="16"/>
                <w:szCs w:val="16"/>
              </w:rPr>
              <w:t xml:space="preserve">1,320.3 </w:t>
            </w:r>
          </w:p>
        </w:tc>
        <w:tc>
          <w:tcPr>
            <w:tcW w:w="760" w:type="dxa"/>
            <w:vAlign w:val="center"/>
          </w:tcPr>
          <w:p w14:paraId="79E26FAD" w14:textId="51855966"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9.2%</w:t>
            </w:r>
          </w:p>
        </w:tc>
        <w:tc>
          <w:tcPr>
            <w:tcW w:w="760" w:type="dxa"/>
            <w:vAlign w:val="center"/>
          </w:tcPr>
          <w:p w14:paraId="7EE336E8" w14:textId="03C36D1C"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w:t>
            </w:r>
            <w:r w:rsidRPr="00B11180">
              <w:rPr>
                <w:rFonts w:asciiTheme="minorHAnsi" w:hAnsiTheme="minorHAnsi" w:cstheme="minorHAnsi"/>
                <w:sz w:val="16"/>
                <w:szCs w:val="16"/>
              </w:rPr>
              <w:t xml:space="preserve">1,366.8 </w:t>
            </w:r>
          </w:p>
        </w:tc>
        <w:tc>
          <w:tcPr>
            <w:tcW w:w="760" w:type="dxa"/>
            <w:vAlign w:val="center"/>
          </w:tcPr>
          <w:p w14:paraId="6DBE543F" w14:textId="7B3D707C"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8.9%</w:t>
            </w:r>
          </w:p>
        </w:tc>
        <w:tc>
          <w:tcPr>
            <w:tcW w:w="760" w:type="dxa"/>
            <w:vAlign w:val="center"/>
          </w:tcPr>
          <w:p w14:paraId="39B2D95E" w14:textId="7F11306A"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46.5 </w:t>
            </w:r>
          </w:p>
        </w:tc>
        <w:tc>
          <w:tcPr>
            <w:tcW w:w="760" w:type="dxa"/>
            <w:vAlign w:val="center"/>
          </w:tcPr>
          <w:p w14:paraId="1D49B4F5" w14:textId="517B5DF3"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3.5%</w:t>
            </w:r>
          </w:p>
        </w:tc>
        <w:tc>
          <w:tcPr>
            <w:tcW w:w="760" w:type="dxa"/>
            <w:vAlign w:val="center"/>
          </w:tcPr>
          <w:p w14:paraId="2FAFCB42" w14:textId="04D00E78" w:rsidR="00972F09" w:rsidRPr="00B11180" w:rsidRDefault="00972F09" w:rsidP="00972F09">
            <w:pPr>
              <w:jc w:val="center"/>
              <w:rPr>
                <w:rFonts w:asciiTheme="minorHAnsi" w:hAnsiTheme="minorHAnsi" w:cstheme="minorHAnsi"/>
                <w:sz w:val="16"/>
                <w:szCs w:val="16"/>
              </w:rPr>
            </w:pPr>
            <w:r w:rsidRPr="00B11180">
              <w:rPr>
                <w:rFonts w:asciiTheme="minorHAnsi" w:hAnsiTheme="minorHAnsi" w:cstheme="minorHAnsi"/>
                <w:sz w:val="16"/>
                <w:szCs w:val="16"/>
              </w:rPr>
              <w:t xml:space="preserve"> 1,420.1 </w:t>
            </w:r>
          </w:p>
        </w:tc>
        <w:tc>
          <w:tcPr>
            <w:tcW w:w="760" w:type="dxa"/>
            <w:vAlign w:val="center"/>
          </w:tcPr>
          <w:p w14:paraId="06157BEC" w14:textId="3CC7C73E"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8.7%</w:t>
            </w:r>
          </w:p>
        </w:tc>
        <w:tc>
          <w:tcPr>
            <w:tcW w:w="760" w:type="dxa"/>
            <w:vAlign w:val="center"/>
          </w:tcPr>
          <w:p w14:paraId="4057F79A" w14:textId="57337176"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99.8 </w:t>
            </w:r>
          </w:p>
        </w:tc>
        <w:tc>
          <w:tcPr>
            <w:tcW w:w="760" w:type="dxa"/>
            <w:vAlign w:val="center"/>
          </w:tcPr>
          <w:p w14:paraId="09C2AC16" w14:textId="6B9490D5"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7.6%</w:t>
            </w:r>
          </w:p>
        </w:tc>
      </w:tr>
      <w:tr w:rsidR="00972F09" w:rsidRPr="006F1FD4" w14:paraId="283FD218" w14:textId="35A05873" w:rsidTr="00972F09">
        <w:trPr>
          <w:cnfStyle w:val="000000010000" w:firstRow="0" w:lastRow="0" w:firstColumn="0" w:lastColumn="0" w:oddVBand="0" w:evenVBand="0" w:oddHBand="0" w:evenHBand="1" w:firstRowFirstColumn="0" w:firstRowLastColumn="0" w:lastRowFirstColumn="0" w:lastRowLastColumn="0"/>
          <w:trHeight w:val="366"/>
        </w:trPr>
        <w:tc>
          <w:tcPr>
            <w:tcW w:w="1427" w:type="dxa"/>
            <w:vAlign w:val="center"/>
          </w:tcPr>
          <w:p w14:paraId="037BE34A" w14:textId="3B2ED62B" w:rsidR="00972F09" w:rsidRPr="00972F09" w:rsidRDefault="00972F09" w:rsidP="00972F09">
            <w:pPr>
              <w:rPr>
                <w:rFonts w:asciiTheme="minorHAnsi" w:hAnsiTheme="minorHAnsi" w:cstheme="minorHAnsi"/>
                <w:sz w:val="18"/>
                <w:szCs w:val="18"/>
              </w:rPr>
            </w:pPr>
            <w:r w:rsidRPr="00972F09">
              <w:rPr>
                <w:rFonts w:asciiTheme="minorHAnsi" w:hAnsiTheme="minorHAnsi" w:cstheme="minorHAnsi"/>
                <w:sz w:val="18"/>
                <w:szCs w:val="18"/>
              </w:rPr>
              <w:t>Accommodation and Food Services</w:t>
            </w:r>
          </w:p>
        </w:tc>
        <w:tc>
          <w:tcPr>
            <w:tcW w:w="759" w:type="dxa"/>
            <w:vAlign w:val="center"/>
          </w:tcPr>
          <w:p w14:paraId="42CB3140" w14:textId="0EDB12D4"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929.9 </w:t>
            </w:r>
          </w:p>
        </w:tc>
        <w:tc>
          <w:tcPr>
            <w:tcW w:w="760" w:type="dxa"/>
            <w:vAlign w:val="center"/>
          </w:tcPr>
          <w:p w14:paraId="082D3F66" w14:textId="056E1561"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6.5%</w:t>
            </w:r>
          </w:p>
        </w:tc>
        <w:tc>
          <w:tcPr>
            <w:tcW w:w="760" w:type="dxa"/>
            <w:vAlign w:val="center"/>
          </w:tcPr>
          <w:p w14:paraId="4AE5E9CC" w14:textId="6B36CCDA"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984.8 </w:t>
            </w:r>
          </w:p>
        </w:tc>
        <w:tc>
          <w:tcPr>
            <w:tcW w:w="760" w:type="dxa"/>
            <w:vAlign w:val="center"/>
          </w:tcPr>
          <w:p w14:paraId="7147045C" w14:textId="305DC440"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6.4%</w:t>
            </w:r>
          </w:p>
        </w:tc>
        <w:tc>
          <w:tcPr>
            <w:tcW w:w="760" w:type="dxa"/>
            <w:vAlign w:val="center"/>
          </w:tcPr>
          <w:p w14:paraId="4C7F21AD" w14:textId="183EAB3C"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54.9 </w:t>
            </w:r>
          </w:p>
        </w:tc>
        <w:tc>
          <w:tcPr>
            <w:tcW w:w="760" w:type="dxa"/>
            <w:vAlign w:val="center"/>
          </w:tcPr>
          <w:p w14:paraId="443BC52F" w14:textId="373BEA6C"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5.9%</w:t>
            </w:r>
          </w:p>
        </w:tc>
        <w:tc>
          <w:tcPr>
            <w:tcW w:w="760" w:type="dxa"/>
            <w:vAlign w:val="center"/>
          </w:tcPr>
          <w:p w14:paraId="44088606" w14:textId="109D11F8" w:rsidR="00972F09" w:rsidRPr="00B11180" w:rsidRDefault="00972F09" w:rsidP="00972F09">
            <w:pPr>
              <w:jc w:val="center"/>
              <w:rPr>
                <w:rFonts w:asciiTheme="minorHAnsi" w:hAnsiTheme="minorHAnsi" w:cstheme="minorHAnsi"/>
                <w:sz w:val="16"/>
                <w:szCs w:val="16"/>
              </w:rPr>
            </w:pPr>
            <w:r w:rsidRPr="00B11180">
              <w:rPr>
                <w:rFonts w:asciiTheme="minorHAnsi" w:hAnsiTheme="minorHAnsi" w:cstheme="minorHAnsi"/>
                <w:sz w:val="16"/>
                <w:szCs w:val="16"/>
              </w:rPr>
              <w:t xml:space="preserve"> 1,040.6 </w:t>
            </w:r>
          </w:p>
        </w:tc>
        <w:tc>
          <w:tcPr>
            <w:tcW w:w="760" w:type="dxa"/>
            <w:vAlign w:val="center"/>
          </w:tcPr>
          <w:p w14:paraId="160A67E1" w14:textId="74C71DAC"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6.4%</w:t>
            </w:r>
          </w:p>
        </w:tc>
        <w:tc>
          <w:tcPr>
            <w:tcW w:w="760" w:type="dxa"/>
            <w:vAlign w:val="center"/>
          </w:tcPr>
          <w:p w14:paraId="636DFE08" w14:textId="15CA53BC"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110.8 </w:t>
            </w:r>
          </w:p>
        </w:tc>
        <w:tc>
          <w:tcPr>
            <w:tcW w:w="760" w:type="dxa"/>
            <w:vAlign w:val="center"/>
          </w:tcPr>
          <w:p w14:paraId="0DB752F9" w14:textId="0DFB1DB4"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11.9%</w:t>
            </w:r>
          </w:p>
        </w:tc>
      </w:tr>
      <w:tr w:rsidR="00972F09" w:rsidRPr="006F1FD4" w14:paraId="0CC83D10" w14:textId="04B901F1" w:rsidTr="00972F09">
        <w:trPr>
          <w:trHeight w:val="366"/>
        </w:trPr>
        <w:tc>
          <w:tcPr>
            <w:tcW w:w="1427" w:type="dxa"/>
            <w:vAlign w:val="center"/>
          </w:tcPr>
          <w:p w14:paraId="336BB4C4" w14:textId="5FD19EE0" w:rsidR="00972F09" w:rsidRPr="00972F09" w:rsidRDefault="00972F09" w:rsidP="00972F09">
            <w:pPr>
              <w:rPr>
                <w:rFonts w:asciiTheme="minorHAnsi" w:hAnsiTheme="minorHAnsi" w:cstheme="minorHAnsi"/>
                <w:sz w:val="18"/>
                <w:szCs w:val="18"/>
              </w:rPr>
            </w:pPr>
            <w:r w:rsidRPr="00972F09">
              <w:rPr>
                <w:rFonts w:asciiTheme="minorHAnsi" w:hAnsiTheme="minorHAnsi" w:cstheme="minorHAnsi"/>
                <w:sz w:val="18"/>
                <w:szCs w:val="18"/>
              </w:rPr>
              <w:t>Transport, Postal and Warehousing</w:t>
            </w:r>
          </w:p>
        </w:tc>
        <w:tc>
          <w:tcPr>
            <w:tcW w:w="759" w:type="dxa"/>
            <w:vAlign w:val="center"/>
          </w:tcPr>
          <w:p w14:paraId="46029912" w14:textId="07C8EB98"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736.9 </w:t>
            </w:r>
          </w:p>
        </w:tc>
        <w:tc>
          <w:tcPr>
            <w:tcW w:w="760" w:type="dxa"/>
            <w:vAlign w:val="center"/>
          </w:tcPr>
          <w:p w14:paraId="6CB72785" w14:textId="4202CF21"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5.1%</w:t>
            </w:r>
          </w:p>
        </w:tc>
        <w:tc>
          <w:tcPr>
            <w:tcW w:w="760" w:type="dxa"/>
            <w:vAlign w:val="center"/>
          </w:tcPr>
          <w:p w14:paraId="49740D4E" w14:textId="00D10593"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773.9 </w:t>
            </w:r>
          </w:p>
        </w:tc>
        <w:tc>
          <w:tcPr>
            <w:tcW w:w="760" w:type="dxa"/>
            <w:vAlign w:val="center"/>
          </w:tcPr>
          <w:p w14:paraId="042F4A13" w14:textId="6DCF910C"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5.1%</w:t>
            </w:r>
          </w:p>
        </w:tc>
        <w:tc>
          <w:tcPr>
            <w:tcW w:w="760" w:type="dxa"/>
            <w:vAlign w:val="center"/>
          </w:tcPr>
          <w:p w14:paraId="25395B20" w14:textId="4EFC5F7D"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36.9 </w:t>
            </w:r>
          </w:p>
        </w:tc>
        <w:tc>
          <w:tcPr>
            <w:tcW w:w="760" w:type="dxa"/>
            <w:vAlign w:val="center"/>
          </w:tcPr>
          <w:p w14:paraId="24699226" w14:textId="42E8139B"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5.0%</w:t>
            </w:r>
          </w:p>
        </w:tc>
        <w:tc>
          <w:tcPr>
            <w:tcW w:w="760" w:type="dxa"/>
            <w:vAlign w:val="center"/>
          </w:tcPr>
          <w:p w14:paraId="01188623" w14:textId="5C44E8F0"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812.6 </w:t>
            </w:r>
          </w:p>
        </w:tc>
        <w:tc>
          <w:tcPr>
            <w:tcW w:w="760" w:type="dxa"/>
            <w:vAlign w:val="center"/>
          </w:tcPr>
          <w:p w14:paraId="24DEA763" w14:textId="5AA931E7"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5.0%</w:t>
            </w:r>
          </w:p>
        </w:tc>
        <w:tc>
          <w:tcPr>
            <w:tcW w:w="760" w:type="dxa"/>
            <w:vAlign w:val="center"/>
          </w:tcPr>
          <w:p w14:paraId="488C3BBD" w14:textId="27EC4848"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75.6 </w:t>
            </w:r>
          </w:p>
        </w:tc>
        <w:tc>
          <w:tcPr>
            <w:tcW w:w="760" w:type="dxa"/>
            <w:vAlign w:val="center"/>
          </w:tcPr>
          <w:p w14:paraId="46DC9C8C" w14:textId="2E9DB212"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10.3%</w:t>
            </w:r>
          </w:p>
        </w:tc>
      </w:tr>
      <w:tr w:rsidR="00972F09" w:rsidRPr="006F1FD4" w14:paraId="5083FD54" w14:textId="6AA4A7F0" w:rsidTr="00972F09">
        <w:trPr>
          <w:cnfStyle w:val="000000010000" w:firstRow="0" w:lastRow="0" w:firstColumn="0" w:lastColumn="0" w:oddVBand="0" w:evenVBand="0" w:oddHBand="0" w:evenHBand="1" w:firstRowFirstColumn="0" w:firstRowLastColumn="0" w:lastRowFirstColumn="0" w:lastRowLastColumn="0"/>
          <w:trHeight w:val="366"/>
        </w:trPr>
        <w:tc>
          <w:tcPr>
            <w:tcW w:w="1427" w:type="dxa"/>
            <w:vAlign w:val="center"/>
          </w:tcPr>
          <w:p w14:paraId="78DB4159" w14:textId="126ADCEC" w:rsidR="00972F09" w:rsidRPr="00972F09" w:rsidRDefault="00972F09" w:rsidP="00972F09">
            <w:pPr>
              <w:rPr>
                <w:rFonts w:asciiTheme="minorHAnsi" w:hAnsiTheme="minorHAnsi" w:cstheme="minorHAnsi"/>
                <w:sz w:val="18"/>
                <w:szCs w:val="18"/>
              </w:rPr>
            </w:pPr>
            <w:r w:rsidRPr="00972F09">
              <w:rPr>
                <w:rFonts w:asciiTheme="minorHAnsi" w:hAnsiTheme="minorHAnsi" w:cstheme="minorHAnsi"/>
                <w:sz w:val="18"/>
                <w:szCs w:val="18"/>
              </w:rPr>
              <w:t>Information Media and Telecommunications</w:t>
            </w:r>
          </w:p>
        </w:tc>
        <w:tc>
          <w:tcPr>
            <w:tcW w:w="759" w:type="dxa"/>
            <w:vAlign w:val="center"/>
          </w:tcPr>
          <w:p w14:paraId="0E66F42D" w14:textId="28AA0980"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191.1 </w:t>
            </w:r>
          </w:p>
        </w:tc>
        <w:tc>
          <w:tcPr>
            <w:tcW w:w="760" w:type="dxa"/>
            <w:vAlign w:val="center"/>
          </w:tcPr>
          <w:p w14:paraId="1EB20F62" w14:textId="1E3B3D15"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1.3%</w:t>
            </w:r>
          </w:p>
        </w:tc>
        <w:tc>
          <w:tcPr>
            <w:tcW w:w="760" w:type="dxa"/>
            <w:vAlign w:val="center"/>
          </w:tcPr>
          <w:p w14:paraId="3004DC73" w14:textId="61A31057"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203.8 </w:t>
            </w:r>
          </w:p>
        </w:tc>
        <w:tc>
          <w:tcPr>
            <w:tcW w:w="760" w:type="dxa"/>
            <w:vAlign w:val="center"/>
          </w:tcPr>
          <w:p w14:paraId="4589E3F2" w14:textId="47B6BEE9"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1.3%</w:t>
            </w:r>
          </w:p>
        </w:tc>
        <w:tc>
          <w:tcPr>
            <w:tcW w:w="760" w:type="dxa"/>
            <w:vAlign w:val="center"/>
          </w:tcPr>
          <w:p w14:paraId="55FA8F48" w14:textId="48C6BA4D"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12.7 </w:t>
            </w:r>
          </w:p>
        </w:tc>
        <w:tc>
          <w:tcPr>
            <w:tcW w:w="760" w:type="dxa"/>
            <w:vAlign w:val="center"/>
          </w:tcPr>
          <w:p w14:paraId="0857AB3B" w14:textId="0AE5E4A8"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6.6%</w:t>
            </w:r>
          </w:p>
        </w:tc>
        <w:tc>
          <w:tcPr>
            <w:tcW w:w="760" w:type="dxa"/>
            <w:vAlign w:val="center"/>
          </w:tcPr>
          <w:p w14:paraId="2650A364" w14:textId="3081BBDA"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219.2 </w:t>
            </w:r>
          </w:p>
        </w:tc>
        <w:tc>
          <w:tcPr>
            <w:tcW w:w="760" w:type="dxa"/>
            <w:vAlign w:val="center"/>
          </w:tcPr>
          <w:p w14:paraId="7E990C90" w14:textId="7C106439"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1.3%</w:t>
            </w:r>
          </w:p>
        </w:tc>
        <w:tc>
          <w:tcPr>
            <w:tcW w:w="760" w:type="dxa"/>
            <w:vAlign w:val="center"/>
          </w:tcPr>
          <w:p w14:paraId="49CB895D" w14:textId="1BE1CA3B"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 xml:space="preserve"> 28.1 </w:t>
            </w:r>
          </w:p>
        </w:tc>
        <w:tc>
          <w:tcPr>
            <w:tcW w:w="760" w:type="dxa"/>
            <w:vAlign w:val="center"/>
          </w:tcPr>
          <w:p w14:paraId="20619332" w14:textId="40180616" w:rsidR="00972F09" w:rsidRPr="00B11180" w:rsidRDefault="00972F09" w:rsidP="00972F09">
            <w:pPr>
              <w:jc w:val="center"/>
              <w:rPr>
                <w:rFonts w:asciiTheme="minorHAnsi" w:hAnsiTheme="minorHAnsi" w:cstheme="minorHAnsi"/>
                <w:sz w:val="18"/>
                <w:szCs w:val="18"/>
              </w:rPr>
            </w:pPr>
            <w:r w:rsidRPr="00B11180">
              <w:rPr>
                <w:rFonts w:asciiTheme="minorHAnsi" w:hAnsiTheme="minorHAnsi" w:cstheme="minorHAnsi"/>
                <w:sz w:val="18"/>
                <w:szCs w:val="18"/>
              </w:rPr>
              <w:t>14.7%</w:t>
            </w:r>
          </w:p>
        </w:tc>
      </w:tr>
    </w:tbl>
    <w:p w14:paraId="4EAE6C03" w14:textId="560BD3B4" w:rsidR="005A4368" w:rsidRDefault="005A4368" w:rsidP="00E307AB">
      <w:pPr>
        <w:pStyle w:val="NoSpacing"/>
      </w:pPr>
    </w:p>
    <w:tbl>
      <w:tblPr>
        <w:tblStyle w:val="JSATable1"/>
        <w:tblW w:w="9026" w:type="dxa"/>
        <w:tblLayout w:type="fixed"/>
        <w:tblLook w:val="0020" w:firstRow="1" w:lastRow="0" w:firstColumn="0" w:lastColumn="0" w:noHBand="0" w:noVBand="0"/>
        <w:tblCaption w:val="Projected employment growth over the next 5 and 10 years, by industry, Australia"/>
        <w:tblDescription w:val="This shows current and projected employment levels in Australia by industry. It also shows the industry shares of total employment and how they are projected to change over the next 5 and 10 years.&#10;The overall industry structure of the Australian labour market is projected to remain largely unchanged over the next decade, with most industries maintaining their relative shares of total employment. &#10;The most noticeable growth (by share of employment) is projected to occur in the Health Care and Social Assistance industry (up by 1.7  percentage points). Employment in the industry is projected to grow by 283,100 persons (or 12.5 %) to 2029 and by 585,000 persons (or 25.9%) to 2034 - the highest growth of the industries."/>
      </w:tblPr>
      <w:tblGrid>
        <w:gridCol w:w="1427"/>
        <w:gridCol w:w="759"/>
        <w:gridCol w:w="760"/>
        <w:gridCol w:w="760"/>
        <w:gridCol w:w="760"/>
        <w:gridCol w:w="760"/>
        <w:gridCol w:w="760"/>
        <w:gridCol w:w="760"/>
        <w:gridCol w:w="760"/>
        <w:gridCol w:w="760"/>
        <w:gridCol w:w="760"/>
      </w:tblGrid>
      <w:tr w:rsidR="003B32D9" w:rsidRPr="006F1FD4" w14:paraId="3F8DF33D" w14:textId="77777777" w:rsidTr="003B32D9">
        <w:trPr>
          <w:cnfStyle w:val="100000000000" w:firstRow="1" w:lastRow="0" w:firstColumn="0" w:lastColumn="0" w:oddVBand="0" w:evenVBand="0" w:oddHBand="0" w:evenHBand="0" w:firstRowFirstColumn="0" w:firstRowLastColumn="0" w:lastRowFirstColumn="0" w:lastRowLastColumn="0"/>
          <w:trHeight w:val="366"/>
        </w:trPr>
        <w:tc>
          <w:tcPr>
            <w:tcW w:w="1427" w:type="dxa"/>
            <w:vMerge w:val="restart"/>
            <w:vAlign w:val="center"/>
          </w:tcPr>
          <w:p w14:paraId="6D706FF7" w14:textId="4B6DCF16" w:rsidR="003B32D9" w:rsidRPr="00197E18" w:rsidRDefault="003B32D9" w:rsidP="003B32D9">
            <w:pPr>
              <w:jc w:val="center"/>
              <w:rPr>
                <w:sz w:val="20"/>
                <w:szCs w:val="20"/>
              </w:rPr>
            </w:pPr>
            <w:r w:rsidRPr="00197E18">
              <w:rPr>
                <w:sz w:val="20"/>
                <w:szCs w:val="20"/>
              </w:rPr>
              <w:t>Industry</w:t>
            </w:r>
          </w:p>
          <w:p w14:paraId="49442298" w14:textId="0D843ECF" w:rsidR="003B32D9" w:rsidRPr="00972F09" w:rsidRDefault="003B32D9" w:rsidP="003B32D9">
            <w:pPr>
              <w:jc w:val="center"/>
              <w:rPr>
                <w:rFonts w:asciiTheme="minorHAnsi" w:hAnsiTheme="minorHAnsi" w:cstheme="minorHAnsi"/>
                <w:sz w:val="18"/>
                <w:szCs w:val="18"/>
              </w:rPr>
            </w:pPr>
            <w:r w:rsidRPr="00197E18">
              <w:rPr>
                <w:sz w:val="20"/>
                <w:szCs w:val="20"/>
              </w:rPr>
              <w:t>(1-digit ANZSIC)</w:t>
            </w:r>
          </w:p>
        </w:tc>
        <w:tc>
          <w:tcPr>
            <w:tcW w:w="1519" w:type="dxa"/>
            <w:gridSpan w:val="2"/>
            <w:shd w:val="clear" w:color="auto" w:fill="E0D1F5" w:themeFill="accent1" w:themeFillTint="33"/>
            <w:vAlign w:val="center"/>
          </w:tcPr>
          <w:p w14:paraId="751FE1DB" w14:textId="34923E2D" w:rsidR="003B32D9" w:rsidRPr="00B11180" w:rsidRDefault="003B32D9" w:rsidP="003B32D9">
            <w:pPr>
              <w:jc w:val="center"/>
              <w:rPr>
                <w:rFonts w:asciiTheme="minorHAnsi" w:hAnsiTheme="minorHAnsi" w:cstheme="minorHAnsi"/>
                <w:sz w:val="18"/>
                <w:szCs w:val="18"/>
              </w:rPr>
            </w:pPr>
            <w:r>
              <w:rPr>
                <w:rFonts w:asciiTheme="minorHAnsi" w:hAnsiTheme="minorHAnsi" w:cstheme="minorHAnsi"/>
                <w:sz w:val="18"/>
                <w:szCs w:val="18"/>
              </w:rPr>
              <w:t>Baseline</w:t>
            </w:r>
          </w:p>
        </w:tc>
        <w:tc>
          <w:tcPr>
            <w:tcW w:w="3040" w:type="dxa"/>
            <w:gridSpan w:val="4"/>
            <w:shd w:val="clear" w:color="auto" w:fill="F5F8DD" w:themeFill="background2" w:themeFillTint="33"/>
            <w:vAlign w:val="center"/>
          </w:tcPr>
          <w:p w14:paraId="37D7F7E4" w14:textId="00077076" w:rsidR="003B32D9" w:rsidRPr="00B11180" w:rsidRDefault="003B32D9" w:rsidP="003B32D9">
            <w:pPr>
              <w:jc w:val="center"/>
              <w:rPr>
                <w:rFonts w:asciiTheme="minorHAnsi" w:hAnsiTheme="minorHAnsi" w:cstheme="minorHAnsi"/>
                <w:sz w:val="18"/>
                <w:szCs w:val="18"/>
              </w:rPr>
            </w:pPr>
            <w:r>
              <w:rPr>
                <w:rFonts w:asciiTheme="minorHAnsi" w:hAnsiTheme="minorHAnsi" w:cstheme="minorHAnsi"/>
                <w:sz w:val="18"/>
                <w:szCs w:val="18"/>
              </w:rPr>
              <w:t>5-year outlook</w:t>
            </w:r>
          </w:p>
        </w:tc>
        <w:tc>
          <w:tcPr>
            <w:tcW w:w="3040" w:type="dxa"/>
            <w:gridSpan w:val="4"/>
            <w:shd w:val="clear" w:color="auto" w:fill="CEE9FB" w:themeFill="accent5" w:themeFillTint="33"/>
            <w:vAlign w:val="center"/>
          </w:tcPr>
          <w:p w14:paraId="4F425A45" w14:textId="7AB802D6" w:rsidR="003B32D9" w:rsidRPr="00B11180" w:rsidRDefault="003B32D9" w:rsidP="003B32D9">
            <w:pPr>
              <w:jc w:val="center"/>
              <w:rPr>
                <w:rFonts w:asciiTheme="minorHAnsi" w:hAnsiTheme="minorHAnsi" w:cstheme="minorHAnsi"/>
                <w:sz w:val="18"/>
                <w:szCs w:val="18"/>
              </w:rPr>
            </w:pPr>
            <w:r>
              <w:rPr>
                <w:rFonts w:asciiTheme="minorHAnsi" w:hAnsiTheme="minorHAnsi" w:cstheme="minorHAnsi"/>
                <w:sz w:val="18"/>
                <w:szCs w:val="18"/>
              </w:rPr>
              <w:t>10-year outlook</w:t>
            </w:r>
          </w:p>
        </w:tc>
      </w:tr>
      <w:tr w:rsidR="003B32D9" w:rsidRPr="006F1FD4" w14:paraId="0F4D80A0" w14:textId="77777777" w:rsidTr="003B32D9">
        <w:trPr>
          <w:trHeight w:val="366"/>
        </w:trPr>
        <w:tc>
          <w:tcPr>
            <w:tcW w:w="1427" w:type="dxa"/>
            <w:vMerge/>
            <w:shd w:val="clear" w:color="auto" w:fill="2F005F"/>
            <w:vAlign w:val="center"/>
          </w:tcPr>
          <w:p w14:paraId="03575ACC" w14:textId="77777777" w:rsidR="003B32D9" w:rsidRPr="00972F09" w:rsidRDefault="003B32D9" w:rsidP="003B32D9">
            <w:pPr>
              <w:jc w:val="center"/>
              <w:rPr>
                <w:rFonts w:asciiTheme="minorHAnsi" w:hAnsiTheme="minorHAnsi" w:cstheme="minorHAnsi"/>
                <w:sz w:val="18"/>
                <w:szCs w:val="18"/>
              </w:rPr>
            </w:pPr>
          </w:p>
        </w:tc>
        <w:tc>
          <w:tcPr>
            <w:tcW w:w="759" w:type="dxa"/>
            <w:vMerge w:val="restart"/>
            <w:shd w:val="clear" w:color="auto" w:fill="2F005F"/>
            <w:vAlign w:val="center"/>
          </w:tcPr>
          <w:p w14:paraId="4942E3BB" w14:textId="7D86A947" w:rsidR="003B32D9" w:rsidRPr="00B11180" w:rsidRDefault="003B32D9" w:rsidP="003B32D9">
            <w:pPr>
              <w:jc w:val="center"/>
              <w:rPr>
                <w:rFonts w:asciiTheme="minorHAnsi" w:hAnsiTheme="minorHAnsi" w:cstheme="minorHAnsi"/>
                <w:sz w:val="18"/>
                <w:szCs w:val="18"/>
              </w:rPr>
            </w:pPr>
            <w:r>
              <w:rPr>
                <w:rFonts w:asciiTheme="minorHAnsi" w:hAnsiTheme="minorHAnsi" w:cstheme="minorHAnsi"/>
                <w:sz w:val="18"/>
                <w:szCs w:val="18"/>
              </w:rPr>
              <w:t>Empl. (‘000) May 2024</w:t>
            </w:r>
          </w:p>
        </w:tc>
        <w:tc>
          <w:tcPr>
            <w:tcW w:w="760" w:type="dxa"/>
            <w:vMerge w:val="restart"/>
            <w:shd w:val="clear" w:color="auto" w:fill="2F005F"/>
            <w:vAlign w:val="center"/>
          </w:tcPr>
          <w:p w14:paraId="26274970" w14:textId="7A0D84C8" w:rsidR="003B32D9" w:rsidRPr="00B11180" w:rsidRDefault="003B32D9" w:rsidP="003B32D9">
            <w:pPr>
              <w:jc w:val="center"/>
              <w:rPr>
                <w:rFonts w:asciiTheme="minorHAnsi" w:hAnsiTheme="minorHAnsi" w:cstheme="minorHAnsi"/>
                <w:sz w:val="18"/>
                <w:szCs w:val="18"/>
              </w:rPr>
            </w:pPr>
            <w:r>
              <w:rPr>
                <w:rFonts w:asciiTheme="minorHAnsi" w:hAnsiTheme="minorHAnsi" w:cstheme="minorHAnsi"/>
                <w:sz w:val="18"/>
                <w:szCs w:val="18"/>
              </w:rPr>
              <w:t>Share of total empl.</w:t>
            </w:r>
          </w:p>
        </w:tc>
        <w:tc>
          <w:tcPr>
            <w:tcW w:w="760" w:type="dxa"/>
            <w:vMerge w:val="restart"/>
            <w:shd w:val="clear" w:color="auto" w:fill="2F005F"/>
            <w:vAlign w:val="center"/>
          </w:tcPr>
          <w:p w14:paraId="4C39129F" w14:textId="097320C1" w:rsidR="003B32D9" w:rsidRPr="00B11180" w:rsidRDefault="003B32D9" w:rsidP="003B32D9">
            <w:pPr>
              <w:jc w:val="center"/>
              <w:rPr>
                <w:rFonts w:asciiTheme="minorHAnsi" w:hAnsiTheme="minorHAnsi" w:cstheme="minorHAnsi"/>
                <w:sz w:val="18"/>
                <w:szCs w:val="18"/>
              </w:rPr>
            </w:pPr>
            <w:r>
              <w:rPr>
                <w:rFonts w:asciiTheme="minorHAnsi" w:hAnsiTheme="minorHAnsi" w:cstheme="minorHAnsi"/>
                <w:sz w:val="18"/>
                <w:szCs w:val="18"/>
              </w:rPr>
              <w:t>Empl. (‘000) May 2029</w:t>
            </w:r>
          </w:p>
        </w:tc>
        <w:tc>
          <w:tcPr>
            <w:tcW w:w="760" w:type="dxa"/>
            <w:vMerge w:val="restart"/>
            <w:shd w:val="clear" w:color="auto" w:fill="2F005F"/>
            <w:vAlign w:val="center"/>
          </w:tcPr>
          <w:p w14:paraId="448C3BCC" w14:textId="06592359" w:rsidR="003B32D9" w:rsidRPr="00B11180" w:rsidRDefault="003B32D9" w:rsidP="003B32D9">
            <w:pPr>
              <w:jc w:val="center"/>
              <w:rPr>
                <w:rFonts w:asciiTheme="minorHAnsi" w:hAnsiTheme="minorHAnsi" w:cstheme="minorHAnsi"/>
                <w:sz w:val="18"/>
                <w:szCs w:val="18"/>
              </w:rPr>
            </w:pPr>
            <w:r>
              <w:rPr>
                <w:rFonts w:asciiTheme="minorHAnsi" w:hAnsiTheme="minorHAnsi" w:cstheme="minorHAnsi"/>
                <w:sz w:val="18"/>
                <w:szCs w:val="18"/>
              </w:rPr>
              <w:t>Share of total empl.</w:t>
            </w:r>
          </w:p>
        </w:tc>
        <w:tc>
          <w:tcPr>
            <w:tcW w:w="1520" w:type="dxa"/>
            <w:gridSpan w:val="2"/>
            <w:shd w:val="clear" w:color="auto" w:fill="F2F2F2" w:themeFill="background1" w:themeFillShade="F2"/>
            <w:vAlign w:val="center"/>
          </w:tcPr>
          <w:p w14:paraId="4A4610AA" w14:textId="686AE84C" w:rsidR="003B32D9" w:rsidRPr="00B11180" w:rsidRDefault="003B32D9" w:rsidP="003B32D9">
            <w:pPr>
              <w:jc w:val="center"/>
              <w:rPr>
                <w:rFonts w:asciiTheme="minorHAnsi" w:hAnsiTheme="minorHAnsi" w:cstheme="minorHAnsi"/>
                <w:sz w:val="18"/>
                <w:szCs w:val="18"/>
              </w:rPr>
            </w:pPr>
            <w:r>
              <w:rPr>
                <w:rFonts w:asciiTheme="minorHAnsi" w:hAnsiTheme="minorHAnsi" w:cstheme="minorHAnsi"/>
                <w:sz w:val="18"/>
                <w:szCs w:val="18"/>
              </w:rPr>
              <w:t>Change</w:t>
            </w:r>
          </w:p>
        </w:tc>
        <w:tc>
          <w:tcPr>
            <w:tcW w:w="760" w:type="dxa"/>
            <w:vMerge w:val="restart"/>
            <w:shd w:val="clear" w:color="auto" w:fill="2F005F"/>
            <w:vAlign w:val="center"/>
          </w:tcPr>
          <w:p w14:paraId="7CFA2CF6" w14:textId="1A106883" w:rsidR="003B32D9" w:rsidRPr="00B11180" w:rsidRDefault="003B32D9" w:rsidP="003B32D9">
            <w:pPr>
              <w:jc w:val="center"/>
              <w:rPr>
                <w:rFonts w:asciiTheme="minorHAnsi" w:hAnsiTheme="minorHAnsi" w:cstheme="minorHAnsi"/>
                <w:sz w:val="18"/>
                <w:szCs w:val="18"/>
              </w:rPr>
            </w:pPr>
            <w:r>
              <w:rPr>
                <w:rFonts w:asciiTheme="minorHAnsi" w:hAnsiTheme="minorHAnsi" w:cstheme="minorHAnsi"/>
                <w:sz w:val="18"/>
                <w:szCs w:val="18"/>
              </w:rPr>
              <w:t>Empl. (‘000) May 2034</w:t>
            </w:r>
          </w:p>
        </w:tc>
        <w:tc>
          <w:tcPr>
            <w:tcW w:w="760" w:type="dxa"/>
            <w:vMerge w:val="restart"/>
            <w:shd w:val="clear" w:color="auto" w:fill="2F005F"/>
            <w:vAlign w:val="center"/>
          </w:tcPr>
          <w:p w14:paraId="249BC617" w14:textId="631C8780" w:rsidR="003B32D9" w:rsidRPr="00B11180" w:rsidRDefault="003B32D9" w:rsidP="003B32D9">
            <w:pPr>
              <w:jc w:val="center"/>
              <w:rPr>
                <w:rFonts w:asciiTheme="minorHAnsi" w:hAnsiTheme="minorHAnsi" w:cstheme="minorHAnsi"/>
                <w:sz w:val="18"/>
                <w:szCs w:val="18"/>
              </w:rPr>
            </w:pPr>
            <w:r>
              <w:rPr>
                <w:rFonts w:asciiTheme="minorHAnsi" w:hAnsiTheme="minorHAnsi" w:cstheme="minorHAnsi"/>
                <w:sz w:val="18"/>
                <w:szCs w:val="18"/>
              </w:rPr>
              <w:t>Share of total empl.</w:t>
            </w:r>
          </w:p>
        </w:tc>
        <w:tc>
          <w:tcPr>
            <w:tcW w:w="1520" w:type="dxa"/>
            <w:gridSpan w:val="2"/>
            <w:shd w:val="clear" w:color="auto" w:fill="F2F2F2" w:themeFill="background1" w:themeFillShade="F2"/>
            <w:vAlign w:val="center"/>
          </w:tcPr>
          <w:p w14:paraId="52407ECE" w14:textId="2C5451DA" w:rsidR="003B32D9" w:rsidRPr="00B11180" w:rsidRDefault="003B32D9" w:rsidP="003B32D9">
            <w:pPr>
              <w:jc w:val="center"/>
              <w:rPr>
                <w:rFonts w:asciiTheme="minorHAnsi" w:hAnsiTheme="minorHAnsi" w:cstheme="minorHAnsi"/>
                <w:sz w:val="18"/>
                <w:szCs w:val="18"/>
              </w:rPr>
            </w:pPr>
            <w:r>
              <w:rPr>
                <w:rFonts w:asciiTheme="minorHAnsi" w:hAnsiTheme="minorHAnsi" w:cstheme="minorHAnsi"/>
                <w:sz w:val="18"/>
                <w:szCs w:val="18"/>
              </w:rPr>
              <w:t>Change</w:t>
            </w:r>
          </w:p>
        </w:tc>
      </w:tr>
      <w:tr w:rsidR="003B32D9" w:rsidRPr="006F1FD4" w14:paraId="47D02812" w14:textId="77777777" w:rsidTr="003B32D9">
        <w:trPr>
          <w:cnfStyle w:val="000000010000" w:firstRow="0" w:lastRow="0" w:firstColumn="0" w:lastColumn="0" w:oddVBand="0" w:evenVBand="0" w:oddHBand="0" w:evenHBand="1" w:firstRowFirstColumn="0" w:firstRowLastColumn="0" w:lastRowFirstColumn="0" w:lastRowLastColumn="0"/>
          <w:trHeight w:val="366"/>
        </w:trPr>
        <w:tc>
          <w:tcPr>
            <w:tcW w:w="1427" w:type="dxa"/>
            <w:vMerge/>
            <w:shd w:val="clear" w:color="auto" w:fill="2F005F"/>
            <w:vAlign w:val="center"/>
          </w:tcPr>
          <w:p w14:paraId="70A28CDC" w14:textId="77777777" w:rsidR="003B32D9" w:rsidRPr="00972F09" w:rsidRDefault="003B32D9" w:rsidP="003B32D9">
            <w:pPr>
              <w:jc w:val="center"/>
              <w:rPr>
                <w:rFonts w:asciiTheme="minorHAnsi" w:hAnsiTheme="minorHAnsi" w:cstheme="minorHAnsi"/>
                <w:sz w:val="18"/>
                <w:szCs w:val="18"/>
              </w:rPr>
            </w:pPr>
          </w:p>
        </w:tc>
        <w:tc>
          <w:tcPr>
            <w:tcW w:w="759" w:type="dxa"/>
            <w:vMerge/>
            <w:shd w:val="clear" w:color="auto" w:fill="2F005F"/>
            <w:vAlign w:val="center"/>
          </w:tcPr>
          <w:p w14:paraId="2702C4EA" w14:textId="44FF7610" w:rsidR="003B32D9" w:rsidRPr="00B11180" w:rsidRDefault="003B32D9" w:rsidP="003B32D9">
            <w:pPr>
              <w:jc w:val="center"/>
              <w:rPr>
                <w:rFonts w:asciiTheme="minorHAnsi" w:hAnsiTheme="minorHAnsi" w:cstheme="minorHAnsi"/>
                <w:sz w:val="18"/>
                <w:szCs w:val="18"/>
              </w:rPr>
            </w:pPr>
          </w:p>
        </w:tc>
        <w:tc>
          <w:tcPr>
            <w:tcW w:w="760" w:type="dxa"/>
            <w:vMerge/>
            <w:shd w:val="clear" w:color="auto" w:fill="2F005F"/>
            <w:vAlign w:val="center"/>
          </w:tcPr>
          <w:p w14:paraId="30491B8D" w14:textId="66C5C611" w:rsidR="003B32D9" w:rsidRPr="00B11180" w:rsidRDefault="003B32D9" w:rsidP="003B32D9">
            <w:pPr>
              <w:jc w:val="center"/>
              <w:rPr>
                <w:rFonts w:asciiTheme="minorHAnsi" w:hAnsiTheme="minorHAnsi" w:cstheme="minorHAnsi"/>
                <w:sz w:val="18"/>
                <w:szCs w:val="18"/>
              </w:rPr>
            </w:pPr>
          </w:p>
        </w:tc>
        <w:tc>
          <w:tcPr>
            <w:tcW w:w="760" w:type="dxa"/>
            <w:vMerge/>
            <w:shd w:val="clear" w:color="auto" w:fill="2F005F"/>
            <w:vAlign w:val="center"/>
          </w:tcPr>
          <w:p w14:paraId="7FB2C231" w14:textId="1E8C3745" w:rsidR="003B32D9" w:rsidRPr="00B11180" w:rsidRDefault="003B32D9" w:rsidP="003B32D9">
            <w:pPr>
              <w:jc w:val="center"/>
              <w:rPr>
                <w:rFonts w:asciiTheme="minorHAnsi" w:hAnsiTheme="minorHAnsi" w:cstheme="minorHAnsi"/>
                <w:sz w:val="18"/>
                <w:szCs w:val="18"/>
              </w:rPr>
            </w:pPr>
          </w:p>
        </w:tc>
        <w:tc>
          <w:tcPr>
            <w:tcW w:w="760" w:type="dxa"/>
            <w:vMerge/>
            <w:shd w:val="clear" w:color="auto" w:fill="2F005F"/>
            <w:vAlign w:val="center"/>
          </w:tcPr>
          <w:p w14:paraId="07D0C711" w14:textId="3593C8FC" w:rsidR="003B32D9" w:rsidRPr="00B11180" w:rsidRDefault="003B32D9" w:rsidP="003B32D9">
            <w:pPr>
              <w:jc w:val="center"/>
              <w:rPr>
                <w:rFonts w:asciiTheme="minorHAnsi" w:hAnsiTheme="minorHAnsi" w:cstheme="minorHAnsi"/>
                <w:sz w:val="18"/>
                <w:szCs w:val="18"/>
              </w:rPr>
            </w:pPr>
          </w:p>
        </w:tc>
        <w:tc>
          <w:tcPr>
            <w:tcW w:w="760" w:type="dxa"/>
            <w:shd w:val="clear" w:color="auto" w:fill="2F005F"/>
            <w:vAlign w:val="center"/>
          </w:tcPr>
          <w:p w14:paraId="6F7194FD" w14:textId="5B386F8B" w:rsidR="003B32D9" w:rsidRPr="00B11180" w:rsidRDefault="003B32D9" w:rsidP="003B32D9">
            <w:pPr>
              <w:jc w:val="center"/>
              <w:rPr>
                <w:rFonts w:asciiTheme="minorHAnsi" w:hAnsiTheme="minorHAnsi" w:cstheme="minorHAnsi"/>
                <w:sz w:val="18"/>
                <w:szCs w:val="18"/>
              </w:rPr>
            </w:pPr>
            <w:r>
              <w:rPr>
                <w:rFonts w:asciiTheme="minorHAnsi" w:hAnsiTheme="minorHAnsi" w:cstheme="minorHAnsi"/>
                <w:sz w:val="18"/>
                <w:szCs w:val="18"/>
              </w:rPr>
              <w:t>Level (‘000)</w:t>
            </w:r>
          </w:p>
        </w:tc>
        <w:tc>
          <w:tcPr>
            <w:tcW w:w="760" w:type="dxa"/>
            <w:shd w:val="clear" w:color="auto" w:fill="2F005F"/>
            <w:vAlign w:val="center"/>
          </w:tcPr>
          <w:p w14:paraId="736DA87D" w14:textId="1F1C0396" w:rsidR="003B32D9" w:rsidRPr="00B11180" w:rsidRDefault="003B32D9" w:rsidP="003B32D9">
            <w:pPr>
              <w:jc w:val="center"/>
              <w:rPr>
                <w:rFonts w:asciiTheme="minorHAnsi" w:hAnsiTheme="minorHAnsi" w:cstheme="minorHAnsi"/>
                <w:sz w:val="18"/>
                <w:szCs w:val="18"/>
              </w:rPr>
            </w:pPr>
            <w:r>
              <w:rPr>
                <w:rFonts w:asciiTheme="minorHAnsi" w:hAnsiTheme="minorHAnsi" w:cstheme="minorHAnsi"/>
                <w:sz w:val="18"/>
                <w:szCs w:val="18"/>
              </w:rPr>
              <w:t>%</w:t>
            </w:r>
          </w:p>
        </w:tc>
        <w:tc>
          <w:tcPr>
            <w:tcW w:w="760" w:type="dxa"/>
            <w:vMerge/>
            <w:shd w:val="clear" w:color="auto" w:fill="2F005F"/>
            <w:vAlign w:val="center"/>
          </w:tcPr>
          <w:p w14:paraId="50E5C9E8" w14:textId="2B78BC71" w:rsidR="003B32D9" w:rsidRPr="00B11180" w:rsidRDefault="003B32D9" w:rsidP="003B32D9">
            <w:pPr>
              <w:jc w:val="center"/>
              <w:rPr>
                <w:rFonts w:asciiTheme="minorHAnsi" w:hAnsiTheme="minorHAnsi" w:cstheme="minorHAnsi"/>
                <w:sz w:val="18"/>
                <w:szCs w:val="18"/>
              </w:rPr>
            </w:pPr>
          </w:p>
        </w:tc>
        <w:tc>
          <w:tcPr>
            <w:tcW w:w="760" w:type="dxa"/>
            <w:vMerge/>
            <w:shd w:val="clear" w:color="auto" w:fill="2F005F"/>
            <w:vAlign w:val="center"/>
          </w:tcPr>
          <w:p w14:paraId="1A7FA4EC" w14:textId="1F5D5DA1" w:rsidR="003B32D9" w:rsidRPr="00B11180" w:rsidRDefault="003B32D9" w:rsidP="003B32D9">
            <w:pPr>
              <w:jc w:val="center"/>
              <w:rPr>
                <w:rFonts w:asciiTheme="minorHAnsi" w:hAnsiTheme="minorHAnsi" w:cstheme="minorHAnsi"/>
                <w:sz w:val="18"/>
                <w:szCs w:val="18"/>
              </w:rPr>
            </w:pPr>
          </w:p>
        </w:tc>
        <w:tc>
          <w:tcPr>
            <w:tcW w:w="760" w:type="dxa"/>
            <w:shd w:val="clear" w:color="auto" w:fill="2F005F"/>
            <w:vAlign w:val="center"/>
          </w:tcPr>
          <w:p w14:paraId="2DE6AAD5" w14:textId="5797D85D" w:rsidR="003B32D9" w:rsidRPr="00B11180" w:rsidRDefault="003B32D9" w:rsidP="003B32D9">
            <w:pPr>
              <w:jc w:val="center"/>
              <w:rPr>
                <w:rFonts w:asciiTheme="minorHAnsi" w:hAnsiTheme="minorHAnsi" w:cstheme="minorHAnsi"/>
                <w:sz w:val="18"/>
                <w:szCs w:val="18"/>
              </w:rPr>
            </w:pPr>
            <w:r>
              <w:rPr>
                <w:rFonts w:asciiTheme="minorHAnsi" w:hAnsiTheme="minorHAnsi" w:cstheme="minorHAnsi"/>
                <w:sz w:val="18"/>
                <w:szCs w:val="18"/>
              </w:rPr>
              <w:t>Level (‘000)</w:t>
            </w:r>
          </w:p>
        </w:tc>
        <w:tc>
          <w:tcPr>
            <w:tcW w:w="760" w:type="dxa"/>
            <w:shd w:val="clear" w:color="auto" w:fill="2F005F"/>
            <w:vAlign w:val="center"/>
          </w:tcPr>
          <w:p w14:paraId="05347098" w14:textId="77543CFA" w:rsidR="003B32D9" w:rsidRPr="00B11180" w:rsidRDefault="003B32D9" w:rsidP="003B32D9">
            <w:pPr>
              <w:jc w:val="center"/>
              <w:rPr>
                <w:rFonts w:asciiTheme="minorHAnsi" w:hAnsiTheme="minorHAnsi" w:cstheme="minorHAnsi"/>
                <w:sz w:val="18"/>
                <w:szCs w:val="18"/>
              </w:rPr>
            </w:pPr>
            <w:r>
              <w:rPr>
                <w:rFonts w:asciiTheme="minorHAnsi" w:hAnsiTheme="minorHAnsi" w:cstheme="minorHAnsi"/>
                <w:sz w:val="18"/>
                <w:szCs w:val="18"/>
              </w:rPr>
              <w:t>%</w:t>
            </w:r>
          </w:p>
        </w:tc>
      </w:tr>
      <w:tr w:rsidR="003B32D9" w:rsidRPr="006F1FD4" w14:paraId="685E29B6" w14:textId="06912119" w:rsidTr="00972F09">
        <w:trPr>
          <w:trHeight w:val="366"/>
        </w:trPr>
        <w:tc>
          <w:tcPr>
            <w:tcW w:w="1427" w:type="dxa"/>
            <w:vAlign w:val="center"/>
          </w:tcPr>
          <w:p w14:paraId="729A53A8" w14:textId="5DC79014" w:rsidR="003B32D9" w:rsidRPr="00972F09" w:rsidRDefault="003B32D9" w:rsidP="003B32D9">
            <w:pPr>
              <w:rPr>
                <w:rFonts w:asciiTheme="minorHAnsi" w:hAnsiTheme="minorHAnsi" w:cstheme="minorHAnsi"/>
                <w:sz w:val="18"/>
                <w:szCs w:val="18"/>
              </w:rPr>
            </w:pPr>
            <w:r w:rsidRPr="00972F09">
              <w:rPr>
                <w:rFonts w:asciiTheme="minorHAnsi" w:hAnsiTheme="minorHAnsi" w:cstheme="minorHAnsi"/>
                <w:sz w:val="18"/>
                <w:szCs w:val="18"/>
              </w:rPr>
              <w:t>Financial and Insurance Services</w:t>
            </w:r>
          </w:p>
        </w:tc>
        <w:tc>
          <w:tcPr>
            <w:tcW w:w="759" w:type="dxa"/>
            <w:vAlign w:val="center"/>
          </w:tcPr>
          <w:p w14:paraId="25885390" w14:textId="4BEF285B"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529.9 </w:t>
            </w:r>
          </w:p>
        </w:tc>
        <w:tc>
          <w:tcPr>
            <w:tcW w:w="760" w:type="dxa"/>
            <w:vAlign w:val="center"/>
          </w:tcPr>
          <w:p w14:paraId="79FA74C7" w14:textId="30EC03C6"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3.7%</w:t>
            </w:r>
          </w:p>
        </w:tc>
        <w:tc>
          <w:tcPr>
            <w:tcW w:w="760" w:type="dxa"/>
            <w:vAlign w:val="center"/>
          </w:tcPr>
          <w:p w14:paraId="185F02B6" w14:textId="69599F2A"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571.0 </w:t>
            </w:r>
          </w:p>
        </w:tc>
        <w:tc>
          <w:tcPr>
            <w:tcW w:w="760" w:type="dxa"/>
            <w:vAlign w:val="center"/>
          </w:tcPr>
          <w:p w14:paraId="0FF7C2E2" w14:textId="2E3BFF1A"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3.7%</w:t>
            </w:r>
          </w:p>
        </w:tc>
        <w:tc>
          <w:tcPr>
            <w:tcW w:w="760" w:type="dxa"/>
            <w:vAlign w:val="center"/>
          </w:tcPr>
          <w:p w14:paraId="2EFC0582" w14:textId="4EB6510D"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41.2 </w:t>
            </w:r>
          </w:p>
        </w:tc>
        <w:tc>
          <w:tcPr>
            <w:tcW w:w="760" w:type="dxa"/>
            <w:vAlign w:val="center"/>
          </w:tcPr>
          <w:p w14:paraId="156C28EA" w14:textId="435039F0"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7.8%</w:t>
            </w:r>
          </w:p>
        </w:tc>
        <w:tc>
          <w:tcPr>
            <w:tcW w:w="760" w:type="dxa"/>
            <w:vAlign w:val="center"/>
          </w:tcPr>
          <w:p w14:paraId="716A66EE" w14:textId="77CB7A56"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608.0 </w:t>
            </w:r>
          </w:p>
        </w:tc>
        <w:tc>
          <w:tcPr>
            <w:tcW w:w="760" w:type="dxa"/>
            <w:vAlign w:val="center"/>
          </w:tcPr>
          <w:p w14:paraId="19FBB512" w14:textId="54212064"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3.7%</w:t>
            </w:r>
          </w:p>
        </w:tc>
        <w:tc>
          <w:tcPr>
            <w:tcW w:w="760" w:type="dxa"/>
            <w:vAlign w:val="center"/>
          </w:tcPr>
          <w:p w14:paraId="08AF70D6" w14:textId="15E46C94"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78.2 </w:t>
            </w:r>
          </w:p>
        </w:tc>
        <w:tc>
          <w:tcPr>
            <w:tcW w:w="760" w:type="dxa"/>
            <w:vAlign w:val="center"/>
          </w:tcPr>
          <w:p w14:paraId="4D88706C" w14:textId="772631D8"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14.7%</w:t>
            </w:r>
          </w:p>
        </w:tc>
      </w:tr>
      <w:tr w:rsidR="003B32D9" w:rsidRPr="006F1FD4" w14:paraId="5A0708C6" w14:textId="5F7F38B7" w:rsidTr="00972F09">
        <w:trPr>
          <w:cnfStyle w:val="000000010000" w:firstRow="0" w:lastRow="0" w:firstColumn="0" w:lastColumn="0" w:oddVBand="0" w:evenVBand="0" w:oddHBand="0" w:evenHBand="1" w:firstRowFirstColumn="0" w:firstRowLastColumn="0" w:lastRowFirstColumn="0" w:lastRowLastColumn="0"/>
          <w:trHeight w:val="366"/>
        </w:trPr>
        <w:tc>
          <w:tcPr>
            <w:tcW w:w="1427" w:type="dxa"/>
            <w:vAlign w:val="center"/>
          </w:tcPr>
          <w:p w14:paraId="7F731177" w14:textId="033E0891" w:rsidR="003B32D9" w:rsidRPr="00972F09" w:rsidRDefault="003B32D9" w:rsidP="003B32D9">
            <w:pPr>
              <w:rPr>
                <w:rFonts w:asciiTheme="minorHAnsi" w:hAnsiTheme="minorHAnsi" w:cstheme="minorHAnsi"/>
                <w:sz w:val="18"/>
                <w:szCs w:val="18"/>
              </w:rPr>
            </w:pPr>
            <w:r w:rsidRPr="00972F09">
              <w:rPr>
                <w:rFonts w:asciiTheme="minorHAnsi" w:hAnsiTheme="minorHAnsi" w:cstheme="minorHAnsi"/>
                <w:sz w:val="18"/>
                <w:szCs w:val="18"/>
              </w:rPr>
              <w:t>Rental, Hiring and Real Estate Services</w:t>
            </w:r>
          </w:p>
        </w:tc>
        <w:tc>
          <w:tcPr>
            <w:tcW w:w="759" w:type="dxa"/>
            <w:vAlign w:val="center"/>
          </w:tcPr>
          <w:p w14:paraId="7C720713" w14:textId="7DDB4570"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226.2 </w:t>
            </w:r>
          </w:p>
        </w:tc>
        <w:tc>
          <w:tcPr>
            <w:tcW w:w="760" w:type="dxa"/>
            <w:vAlign w:val="center"/>
          </w:tcPr>
          <w:p w14:paraId="3D86660E" w14:textId="6003E4AE"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1.6%</w:t>
            </w:r>
          </w:p>
        </w:tc>
        <w:tc>
          <w:tcPr>
            <w:tcW w:w="760" w:type="dxa"/>
            <w:vAlign w:val="center"/>
          </w:tcPr>
          <w:p w14:paraId="6805EE31" w14:textId="1068D5E2"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245.1 </w:t>
            </w:r>
          </w:p>
        </w:tc>
        <w:tc>
          <w:tcPr>
            <w:tcW w:w="760" w:type="dxa"/>
            <w:vAlign w:val="center"/>
          </w:tcPr>
          <w:p w14:paraId="468FB61A" w14:textId="20E1FD72"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1.6%</w:t>
            </w:r>
          </w:p>
        </w:tc>
        <w:tc>
          <w:tcPr>
            <w:tcW w:w="760" w:type="dxa"/>
            <w:vAlign w:val="center"/>
          </w:tcPr>
          <w:p w14:paraId="1249D74B" w14:textId="18C4B6B0"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18.9 </w:t>
            </w:r>
          </w:p>
        </w:tc>
        <w:tc>
          <w:tcPr>
            <w:tcW w:w="760" w:type="dxa"/>
            <w:vAlign w:val="center"/>
          </w:tcPr>
          <w:p w14:paraId="35D5158A" w14:textId="4DA14139"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8.4%</w:t>
            </w:r>
          </w:p>
        </w:tc>
        <w:tc>
          <w:tcPr>
            <w:tcW w:w="760" w:type="dxa"/>
            <w:vAlign w:val="center"/>
          </w:tcPr>
          <w:p w14:paraId="4AA818F0" w14:textId="3E5005E4"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260.8 </w:t>
            </w:r>
          </w:p>
        </w:tc>
        <w:tc>
          <w:tcPr>
            <w:tcW w:w="760" w:type="dxa"/>
            <w:vAlign w:val="center"/>
          </w:tcPr>
          <w:p w14:paraId="2DD185CE" w14:textId="1EFEE208"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1.6%</w:t>
            </w:r>
          </w:p>
        </w:tc>
        <w:tc>
          <w:tcPr>
            <w:tcW w:w="760" w:type="dxa"/>
            <w:vAlign w:val="center"/>
          </w:tcPr>
          <w:p w14:paraId="2EAFB1CD" w14:textId="33321D75"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34.6 </w:t>
            </w:r>
          </w:p>
        </w:tc>
        <w:tc>
          <w:tcPr>
            <w:tcW w:w="760" w:type="dxa"/>
            <w:vAlign w:val="center"/>
          </w:tcPr>
          <w:p w14:paraId="2544DFD7" w14:textId="24A0CF19"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15.3%</w:t>
            </w:r>
          </w:p>
        </w:tc>
      </w:tr>
      <w:tr w:rsidR="003B32D9" w:rsidRPr="006F1FD4" w14:paraId="0E519DED" w14:textId="45024995" w:rsidTr="00972F09">
        <w:trPr>
          <w:trHeight w:val="366"/>
        </w:trPr>
        <w:tc>
          <w:tcPr>
            <w:tcW w:w="1427" w:type="dxa"/>
            <w:vAlign w:val="center"/>
          </w:tcPr>
          <w:p w14:paraId="5AE88512" w14:textId="4EE35C30" w:rsidR="003B32D9" w:rsidRPr="00972F09" w:rsidRDefault="003B32D9" w:rsidP="003B32D9">
            <w:pPr>
              <w:rPr>
                <w:rFonts w:asciiTheme="minorHAnsi" w:hAnsiTheme="minorHAnsi" w:cstheme="minorHAnsi"/>
                <w:sz w:val="18"/>
                <w:szCs w:val="18"/>
              </w:rPr>
            </w:pPr>
            <w:r w:rsidRPr="00972F09">
              <w:rPr>
                <w:rFonts w:asciiTheme="minorHAnsi" w:hAnsiTheme="minorHAnsi" w:cstheme="minorHAnsi"/>
                <w:sz w:val="18"/>
                <w:szCs w:val="18"/>
              </w:rPr>
              <w:t>Professional, Scientific and Technical Services</w:t>
            </w:r>
          </w:p>
        </w:tc>
        <w:tc>
          <w:tcPr>
            <w:tcW w:w="759" w:type="dxa"/>
            <w:vAlign w:val="center"/>
          </w:tcPr>
          <w:p w14:paraId="2545E805" w14:textId="035477E1"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w:t>
            </w:r>
            <w:r w:rsidRPr="00B11180">
              <w:rPr>
                <w:rFonts w:asciiTheme="minorHAnsi" w:hAnsiTheme="minorHAnsi" w:cstheme="minorHAnsi"/>
                <w:sz w:val="16"/>
                <w:szCs w:val="16"/>
              </w:rPr>
              <w:t xml:space="preserve">1,324.6 </w:t>
            </w:r>
          </w:p>
        </w:tc>
        <w:tc>
          <w:tcPr>
            <w:tcW w:w="760" w:type="dxa"/>
            <w:vAlign w:val="center"/>
          </w:tcPr>
          <w:p w14:paraId="05E2D18D" w14:textId="5A87AF6E"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9.2%</w:t>
            </w:r>
          </w:p>
        </w:tc>
        <w:tc>
          <w:tcPr>
            <w:tcW w:w="760" w:type="dxa"/>
            <w:vAlign w:val="center"/>
          </w:tcPr>
          <w:p w14:paraId="698DB782" w14:textId="2261EDC0"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w:t>
            </w:r>
            <w:r w:rsidRPr="00B11180">
              <w:rPr>
                <w:rFonts w:asciiTheme="minorHAnsi" w:hAnsiTheme="minorHAnsi" w:cstheme="minorHAnsi"/>
                <w:sz w:val="16"/>
                <w:szCs w:val="16"/>
              </w:rPr>
              <w:t>1,469.1</w:t>
            </w:r>
            <w:r w:rsidRPr="00B11180">
              <w:rPr>
                <w:rFonts w:asciiTheme="minorHAnsi" w:hAnsiTheme="minorHAnsi" w:cstheme="minorHAnsi"/>
                <w:sz w:val="18"/>
                <w:szCs w:val="18"/>
              </w:rPr>
              <w:t xml:space="preserve"> </w:t>
            </w:r>
          </w:p>
        </w:tc>
        <w:tc>
          <w:tcPr>
            <w:tcW w:w="760" w:type="dxa"/>
            <w:vAlign w:val="center"/>
          </w:tcPr>
          <w:p w14:paraId="7CC5D349" w14:textId="21EAA09D"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9.6%</w:t>
            </w:r>
          </w:p>
        </w:tc>
        <w:tc>
          <w:tcPr>
            <w:tcW w:w="760" w:type="dxa"/>
            <w:vAlign w:val="center"/>
          </w:tcPr>
          <w:p w14:paraId="4C478849" w14:textId="412073E9"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144.5 </w:t>
            </w:r>
          </w:p>
        </w:tc>
        <w:tc>
          <w:tcPr>
            <w:tcW w:w="760" w:type="dxa"/>
            <w:vAlign w:val="center"/>
          </w:tcPr>
          <w:p w14:paraId="6F444098" w14:textId="150B996C"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10.9%</w:t>
            </w:r>
          </w:p>
        </w:tc>
        <w:tc>
          <w:tcPr>
            <w:tcW w:w="760" w:type="dxa"/>
            <w:vAlign w:val="center"/>
          </w:tcPr>
          <w:p w14:paraId="286EEC86" w14:textId="79098DA9"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w:t>
            </w:r>
            <w:r w:rsidRPr="00B11180">
              <w:rPr>
                <w:rFonts w:asciiTheme="minorHAnsi" w:hAnsiTheme="minorHAnsi" w:cstheme="minorHAnsi"/>
                <w:sz w:val="16"/>
                <w:szCs w:val="16"/>
              </w:rPr>
              <w:t xml:space="preserve">1,579.1 </w:t>
            </w:r>
          </w:p>
        </w:tc>
        <w:tc>
          <w:tcPr>
            <w:tcW w:w="760" w:type="dxa"/>
            <w:vAlign w:val="center"/>
          </w:tcPr>
          <w:p w14:paraId="42749A56" w14:textId="7E8C8CE5"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9.7%</w:t>
            </w:r>
          </w:p>
        </w:tc>
        <w:tc>
          <w:tcPr>
            <w:tcW w:w="760" w:type="dxa"/>
            <w:vAlign w:val="center"/>
          </w:tcPr>
          <w:p w14:paraId="03CDB299" w14:textId="71061ACF"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254.6 </w:t>
            </w:r>
          </w:p>
        </w:tc>
        <w:tc>
          <w:tcPr>
            <w:tcW w:w="760" w:type="dxa"/>
            <w:vAlign w:val="center"/>
          </w:tcPr>
          <w:p w14:paraId="0549466B" w14:textId="123F6D84"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19.2%</w:t>
            </w:r>
          </w:p>
        </w:tc>
      </w:tr>
      <w:tr w:rsidR="003B32D9" w:rsidRPr="006F1FD4" w14:paraId="2BE42ADC" w14:textId="7820FE52" w:rsidTr="00972F09">
        <w:trPr>
          <w:cnfStyle w:val="000000010000" w:firstRow="0" w:lastRow="0" w:firstColumn="0" w:lastColumn="0" w:oddVBand="0" w:evenVBand="0" w:oddHBand="0" w:evenHBand="1" w:firstRowFirstColumn="0" w:firstRowLastColumn="0" w:lastRowFirstColumn="0" w:lastRowLastColumn="0"/>
          <w:trHeight w:val="366"/>
        </w:trPr>
        <w:tc>
          <w:tcPr>
            <w:tcW w:w="1427" w:type="dxa"/>
            <w:vAlign w:val="center"/>
          </w:tcPr>
          <w:p w14:paraId="6C2447EA" w14:textId="415D9E0C" w:rsidR="003B32D9" w:rsidRPr="00972F09" w:rsidRDefault="003B32D9" w:rsidP="003B32D9">
            <w:pPr>
              <w:rPr>
                <w:rFonts w:asciiTheme="minorHAnsi" w:hAnsiTheme="minorHAnsi" w:cstheme="minorHAnsi"/>
                <w:sz w:val="18"/>
                <w:szCs w:val="18"/>
              </w:rPr>
            </w:pPr>
            <w:r w:rsidRPr="00972F09">
              <w:rPr>
                <w:rFonts w:asciiTheme="minorHAnsi" w:hAnsiTheme="minorHAnsi" w:cstheme="minorHAnsi"/>
                <w:sz w:val="18"/>
                <w:szCs w:val="18"/>
              </w:rPr>
              <w:t>Administrative and Support Services</w:t>
            </w:r>
          </w:p>
        </w:tc>
        <w:tc>
          <w:tcPr>
            <w:tcW w:w="759" w:type="dxa"/>
            <w:vAlign w:val="center"/>
          </w:tcPr>
          <w:p w14:paraId="46E7CC66" w14:textId="3F8517BD"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437.6 </w:t>
            </w:r>
          </w:p>
        </w:tc>
        <w:tc>
          <w:tcPr>
            <w:tcW w:w="760" w:type="dxa"/>
            <w:vAlign w:val="center"/>
          </w:tcPr>
          <w:p w14:paraId="45995094" w14:textId="6FEC7E48"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3.0%</w:t>
            </w:r>
          </w:p>
        </w:tc>
        <w:tc>
          <w:tcPr>
            <w:tcW w:w="760" w:type="dxa"/>
            <w:vAlign w:val="center"/>
          </w:tcPr>
          <w:p w14:paraId="25B50A58" w14:textId="5EB57B14"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452.5 </w:t>
            </w:r>
          </w:p>
        </w:tc>
        <w:tc>
          <w:tcPr>
            <w:tcW w:w="760" w:type="dxa"/>
            <w:vAlign w:val="center"/>
          </w:tcPr>
          <w:p w14:paraId="2D5A9DDF" w14:textId="733F8FE5"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3.0%</w:t>
            </w:r>
          </w:p>
        </w:tc>
        <w:tc>
          <w:tcPr>
            <w:tcW w:w="760" w:type="dxa"/>
            <w:vAlign w:val="center"/>
          </w:tcPr>
          <w:p w14:paraId="08674DEE" w14:textId="68803807"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14.9 </w:t>
            </w:r>
          </w:p>
        </w:tc>
        <w:tc>
          <w:tcPr>
            <w:tcW w:w="760" w:type="dxa"/>
            <w:vAlign w:val="center"/>
          </w:tcPr>
          <w:p w14:paraId="7E2555BC" w14:textId="19F25DDB"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3.4%</w:t>
            </w:r>
          </w:p>
        </w:tc>
        <w:tc>
          <w:tcPr>
            <w:tcW w:w="760" w:type="dxa"/>
            <w:vAlign w:val="center"/>
          </w:tcPr>
          <w:p w14:paraId="795708ED" w14:textId="020750F6"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474.4 </w:t>
            </w:r>
          </w:p>
        </w:tc>
        <w:tc>
          <w:tcPr>
            <w:tcW w:w="760" w:type="dxa"/>
            <w:vAlign w:val="center"/>
          </w:tcPr>
          <w:p w14:paraId="1AFE6137" w14:textId="6DB99BE5"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2.9%</w:t>
            </w:r>
          </w:p>
        </w:tc>
        <w:tc>
          <w:tcPr>
            <w:tcW w:w="760" w:type="dxa"/>
            <w:vAlign w:val="center"/>
          </w:tcPr>
          <w:p w14:paraId="24C97611" w14:textId="049E98AF"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36.8 </w:t>
            </w:r>
          </w:p>
        </w:tc>
        <w:tc>
          <w:tcPr>
            <w:tcW w:w="760" w:type="dxa"/>
            <w:vAlign w:val="center"/>
          </w:tcPr>
          <w:p w14:paraId="5FC341C4" w14:textId="535418C3"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8.4%</w:t>
            </w:r>
          </w:p>
        </w:tc>
      </w:tr>
      <w:tr w:rsidR="003B32D9" w:rsidRPr="006F1FD4" w14:paraId="1F3A6475" w14:textId="1E7B4999" w:rsidTr="00972F09">
        <w:trPr>
          <w:trHeight w:val="366"/>
        </w:trPr>
        <w:tc>
          <w:tcPr>
            <w:tcW w:w="1427" w:type="dxa"/>
            <w:vAlign w:val="center"/>
          </w:tcPr>
          <w:p w14:paraId="6B4D1662" w14:textId="22D76704" w:rsidR="003B32D9" w:rsidRPr="00972F09" w:rsidRDefault="003B32D9" w:rsidP="003B32D9">
            <w:pPr>
              <w:rPr>
                <w:rFonts w:asciiTheme="minorHAnsi" w:hAnsiTheme="minorHAnsi" w:cstheme="minorHAnsi"/>
                <w:sz w:val="18"/>
                <w:szCs w:val="18"/>
              </w:rPr>
            </w:pPr>
            <w:r w:rsidRPr="00972F09">
              <w:rPr>
                <w:rFonts w:asciiTheme="minorHAnsi" w:hAnsiTheme="minorHAnsi" w:cstheme="minorHAnsi"/>
                <w:sz w:val="18"/>
                <w:szCs w:val="18"/>
              </w:rPr>
              <w:t>Public Administration and Safety</w:t>
            </w:r>
          </w:p>
        </w:tc>
        <w:tc>
          <w:tcPr>
            <w:tcW w:w="759" w:type="dxa"/>
            <w:vAlign w:val="center"/>
          </w:tcPr>
          <w:p w14:paraId="07608CFD" w14:textId="3C97BB9A"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941.8 </w:t>
            </w:r>
          </w:p>
        </w:tc>
        <w:tc>
          <w:tcPr>
            <w:tcW w:w="760" w:type="dxa"/>
            <w:vAlign w:val="center"/>
          </w:tcPr>
          <w:p w14:paraId="1E0D823B" w14:textId="2404D0CC"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6.6%</w:t>
            </w:r>
          </w:p>
        </w:tc>
        <w:tc>
          <w:tcPr>
            <w:tcW w:w="760" w:type="dxa"/>
            <w:vAlign w:val="center"/>
          </w:tcPr>
          <w:p w14:paraId="0749CD61" w14:textId="67CAF162"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983.0 </w:t>
            </w:r>
          </w:p>
        </w:tc>
        <w:tc>
          <w:tcPr>
            <w:tcW w:w="760" w:type="dxa"/>
            <w:vAlign w:val="center"/>
          </w:tcPr>
          <w:p w14:paraId="3558C1B4" w14:textId="6F9B1D2E"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6.4%</w:t>
            </w:r>
          </w:p>
        </w:tc>
        <w:tc>
          <w:tcPr>
            <w:tcW w:w="760" w:type="dxa"/>
            <w:vAlign w:val="center"/>
          </w:tcPr>
          <w:p w14:paraId="290BEA76" w14:textId="2CBB7316"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41.2 </w:t>
            </w:r>
          </w:p>
        </w:tc>
        <w:tc>
          <w:tcPr>
            <w:tcW w:w="760" w:type="dxa"/>
            <w:vAlign w:val="center"/>
          </w:tcPr>
          <w:p w14:paraId="492E8310" w14:textId="2E3AD2C2"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4.4%</w:t>
            </w:r>
          </w:p>
        </w:tc>
        <w:tc>
          <w:tcPr>
            <w:tcW w:w="760" w:type="dxa"/>
            <w:vAlign w:val="center"/>
          </w:tcPr>
          <w:p w14:paraId="1866E09F" w14:textId="21B4260F" w:rsidR="003B32D9" w:rsidRPr="00B11180" w:rsidRDefault="003B32D9" w:rsidP="003B32D9">
            <w:pPr>
              <w:jc w:val="center"/>
              <w:rPr>
                <w:rFonts w:asciiTheme="minorHAnsi" w:hAnsiTheme="minorHAnsi" w:cstheme="minorHAnsi"/>
                <w:sz w:val="16"/>
                <w:szCs w:val="16"/>
              </w:rPr>
            </w:pPr>
            <w:r w:rsidRPr="00B11180">
              <w:rPr>
                <w:rFonts w:asciiTheme="minorHAnsi" w:hAnsiTheme="minorHAnsi" w:cstheme="minorHAnsi"/>
                <w:sz w:val="16"/>
                <w:szCs w:val="16"/>
              </w:rPr>
              <w:t xml:space="preserve"> 1,034.1 </w:t>
            </w:r>
          </w:p>
        </w:tc>
        <w:tc>
          <w:tcPr>
            <w:tcW w:w="760" w:type="dxa"/>
            <w:vAlign w:val="center"/>
          </w:tcPr>
          <w:p w14:paraId="3DC3E524" w14:textId="1724CF2A"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6.3%</w:t>
            </w:r>
          </w:p>
        </w:tc>
        <w:tc>
          <w:tcPr>
            <w:tcW w:w="760" w:type="dxa"/>
            <w:vAlign w:val="center"/>
          </w:tcPr>
          <w:p w14:paraId="7AC334E4" w14:textId="7A2C3D32"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92.3 </w:t>
            </w:r>
          </w:p>
        </w:tc>
        <w:tc>
          <w:tcPr>
            <w:tcW w:w="760" w:type="dxa"/>
            <w:vAlign w:val="center"/>
          </w:tcPr>
          <w:p w14:paraId="2DD10584" w14:textId="0E34972F"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9.8%</w:t>
            </w:r>
          </w:p>
        </w:tc>
      </w:tr>
      <w:tr w:rsidR="003B32D9" w:rsidRPr="006F1FD4" w14:paraId="26AF1149" w14:textId="2FBCFD02" w:rsidTr="00972F09">
        <w:trPr>
          <w:cnfStyle w:val="000000010000" w:firstRow="0" w:lastRow="0" w:firstColumn="0" w:lastColumn="0" w:oddVBand="0" w:evenVBand="0" w:oddHBand="0" w:evenHBand="1" w:firstRowFirstColumn="0" w:firstRowLastColumn="0" w:lastRowFirstColumn="0" w:lastRowLastColumn="0"/>
          <w:trHeight w:val="366"/>
        </w:trPr>
        <w:tc>
          <w:tcPr>
            <w:tcW w:w="1427" w:type="dxa"/>
            <w:vAlign w:val="center"/>
          </w:tcPr>
          <w:p w14:paraId="1E2C8FD5" w14:textId="0677E32B" w:rsidR="003B32D9" w:rsidRPr="00972F09" w:rsidRDefault="003B32D9" w:rsidP="003B32D9">
            <w:pPr>
              <w:rPr>
                <w:rFonts w:asciiTheme="minorHAnsi" w:hAnsiTheme="minorHAnsi" w:cstheme="minorHAnsi"/>
                <w:sz w:val="18"/>
                <w:szCs w:val="18"/>
              </w:rPr>
            </w:pPr>
            <w:r w:rsidRPr="00972F09">
              <w:rPr>
                <w:rFonts w:asciiTheme="minorHAnsi" w:hAnsiTheme="minorHAnsi" w:cstheme="minorHAnsi"/>
                <w:sz w:val="18"/>
                <w:szCs w:val="18"/>
              </w:rPr>
              <w:t>Education and Training</w:t>
            </w:r>
          </w:p>
        </w:tc>
        <w:tc>
          <w:tcPr>
            <w:tcW w:w="759" w:type="dxa"/>
            <w:vAlign w:val="center"/>
          </w:tcPr>
          <w:p w14:paraId="2E96A21E" w14:textId="4052AE88" w:rsidR="003B32D9" w:rsidRPr="00F367DE" w:rsidRDefault="003B32D9" w:rsidP="003B32D9">
            <w:pPr>
              <w:jc w:val="center"/>
              <w:rPr>
                <w:rFonts w:asciiTheme="minorHAnsi" w:hAnsiTheme="minorHAnsi" w:cstheme="minorHAnsi"/>
                <w:sz w:val="16"/>
                <w:szCs w:val="16"/>
              </w:rPr>
            </w:pPr>
            <w:r w:rsidRPr="00F367DE">
              <w:rPr>
                <w:rFonts w:asciiTheme="minorHAnsi" w:hAnsiTheme="minorHAnsi" w:cstheme="minorHAnsi"/>
                <w:sz w:val="16"/>
                <w:szCs w:val="16"/>
              </w:rPr>
              <w:t xml:space="preserve"> 1,210.2 </w:t>
            </w:r>
          </w:p>
        </w:tc>
        <w:tc>
          <w:tcPr>
            <w:tcW w:w="760" w:type="dxa"/>
            <w:vAlign w:val="center"/>
          </w:tcPr>
          <w:p w14:paraId="63D6142A" w14:textId="3EFE5CF1"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8.4%</w:t>
            </w:r>
          </w:p>
        </w:tc>
        <w:tc>
          <w:tcPr>
            <w:tcW w:w="760" w:type="dxa"/>
            <w:vAlign w:val="center"/>
          </w:tcPr>
          <w:p w14:paraId="26D08319" w14:textId="3F40529B"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w:t>
            </w:r>
            <w:r w:rsidRPr="00F367DE">
              <w:rPr>
                <w:rFonts w:asciiTheme="minorHAnsi" w:hAnsiTheme="minorHAnsi" w:cstheme="minorHAnsi"/>
                <w:sz w:val="16"/>
                <w:szCs w:val="16"/>
              </w:rPr>
              <w:t xml:space="preserve">1,281.8 </w:t>
            </w:r>
          </w:p>
        </w:tc>
        <w:tc>
          <w:tcPr>
            <w:tcW w:w="760" w:type="dxa"/>
            <w:vAlign w:val="center"/>
          </w:tcPr>
          <w:p w14:paraId="284228E1" w14:textId="21ADE1F9"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8.4%</w:t>
            </w:r>
          </w:p>
        </w:tc>
        <w:tc>
          <w:tcPr>
            <w:tcW w:w="760" w:type="dxa"/>
            <w:vAlign w:val="center"/>
          </w:tcPr>
          <w:p w14:paraId="0D270E91" w14:textId="26C2C2E2"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71.5 </w:t>
            </w:r>
          </w:p>
        </w:tc>
        <w:tc>
          <w:tcPr>
            <w:tcW w:w="760" w:type="dxa"/>
            <w:vAlign w:val="center"/>
          </w:tcPr>
          <w:p w14:paraId="2E668773" w14:textId="18BB1F23"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5.9%</w:t>
            </w:r>
          </w:p>
        </w:tc>
        <w:tc>
          <w:tcPr>
            <w:tcW w:w="760" w:type="dxa"/>
            <w:vAlign w:val="center"/>
          </w:tcPr>
          <w:p w14:paraId="2E671827" w14:textId="5DA63CAF" w:rsidR="003B32D9" w:rsidRPr="00B11180" w:rsidRDefault="003B32D9" w:rsidP="003B32D9">
            <w:pPr>
              <w:jc w:val="center"/>
              <w:rPr>
                <w:rFonts w:asciiTheme="minorHAnsi" w:hAnsiTheme="minorHAnsi" w:cstheme="minorHAnsi"/>
                <w:sz w:val="16"/>
                <w:szCs w:val="16"/>
              </w:rPr>
            </w:pPr>
            <w:r w:rsidRPr="00B11180">
              <w:rPr>
                <w:rFonts w:asciiTheme="minorHAnsi" w:hAnsiTheme="minorHAnsi" w:cstheme="minorHAnsi"/>
                <w:sz w:val="16"/>
                <w:szCs w:val="16"/>
              </w:rPr>
              <w:t xml:space="preserve"> 1,360.3 </w:t>
            </w:r>
          </w:p>
        </w:tc>
        <w:tc>
          <w:tcPr>
            <w:tcW w:w="760" w:type="dxa"/>
            <w:vAlign w:val="center"/>
          </w:tcPr>
          <w:p w14:paraId="44164DAF" w14:textId="4D72DD8A"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8.3%</w:t>
            </w:r>
          </w:p>
        </w:tc>
        <w:tc>
          <w:tcPr>
            <w:tcW w:w="760" w:type="dxa"/>
            <w:vAlign w:val="center"/>
          </w:tcPr>
          <w:p w14:paraId="0042F45F" w14:textId="4AA9DA6A"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150.1 </w:t>
            </w:r>
          </w:p>
        </w:tc>
        <w:tc>
          <w:tcPr>
            <w:tcW w:w="760" w:type="dxa"/>
            <w:vAlign w:val="center"/>
          </w:tcPr>
          <w:p w14:paraId="23A58E4C" w14:textId="712CE1D5"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12.4%</w:t>
            </w:r>
          </w:p>
        </w:tc>
      </w:tr>
      <w:tr w:rsidR="003B32D9" w:rsidRPr="006F1FD4" w14:paraId="02CA3A1F" w14:textId="410DDF4D" w:rsidTr="00972F09">
        <w:trPr>
          <w:trHeight w:val="366"/>
        </w:trPr>
        <w:tc>
          <w:tcPr>
            <w:tcW w:w="1427" w:type="dxa"/>
            <w:vAlign w:val="center"/>
          </w:tcPr>
          <w:p w14:paraId="2536E7C7" w14:textId="7F8B5215" w:rsidR="003B32D9" w:rsidRPr="00972F09" w:rsidRDefault="003B32D9" w:rsidP="003B32D9">
            <w:pPr>
              <w:rPr>
                <w:rFonts w:asciiTheme="minorHAnsi" w:hAnsiTheme="minorHAnsi" w:cstheme="minorHAnsi"/>
                <w:sz w:val="18"/>
                <w:szCs w:val="18"/>
              </w:rPr>
            </w:pPr>
            <w:r w:rsidRPr="00972F09">
              <w:rPr>
                <w:rFonts w:asciiTheme="minorHAnsi" w:hAnsiTheme="minorHAnsi" w:cstheme="minorHAnsi"/>
                <w:sz w:val="18"/>
                <w:szCs w:val="18"/>
              </w:rPr>
              <w:t>Healthcare and Social Assistance</w:t>
            </w:r>
          </w:p>
        </w:tc>
        <w:tc>
          <w:tcPr>
            <w:tcW w:w="759" w:type="dxa"/>
            <w:vAlign w:val="center"/>
          </w:tcPr>
          <w:p w14:paraId="466670FE" w14:textId="1ED8F959" w:rsidR="003B32D9" w:rsidRPr="00F367DE" w:rsidRDefault="003B32D9" w:rsidP="003B32D9">
            <w:pPr>
              <w:jc w:val="center"/>
              <w:rPr>
                <w:rFonts w:asciiTheme="minorHAnsi" w:hAnsiTheme="minorHAnsi" w:cstheme="minorHAnsi"/>
                <w:sz w:val="16"/>
                <w:szCs w:val="16"/>
              </w:rPr>
            </w:pPr>
            <w:r w:rsidRPr="00F367DE">
              <w:rPr>
                <w:rFonts w:asciiTheme="minorHAnsi" w:hAnsiTheme="minorHAnsi" w:cstheme="minorHAnsi"/>
                <w:sz w:val="16"/>
                <w:szCs w:val="16"/>
              </w:rPr>
              <w:t xml:space="preserve"> 2,260.4 </w:t>
            </w:r>
          </w:p>
        </w:tc>
        <w:tc>
          <w:tcPr>
            <w:tcW w:w="760" w:type="dxa"/>
            <w:vAlign w:val="center"/>
          </w:tcPr>
          <w:p w14:paraId="6309A6D9" w14:textId="04E29FC8"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15.7%</w:t>
            </w:r>
          </w:p>
        </w:tc>
        <w:tc>
          <w:tcPr>
            <w:tcW w:w="760" w:type="dxa"/>
            <w:vAlign w:val="center"/>
          </w:tcPr>
          <w:p w14:paraId="0452C63A" w14:textId="051863F9"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w:t>
            </w:r>
            <w:r w:rsidRPr="00F367DE">
              <w:rPr>
                <w:rFonts w:asciiTheme="minorHAnsi" w:hAnsiTheme="minorHAnsi" w:cstheme="minorHAnsi"/>
                <w:sz w:val="16"/>
                <w:szCs w:val="16"/>
              </w:rPr>
              <w:t xml:space="preserve">2,543.5 </w:t>
            </w:r>
          </w:p>
        </w:tc>
        <w:tc>
          <w:tcPr>
            <w:tcW w:w="760" w:type="dxa"/>
            <w:vAlign w:val="center"/>
          </w:tcPr>
          <w:p w14:paraId="768B480E" w14:textId="13BFF04C"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16.6%</w:t>
            </w:r>
          </w:p>
        </w:tc>
        <w:tc>
          <w:tcPr>
            <w:tcW w:w="760" w:type="dxa"/>
            <w:vAlign w:val="center"/>
          </w:tcPr>
          <w:p w14:paraId="585828A3" w14:textId="457246DC"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283.1 </w:t>
            </w:r>
          </w:p>
        </w:tc>
        <w:tc>
          <w:tcPr>
            <w:tcW w:w="760" w:type="dxa"/>
            <w:vAlign w:val="center"/>
          </w:tcPr>
          <w:p w14:paraId="491BD041" w14:textId="4C15490D"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12.5%</w:t>
            </w:r>
          </w:p>
        </w:tc>
        <w:tc>
          <w:tcPr>
            <w:tcW w:w="760" w:type="dxa"/>
            <w:vAlign w:val="center"/>
          </w:tcPr>
          <w:p w14:paraId="4B111BB0" w14:textId="67A05D79" w:rsidR="003B32D9" w:rsidRPr="00B11180" w:rsidRDefault="003B32D9" w:rsidP="003B32D9">
            <w:pPr>
              <w:jc w:val="center"/>
              <w:rPr>
                <w:rFonts w:asciiTheme="minorHAnsi" w:hAnsiTheme="minorHAnsi" w:cstheme="minorHAnsi"/>
                <w:sz w:val="16"/>
                <w:szCs w:val="16"/>
              </w:rPr>
            </w:pPr>
            <w:r w:rsidRPr="00B11180">
              <w:rPr>
                <w:rFonts w:asciiTheme="minorHAnsi" w:hAnsiTheme="minorHAnsi" w:cstheme="minorHAnsi"/>
                <w:sz w:val="16"/>
                <w:szCs w:val="16"/>
              </w:rPr>
              <w:t xml:space="preserve"> 2,845.3 </w:t>
            </w:r>
          </w:p>
        </w:tc>
        <w:tc>
          <w:tcPr>
            <w:tcW w:w="760" w:type="dxa"/>
            <w:vAlign w:val="center"/>
          </w:tcPr>
          <w:p w14:paraId="6A60131D" w14:textId="0E2EDE6D"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17.4%</w:t>
            </w:r>
          </w:p>
        </w:tc>
        <w:tc>
          <w:tcPr>
            <w:tcW w:w="760" w:type="dxa"/>
            <w:vAlign w:val="center"/>
          </w:tcPr>
          <w:p w14:paraId="4C3C6636" w14:textId="3717AB8D"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585.0 </w:t>
            </w:r>
          </w:p>
        </w:tc>
        <w:tc>
          <w:tcPr>
            <w:tcW w:w="760" w:type="dxa"/>
            <w:vAlign w:val="center"/>
          </w:tcPr>
          <w:p w14:paraId="442A0C45" w14:textId="221D23A8"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25.9%</w:t>
            </w:r>
          </w:p>
        </w:tc>
      </w:tr>
      <w:tr w:rsidR="003B32D9" w:rsidRPr="006F1FD4" w14:paraId="77112249" w14:textId="37FB338F" w:rsidTr="00972F09">
        <w:trPr>
          <w:cnfStyle w:val="000000010000" w:firstRow="0" w:lastRow="0" w:firstColumn="0" w:lastColumn="0" w:oddVBand="0" w:evenVBand="0" w:oddHBand="0" w:evenHBand="1" w:firstRowFirstColumn="0" w:firstRowLastColumn="0" w:lastRowFirstColumn="0" w:lastRowLastColumn="0"/>
          <w:trHeight w:val="366"/>
        </w:trPr>
        <w:tc>
          <w:tcPr>
            <w:tcW w:w="1427" w:type="dxa"/>
            <w:vAlign w:val="center"/>
          </w:tcPr>
          <w:p w14:paraId="23247109" w14:textId="0010C572" w:rsidR="003B32D9" w:rsidRPr="00972F09" w:rsidRDefault="003B32D9" w:rsidP="003B32D9">
            <w:pPr>
              <w:rPr>
                <w:rFonts w:asciiTheme="minorHAnsi" w:hAnsiTheme="minorHAnsi" w:cstheme="minorHAnsi"/>
                <w:sz w:val="18"/>
                <w:szCs w:val="18"/>
              </w:rPr>
            </w:pPr>
            <w:r w:rsidRPr="00972F09">
              <w:rPr>
                <w:rFonts w:asciiTheme="minorHAnsi" w:hAnsiTheme="minorHAnsi" w:cstheme="minorHAnsi"/>
                <w:sz w:val="18"/>
                <w:szCs w:val="18"/>
              </w:rPr>
              <w:t>Arts and Recreation Services</w:t>
            </w:r>
          </w:p>
        </w:tc>
        <w:tc>
          <w:tcPr>
            <w:tcW w:w="759" w:type="dxa"/>
            <w:vAlign w:val="center"/>
          </w:tcPr>
          <w:p w14:paraId="48111B79" w14:textId="1E7357DE"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270.5 </w:t>
            </w:r>
          </w:p>
        </w:tc>
        <w:tc>
          <w:tcPr>
            <w:tcW w:w="760" w:type="dxa"/>
            <w:vAlign w:val="center"/>
          </w:tcPr>
          <w:p w14:paraId="5357BA16" w14:textId="49FEB4FE"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1.9%</w:t>
            </w:r>
          </w:p>
        </w:tc>
        <w:tc>
          <w:tcPr>
            <w:tcW w:w="760" w:type="dxa"/>
            <w:vAlign w:val="center"/>
          </w:tcPr>
          <w:p w14:paraId="678AC29E" w14:textId="4B72577A"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284.6 </w:t>
            </w:r>
          </w:p>
        </w:tc>
        <w:tc>
          <w:tcPr>
            <w:tcW w:w="760" w:type="dxa"/>
            <w:vAlign w:val="center"/>
          </w:tcPr>
          <w:p w14:paraId="5159256D" w14:textId="7C92D00A"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1.9%</w:t>
            </w:r>
          </w:p>
        </w:tc>
        <w:tc>
          <w:tcPr>
            <w:tcW w:w="760" w:type="dxa"/>
            <w:vAlign w:val="center"/>
          </w:tcPr>
          <w:p w14:paraId="63FDB45E" w14:textId="2743FEFA"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14.1 </w:t>
            </w:r>
          </w:p>
        </w:tc>
        <w:tc>
          <w:tcPr>
            <w:tcW w:w="760" w:type="dxa"/>
            <w:vAlign w:val="center"/>
          </w:tcPr>
          <w:p w14:paraId="16FD57F6" w14:textId="769993A9"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5.2%</w:t>
            </w:r>
          </w:p>
        </w:tc>
        <w:tc>
          <w:tcPr>
            <w:tcW w:w="760" w:type="dxa"/>
            <w:vAlign w:val="center"/>
          </w:tcPr>
          <w:p w14:paraId="10243BBB" w14:textId="7CC2A83C"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300.7 </w:t>
            </w:r>
          </w:p>
        </w:tc>
        <w:tc>
          <w:tcPr>
            <w:tcW w:w="760" w:type="dxa"/>
            <w:vAlign w:val="center"/>
          </w:tcPr>
          <w:p w14:paraId="591433B9" w14:textId="52BD1116"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1.8%</w:t>
            </w:r>
          </w:p>
        </w:tc>
        <w:tc>
          <w:tcPr>
            <w:tcW w:w="760" w:type="dxa"/>
            <w:vAlign w:val="center"/>
          </w:tcPr>
          <w:p w14:paraId="3AF5CC51" w14:textId="3A456C9B"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30.2 </w:t>
            </w:r>
          </w:p>
        </w:tc>
        <w:tc>
          <w:tcPr>
            <w:tcW w:w="760" w:type="dxa"/>
            <w:vAlign w:val="center"/>
          </w:tcPr>
          <w:p w14:paraId="02AC1154" w14:textId="14645A91"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11.2%</w:t>
            </w:r>
          </w:p>
        </w:tc>
      </w:tr>
      <w:tr w:rsidR="003B32D9" w:rsidRPr="006F1FD4" w14:paraId="16C13705" w14:textId="7CB9BB6F" w:rsidTr="00972F09">
        <w:trPr>
          <w:trHeight w:val="366"/>
        </w:trPr>
        <w:tc>
          <w:tcPr>
            <w:tcW w:w="1427" w:type="dxa"/>
            <w:vAlign w:val="center"/>
          </w:tcPr>
          <w:p w14:paraId="675D41CE" w14:textId="52590783" w:rsidR="003B32D9" w:rsidRPr="00972F09" w:rsidRDefault="003B32D9" w:rsidP="003B32D9">
            <w:pPr>
              <w:rPr>
                <w:rFonts w:asciiTheme="minorHAnsi" w:hAnsiTheme="minorHAnsi" w:cstheme="minorHAnsi"/>
                <w:sz w:val="18"/>
                <w:szCs w:val="18"/>
              </w:rPr>
            </w:pPr>
            <w:r w:rsidRPr="00972F09">
              <w:rPr>
                <w:rFonts w:asciiTheme="minorHAnsi" w:hAnsiTheme="minorHAnsi" w:cstheme="minorHAnsi"/>
                <w:sz w:val="18"/>
                <w:szCs w:val="18"/>
              </w:rPr>
              <w:t>Other Services</w:t>
            </w:r>
          </w:p>
        </w:tc>
        <w:tc>
          <w:tcPr>
            <w:tcW w:w="759" w:type="dxa"/>
            <w:vAlign w:val="center"/>
          </w:tcPr>
          <w:p w14:paraId="7FB25C44" w14:textId="3C820887"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525.5 </w:t>
            </w:r>
          </w:p>
        </w:tc>
        <w:tc>
          <w:tcPr>
            <w:tcW w:w="760" w:type="dxa"/>
            <w:vAlign w:val="center"/>
          </w:tcPr>
          <w:p w14:paraId="788A9423" w14:textId="638DF803"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3.7%</w:t>
            </w:r>
          </w:p>
        </w:tc>
        <w:tc>
          <w:tcPr>
            <w:tcW w:w="760" w:type="dxa"/>
            <w:vAlign w:val="center"/>
          </w:tcPr>
          <w:p w14:paraId="7761F13B" w14:textId="5870642E"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544.1 </w:t>
            </w:r>
          </w:p>
        </w:tc>
        <w:tc>
          <w:tcPr>
            <w:tcW w:w="760" w:type="dxa"/>
            <w:vAlign w:val="center"/>
          </w:tcPr>
          <w:p w14:paraId="037061A5" w14:textId="6AC0116C"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3.6%</w:t>
            </w:r>
          </w:p>
        </w:tc>
        <w:tc>
          <w:tcPr>
            <w:tcW w:w="760" w:type="dxa"/>
            <w:vAlign w:val="center"/>
          </w:tcPr>
          <w:p w14:paraId="095E9823" w14:textId="65695ED5"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18.6 </w:t>
            </w:r>
          </w:p>
        </w:tc>
        <w:tc>
          <w:tcPr>
            <w:tcW w:w="760" w:type="dxa"/>
            <w:vAlign w:val="center"/>
          </w:tcPr>
          <w:p w14:paraId="0CFF3C1A" w14:textId="16680239"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3.5%</w:t>
            </w:r>
          </w:p>
        </w:tc>
        <w:tc>
          <w:tcPr>
            <w:tcW w:w="760" w:type="dxa"/>
            <w:vAlign w:val="center"/>
          </w:tcPr>
          <w:p w14:paraId="36B16C91" w14:textId="2F2A0D50"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571.8 </w:t>
            </w:r>
          </w:p>
        </w:tc>
        <w:tc>
          <w:tcPr>
            <w:tcW w:w="760" w:type="dxa"/>
            <w:vAlign w:val="center"/>
          </w:tcPr>
          <w:p w14:paraId="4F9EB637" w14:textId="7B4D9046"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3.5%</w:t>
            </w:r>
          </w:p>
        </w:tc>
        <w:tc>
          <w:tcPr>
            <w:tcW w:w="760" w:type="dxa"/>
            <w:vAlign w:val="center"/>
          </w:tcPr>
          <w:p w14:paraId="7C589665" w14:textId="69A4C1F1"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 xml:space="preserve"> 46.3 </w:t>
            </w:r>
          </w:p>
        </w:tc>
        <w:tc>
          <w:tcPr>
            <w:tcW w:w="760" w:type="dxa"/>
            <w:vAlign w:val="center"/>
          </w:tcPr>
          <w:p w14:paraId="6D8EA862" w14:textId="70B125C5" w:rsidR="003B32D9" w:rsidRPr="00B11180" w:rsidRDefault="003B32D9" w:rsidP="003B32D9">
            <w:pPr>
              <w:jc w:val="center"/>
              <w:rPr>
                <w:rFonts w:asciiTheme="minorHAnsi" w:hAnsiTheme="minorHAnsi" w:cstheme="minorHAnsi"/>
                <w:sz w:val="18"/>
                <w:szCs w:val="18"/>
              </w:rPr>
            </w:pPr>
            <w:r w:rsidRPr="00B11180">
              <w:rPr>
                <w:rFonts w:asciiTheme="minorHAnsi" w:hAnsiTheme="minorHAnsi" w:cstheme="minorHAnsi"/>
                <w:sz w:val="18"/>
                <w:szCs w:val="18"/>
              </w:rPr>
              <w:t>8.8%</w:t>
            </w:r>
          </w:p>
        </w:tc>
      </w:tr>
      <w:tr w:rsidR="003B32D9" w:rsidRPr="006F1FD4" w14:paraId="5C4E0CE4" w14:textId="77777777" w:rsidTr="00972F09">
        <w:trPr>
          <w:cnfStyle w:val="000000010000" w:firstRow="0" w:lastRow="0" w:firstColumn="0" w:lastColumn="0" w:oddVBand="0" w:evenVBand="0" w:oddHBand="0" w:evenHBand="1" w:firstRowFirstColumn="0" w:firstRowLastColumn="0" w:lastRowFirstColumn="0" w:lastRowLastColumn="0"/>
          <w:trHeight w:val="366"/>
        </w:trPr>
        <w:tc>
          <w:tcPr>
            <w:tcW w:w="1427" w:type="dxa"/>
            <w:vAlign w:val="center"/>
          </w:tcPr>
          <w:p w14:paraId="66A1C913" w14:textId="27575A2D" w:rsidR="003B32D9" w:rsidRPr="00AB2E2D" w:rsidRDefault="003B32D9" w:rsidP="003B32D9">
            <w:pPr>
              <w:rPr>
                <w:rFonts w:asciiTheme="minorHAnsi" w:hAnsiTheme="minorHAnsi" w:cstheme="minorHAnsi"/>
                <w:b/>
                <w:bCs/>
                <w:sz w:val="18"/>
                <w:szCs w:val="18"/>
              </w:rPr>
            </w:pPr>
            <w:r w:rsidRPr="00AB2E2D">
              <w:rPr>
                <w:rFonts w:asciiTheme="minorHAnsi" w:hAnsiTheme="minorHAnsi" w:cstheme="minorHAnsi"/>
                <w:b/>
                <w:bCs/>
                <w:sz w:val="18"/>
                <w:szCs w:val="18"/>
              </w:rPr>
              <w:t>Total</w:t>
            </w:r>
          </w:p>
        </w:tc>
        <w:tc>
          <w:tcPr>
            <w:tcW w:w="759" w:type="dxa"/>
            <w:vAlign w:val="center"/>
          </w:tcPr>
          <w:p w14:paraId="67ABB93D" w14:textId="5D2B3056" w:rsidR="003B32D9" w:rsidRPr="00AB2E2D" w:rsidRDefault="003B32D9" w:rsidP="003B32D9">
            <w:pPr>
              <w:jc w:val="center"/>
              <w:rPr>
                <w:rFonts w:asciiTheme="minorHAnsi" w:hAnsiTheme="minorHAnsi" w:cstheme="minorHAnsi"/>
                <w:b/>
                <w:bCs/>
                <w:sz w:val="18"/>
                <w:szCs w:val="18"/>
              </w:rPr>
            </w:pPr>
            <w:r w:rsidRPr="00AB2E2D">
              <w:rPr>
                <w:rFonts w:asciiTheme="minorHAnsi" w:hAnsiTheme="minorHAnsi" w:cstheme="minorHAnsi"/>
                <w:b/>
                <w:bCs/>
                <w:sz w:val="18"/>
                <w:szCs w:val="18"/>
              </w:rPr>
              <w:t xml:space="preserve"> </w:t>
            </w:r>
            <w:r w:rsidRPr="00AB2E2D">
              <w:rPr>
                <w:rFonts w:asciiTheme="minorHAnsi" w:hAnsiTheme="minorHAnsi" w:cstheme="minorHAnsi"/>
                <w:b/>
                <w:bCs/>
                <w:sz w:val="16"/>
                <w:szCs w:val="16"/>
              </w:rPr>
              <w:t xml:space="preserve">14,363.3 </w:t>
            </w:r>
          </w:p>
        </w:tc>
        <w:tc>
          <w:tcPr>
            <w:tcW w:w="760" w:type="dxa"/>
            <w:vAlign w:val="center"/>
          </w:tcPr>
          <w:p w14:paraId="41EE431C" w14:textId="5CEA31BA" w:rsidR="003B32D9" w:rsidRPr="00AB2E2D" w:rsidRDefault="003B32D9" w:rsidP="003B32D9">
            <w:pPr>
              <w:jc w:val="center"/>
              <w:rPr>
                <w:rFonts w:asciiTheme="minorHAnsi" w:hAnsiTheme="minorHAnsi" w:cstheme="minorHAnsi"/>
                <w:b/>
                <w:bCs/>
                <w:sz w:val="18"/>
                <w:szCs w:val="18"/>
              </w:rPr>
            </w:pPr>
            <w:r w:rsidRPr="00AB2E2D">
              <w:rPr>
                <w:rFonts w:asciiTheme="minorHAnsi" w:hAnsiTheme="minorHAnsi" w:cstheme="minorHAnsi"/>
                <w:b/>
                <w:bCs/>
                <w:sz w:val="18"/>
                <w:szCs w:val="18"/>
              </w:rPr>
              <w:t xml:space="preserve"> na </w:t>
            </w:r>
          </w:p>
        </w:tc>
        <w:tc>
          <w:tcPr>
            <w:tcW w:w="760" w:type="dxa"/>
            <w:vAlign w:val="center"/>
          </w:tcPr>
          <w:p w14:paraId="6C915CDD" w14:textId="1F828849" w:rsidR="003B32D9" w:rsidRPr="00AB2E2D" w:rsidRDefault="003B32D9" w:rsidP="003B32D9">
            <w:pPr>
              <w:jc w:val="center"/>
              <w:rPr>
                <w:rFonts w:asciiTheme="minorHAnsi" w:hAnsiTheme="minorHAnsi" w:cstheme="minorHAnsi"/>
                <w:b/>
                <w:bCs/>
                <w:sz w:val="18"/>
                <w:szCs w:val="18"/>
              </w:rPr>
            </w:pPr>
            <w:r w:rsidRPr="00AB2E2D">
              <w:rPr>
                <w:rFonts w:asciiTheme="minorHAnsi" w:hAnsiTheme="minorHAnsi" w:cstheme="minorHAnsi"/>
                <w:b/>
                <w:bCs/>
                <w:sz w:val="18"/>
                <w:szCs w:val="18"/>
              </w:rPr>
              <w:t xml:space="preserve"> </w:t>
            </w:r>
            <w:r w:rsidRPr="00AB2E2D">
              <w:rPr>
                <w:rFonts w:asciiTheme="minorHAnsi" w:hAnsiTheme="minorHAnsi" w:cstheme="minorHAnsi"/>
                <w:b/>
                <w:bCs/>
                <w:sz w:val="16"/>
                <w:szCs w:val="16"/>
              </w:rPr>
              <w:t xml:space="preserve">15,310.7 </w:t>
            </w:r>
          </w:p>
        </w:tc>
        <w:tc>
          <w:tcPr>
            <w:tcW w:w="760" w:type="dxa"/>
            <w:vAlign w:val="center"/>
          </w:tcPr>
          <w:p w14:paraId="1FA4865E" w14:textId="6DB31895" w:rsidR="003B32D9" w:rsidRPr="00AB2E2D" w:rsidRDefault="003B32D9" w:rsidP="003B32D9">
            <w:pPr>
              <w:jc w:val="center"/>
              <w:rPr>
                <w:rFonts w:asciiTheme="minorHAnsi" w:hAnsiTheme="minorHAnsi" w:cstheme="minorHAnsi"/>
                <w:b/>
                <w:bCs/>
                <w:sz w:val="18"/>
                <w:szCs w:val="18"/>
              </w:rPr>
            </w:pPr>
            <w:r w:rsidRPr="00AB2E2D">
              <w:rPr>
                <w:rFonts w:asciiTheme="minorHAnsi" w:hAnsiTheme="minorHAnsi" w:cstheme="minorHAnsi"/>
                <w:b/>
                <w:bCs/>
                <w:sz w:val="18"/>
                <w:szCs w:val="18"/>
              </w:rPr>
              <w:t xml:space="preserve"> na </w:t>
            </w:r>
          </w:p>
        </w:tc>
        <w:tc>
          <w:tcPr>
            <w:tcW w:w="760" w:type="dxa"/>
            <w:vAlign w:val="center"/>
          </w:tcPr>
          <w:p w14:paraId="05C39633" w14:textId="0AC2F196" w:rsidR="003B32D9" w:rsidRPr="00AB2E2D" w:rsidRDefault="003B32D9" w:rsidP="003B32D9">
            <w:pPr>
              <w:jc w:val="center"/>
              <w:rPr>
                <w:rFonts w:asciiTheme="minorHAnsi" w:hAnsiTheme="minorHAnsi" w:cstheme="minorHAnsi"/>
                <w:b/>
                <w:bCs/>
                <w:sz w:val="18"/>
                <w:szCs w:val="18"/>
              </w:rPr>
            </w:pPr>
            <w:r w:rsidRPr="00AB2E2D">
              <w:rPr>
                <w:rFonts w:asciiTheme="minorHAnsi" w:hAnsiTheme="minorHAnsi" w:cstheme="minorHAnsi"/>
                <w:b/>
                <w:bCs/>
                <w:sz w:val="18"/>
                <w:szCs w:val="18"/>
              </w:rPr>
              <w:t xml:space="preserve"> 947.4 </w:t>
            </w:r>
          </w:p>
        </w:tc>
        <w:tc>
          <w:tcPr>
            <w:tcW w:w="760" w:type="dxa"/>
            <w:vAlign w:val="center"/>
          </w:tcPr>
          <w:p w14:paraId="3B65D208" w14:textId="73BAB8DE" w:rsidR="003B32D9" w:rsidRPr="00AB2E2D" w:rsidRDefault="003B32D9" w:rsidP="003B32D9">
            <w:pPr>
              <w:jc w:val="center"/>
              <w:rPr>
                <w:rFonts w:asciiTheme="minorHAnsi" w:hAnsiTheme="minorHAnsi" w:cstheme="minorHAnsi"/>
                <w:b/>
                <w:bCs/>
                <w:sz w:val="18"/>
                <w:szCs w:val="18"/>
              </w:rPr>
            </w:pPr>
            <w:r w:rsidRPr="00AB2E2D">
              <w:rPr>
                <w:rFonts w:asciiTheme="minorHAnsi" w:hAnsiTheme="minorHAnsi" w:cstheme="minorHAnsi"/>
                <w:b/>
                <w:bCs/>
                <w:sz w:val="18"/>
                <w:szCs w:val="18"/>
              </w:rPr>
              <w:t>6.6%</w:t>
            </w:r>
          </w:p>
        </w:tc>
        <w:tc>
          <w:tcPr>
            <w:tcW w:w="760" w:type="dxa"/>
            <w:vAlign w:val="center"/>
          </w:tcPr>
          <w:p w14:paraId="4C375CE4" w14:textId="5D531163" w:rsidR="003B32D9" w:rsidRPr="00AB2E2D" w:rsidRDefault="003B32D9" w:rsidP="003B32D9">
            <w:pPr>
              <w:jc w:val="center"/>
              <w:rPr>
                <w:rFonts w:asciiTheme="minorHAnsi" w:hAnsiTheme="minorHAnsi" w:cstheme="minorHAnsi"/>
                <w:b/>
                <w:bCs/>
                <w:sz w:val="18"/>
                <w:szCs w:val="18"/>
              </w:rPr>
            </w:pPr>
            <w:r w:rsidRPr="00AB2E2D">
              <w:rPr>
                <w:rFonts w:asciiTheme="minorHAnsi" w:hAnsiTheme="minorHAnsi" w:cstheme="minorHAnsi"/>
                <w:b/>
                <w:bCs/>
                <w:sz w:val="18"/>
                <w:szCs w:val="18"/>
              </w:rPr>
              <w:t xml:space="preserve"> </w:t>
            </w:r>
            <w:r w:rsidRPr="00AB2E2D">
              <w:rPr>
                <w:rFonts w:asciiTheme="minorHAnsi" w:hAnsiTheme="minorHAnsi" w:cstheme="minorHAnsi"/>
                <w:b/>
                <w:bCs/>
                <w:sz w:val="16"/>
                <w:szCs w:val="16"/>
              </w:rPr>
              <w:t xml:space="preserve">16,325.5 </w:t>
            </w:r>
          </w:p>
        </w:tc>
        <w:tc>
          <w:tcPr>
            <w:tcW w:w="760" w:type="dxa"/>
            <w:vAlign w:val="center"/>
          </w:tcPr>
          <w:p w14:paraId="02F36475" w14:textId="56CEDCCE" w:rsidR="003B32D9" w:rsidRPr="00AB2E2D" w:rsidRDefault="003B32D9" w:rsidP="003B32D9">
            <w:pPr>
              <w:jc w:val="center"/>
              <w:rPr>
                <w:rFonts w:asciiTheme="minorHAnsi" w:hAnsiTheme="minorHAnsi" w:cstheme="minorHAnsi"/>
                <w:b/>
                <w:bCs/>
                <w:sz w:val="18"/>
                <w:szCs w:val="18"/>
              </w:rPr>
            </w:pPr>
            <w:r w:rsidRPr="00AB2E2D">
              <w:rPr>
                <w:rFonts w:asciiTheme="minorHAnsi" w:hAnsiTheme="minorHAnsi" w:cstheme="minorHAnsi"/>
                <w:b/>
                <w:bCs/>
                <w:sz w:val="18"/>
                <w:szCs w:val="18"/>
              </w:rPr>
              <w:t xml:space="preserve"> na </w:t>
            </w:r>
          </w:p>
        </w:tc>
        <w:tc>
          <w:tcPr>
            <w:tcW w:w="760" w:type="dxa"/>
            <w:vAlign w:val="center"/>
          </w:tcPr>
          <w:p w14:paraId="4E6196DF" w14:textId="58F99C82" w:rsidR="003B32D9" w:rsidRPr="00AB2E2D" w:rsidRDefault="003B32D9" w:rsidP="003B32D9">
            <w:pPr>
              <w:jc w:val="center"/>
              <w:rPr>
                <w:rFonts w:asciiTheme="minorHAnsi" w:hAnsiTheme="minorHAnsi" w:cstheme="minorHAnsi"/>
                <w:b/>
                <w:bCs/>
                <w:sz w:val="18"/>
                <w:szCs w:val="18"/>
              </w:rPr>
            </w:pPr>
            <w:r w:rsidRPr="00AB2E2D">
              <w:rPr>
                <w:rFonts w:asciiTheme="minorHAnsi" w:hAnsiTheme="minorHAnsi" w:cstheme="minorHAnsi"/>
                <w:b/>
                <w:bCs/>
                <w:sz w:val="18"/>
                <w:szCs w:val="18"/>
              </w:rPr>
              <w:t xml:space="preserve"> </w:t>
            </w:r>
            <w:r w:rsidRPr="00AB2E2D">
              <w:rPr>
                <w:rFonts w:asciiTheme="minorHAnsi" w:hAnsiTheme="minorHAnsi" w:cstheme="minorHAnsi"/>
                <w:b/>
                <w:bCs/>
                <w:sz w:val="16"/>
                <w:szCs w:val="16"/>
              </w:rPr>
              <w:t xml:space="preserve">1,962.2 </w:t>
            </w:r>
          </w:p>
        </w:tc>
        <w:tc>
          <w:tcPr>
            <w:tcW w:w="760" w:type="dxa"/>
            <w:vAlign w:val="center"/>
          </w:tcPr>
          <w:p w14:paraId="10E5D5F7" w14:textId="7AF6009D" w:rsidR="003B32D9" w:rsidRPr="00AB2E2D" w:rsidRDefault="003B32D9" w:rsidP="003B32D9">
            <w:pPr>
              <w:jc w:val="center"/>
              <w:rPr>
                <w:rFonts w:asciiTheme="minorHAnsi" w:hAnsiTheme="minorHAnsi" w:cstheme="minorHAnsi"/>
                <w:b/>
                <w:bCs/>
                <w:sz w:val="18"/>
                <w:szCs w:val="18"/>
              </w:rPr>
            </w:pPr>
            <w:r w:rsidRPr="00AB2E2D">
              <w:rPr>
                <w:rFonts w:asciiTheme="minorHAnsi" w:hAnsiTheme="minorHAnsi" w:cstheme="minorHAnsi"/>
                <w:b/>
                <w:bCs/>
                <w:sz w:val="18"/>
                <w:szCs w:val="18"/>
              </w:rPr>
              <w:t>13.7%</w:t>
            </w:r>
          </w:p>
        </w:tc>
      </w:tr>
    </w:tbl>
    <w:p w14:paraId="5558DD1D" w14:textId="01EF1840" w:rsidR="00AC2606" w:rsidRPr="00AF6380" w:rsidRDefault="00AC2606" w:rsidP="0057466F">
      <w:pPr>
        <w:pStyle w:val="Source"/>
      </w:pPr>
      <w:r w:rsidRPr="00AF6380">
        <w:t>Source: 2024-2034 Employment Projections, produced by Victoria University for Jobs and Skills Australia</w:t>
      </w:r>
      <w:r w:rsidR="00797ABF">
        <w:t>.</w:t>
      </w:r>
    </w:p>
    <w:p w14:paraId="66944233" w14:textId="77777777" w:rsidR="00EA4A1A" w:rsidRDefault="00EA4A1A">
      <w:pPr>
        <w:spacing w:after="160" w:line="259" w:lineRule="auto"/>
        <w:rPr>
          <w:rFonts w:eastAsiaTheme="majorEastAsia" w:cs="Arial"/>
          <w:b/>
          <w:color w:val="4B0885" w:themeColor="text2"/>
          <w:sz w:val="26"/>
          <w:szCs w:val="24"/>
        </w:rPr>
      </w:pPr>
      <w:bookmarkStart w:id="199" w:name="_Toc179887400"/>
      <w:r>
        <w:rPr>
          <w:rFonts w:cs="Arial"/>
        </w:rPr>
        <w:br w:type="page"/>
      </w:r>
    </w:p>
    <w:p w14:paraId="4D277C46" w14:textId="7834524D" w:rsidR="00AC2606" w:rsidRPr="00AC0957" w:rsidRDefault="00AC2606" w:rsidP="00AC2606">
      <w:pPr>
        <w:pStyle w:val="Heading3"/>
        <w:rPr>
          <w:rFonts w:cs="Arial"/>
        </w:rPr>
      </w:pPr>
      <w:bookmarkStart w:id="200" w:name="_Toc181371595"/>
      <w:r w:rsidRPr="00AC0957">
        <w:rPr>
          <w:rFonts w:cs="Arial"/>
        </w:rPr>
        <w:t xml:space="preserve">Employment outlook by </w:t>
      </w:r>
      <w:r w:rsidR="00C5235F">
        <w:rPr>
          <w:rFonts w:cs="Arial"/>
        </w:rPr>
        <w:t>o</w:t>
      </w:r>
      <w:r w:rsidRPr="00AC0957">
        <w:rPr>
          <w:rFonts w:cs="Arial"/>
        </w:rPr>
        <w:t xml:space="preserve">ccupation </w:t>
      </w:r>
      <w:r w:rsidR="00C5235F">
        <w:rPr>
          <w:rFonts w:cs="Arial"/>
        </w:rPr>
        <w:t>g</w:t>
      </w:r>
      <w:r w:rsidRPr="00AC0957">
        <w:rPr>
          <w:rFonts w:cs="Arial"/>
        </w:rPr>
        <w:t>roups</w:t>
      </w:r>
      <w:bookmarkEnd w:id="199"/>
      <w:bookmarkEnd w:id="200"/>
    </w:p>
    <w:p w14:paraId="7ED761FE" w14:textId="340D8E2B" w:rsidR="00AC2606" w:rsidRPr="00AC0957" w:rsidRDefault="00AC2606" w:rsidP="00AC2606">
      <w:pPr>
        <w:rPr>
          <w:rFonts w:cs="Arial"/>
        </w:rPr>
      </w:pPr>
      <w:r w:rsidRPr="00AC0957">
        <w:rPr>
          <w:rFonts w:cs="Arial"/>
        </w:rPr>
        <w:t>All major occupation groups are projected to increase in employment over the next decade (</w:t>
      </w:r>
      <w:r w:rsidR="00502575">
        <w:rPr>
          <w:rFonts w:cs="Arial"/>
        </w:rPr>
        <w:fldChar w:fldCharType="begin"/>
      </w:r>
      <w:r w:rsidR="00502575">
        <w:rPr>
          <w:rFonts w:cs="Arial"/>
        </w:rPr>
        <w:instrText xml:space="preserve"> REF _Ref179897993 \h </w:instrText>
      </w:r>
      <w:r w:rsidR="00502575">
        <w:rPr>
          <w:rFonts w:cs="Arial"/>
        </w:rPr>
      </w:r>
      <w:r w:rsidR="00502575">
        <w:rPr>
          <w:rFonts w:cs="Arial"/>
        </w:rPr>
        <w:fldChar w:fldCharType="separate"/>
      </w:r>
      <w:r w:rsidR="00C47A81">
        <w:t xml:space="preserve">Figure </w:t>
      </w:r>
      <w:r w:rsidR="00C47A81">
        <w:rPr>
          <w:noProof/>
        </w:rPr>
        <w:t>41</w:t>
      </w:r>
      <w:r w:rsidR="00502575">
        <w:rPr>
          <w:rFonts w:cs="Arial"/>
        </w:rPr>
        <w:fldChar w:fldCharType="end"/>
      </w:r>
      <w:r w:rsidRPr="00AC0957">
        <w:rPr>
          <w:rFonts w:cs="Arial"/>
        </w:rPr>
        <w:t xml:space="preserve">) with the largest growth among Professionals. </w:t>
      </w:r>
    </w:p>
    <w:p w14:paraId="6772BE13" w14:textId="0BF1EA5D" w:rsidR="00AF6380" w:rsidRDefault="00AF6380" w:rsidP="00AF6380">
      <w:pPr>
        <w:pStyle w:val="Caption"/>
      </w:pPr>
      <w:bookmarkStart w:id="201" w:name="_Ref179897993"/>
      <w:bookmarkStart w:id="202" w:name="_Toc181370343"/>
      <w:r>
        <w:t xml:space="preserve">Figure </w:t>
      </w:r>
      <w:r>
        <w:fldChar w:fldCharType="begin"/>
      </w:r>
      <w:r>
        <w:instrText xml:space="preserve"> SEQ Figure \* ARABIC </w:instrText>
      </w:r>
      <w:r>
        <w:fldChar w:fldCharType="separate"/>
      </w:r>
      <w:r w:rsidR="00C47A81">
        <w:rPr>
          <w:noProof/>
        </w:rPr>
        <w:t>41</w:t>
      </w:r>
      <w:r>
        <w:fldChar w:fldCharType="end"/>
      </w:r>
      <w:bookmarkEnd w:id="201"/>
      <w:r>
        <w:t xml:space="preserve">: </w:t>
      </w:r>
      <w:r w:rsidRPr="00F66D22">
        <w:t>5 and 10-year employment outlook</w:t>
      </w:r>
      <w:r w:rsidR="00832AE6">
        <w:t>,</w:t>
      </w:r>
      <w:r w:rsidRPr="00F66D22">
        <w:t xml:space="preserve"> by major occupation group, persons, Australia</w:t>
      </w:r>
      <w:bookmarkEnd w:id="202"/>
    </w:p>
    <w:p w14:paraId="2A8EE60D" w14:textId="434FCDC1" w:rsidR="00B12DE1" w:rsidRPr="00B12DE1" w:rsidRDefault="005B0615" w:rsidP="005B0615">
      <w:pPr>
        <w:jc w:val="center"/>
      </w:pPr>
      <w:r>
        <w:rPr>
          <w:noProof/>
        </w:rPr>
        <w:drawing>
          <wp:inline distT="0" distB="0" distL="0" distR="0" wp14:anchorId="5453EA91" wp14:editId="2E7F6B63">
            <wp:extent cx="4587902" cy="2752359"/>
            <wp:effectExtent l="0" t="0" r="3175" b="0"/>
            <wp:docPr id="980209777" name="Picture 59" descr="This shows the projected increase in employment by major occupation group, over the 5 years to May 2029, and 10 years to May 2034. &#10;All major occupation groups are projected to increase in employment over the next decade, with the largest growth among Profession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209777" name="Picture 59" descr="This shows the projected increase in employment by major occupation group, over the 5 years to May 2029, and 10 years to May 2034. &#10;All major occupation groups are projected to increase in employment over the next decade, with the largest growth among Professionals."/>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604253" cy="2762168"/>
                    </a:xfrm>
                    <a:prstGeom prst="rect">
                      <a:avLst/>
                    </a:prstGeom>
                    <a:noFill/>
                  </pic:spPr>
                </pic:pic>
              </a:graphicData>
            </a:graphic>
          </wp:inline>
        </w:drawing>
      </w:r>
    </w:p>
    <w:p w14:paraId="080966FD" w14:textId="1F3B0850" w:rsidR="00AC2606" w:rsidRPr="00AC0957" w:rsidRDefault="00AC2606" w:rsidP="006B231F">
      <w:pPr>
        <w:pStyle w:val="Source"/>
      </w:pPr>
      <w:r w:rsidRPr="00AF6380">
        <w:t>Source: 2024-2034 Employment Projections, produced by Victoria University for Jobs and Skills Australia</w:t>
      </w:r>
      <w:r w:rsidR="00AB782F">
        <w:t>.</w:t>
      </w:r>
    </w:p>
    <w:p w14:paraId="47A1D49D" w14:textId="77777777" w:rsidR="00020AA7" w:rsidRPr="00020AA7" w:rsidRDefault="00020AA7" w:rsidP="00020AA7">
      <w:pPr>
        <w:rPr>
          <w:rFonts w:cs="Arial"/>
        </w:rPr>
      </w:pPr>
      <w:r w:rsidRPr="00020AA7">
        <w:rPr>
          <w:rFonts w:cs="Arial"/>
        </w:rPr>
        <w:t>The occupation groups projected to experience the highest employment growth over the next 5 and 10 years include:</w:t>
      </w:r>
    </w:p>
    <w:p w14:paraId="26665657" w14:textId="2F55DF99" w:rsidR="00020AA7" w:rsidRPr="00020AA7" w:rsidRDefault="00020AA7" w:rsidP="00020AA7">
      <w:pPr>
        <w:pStyle w:val="ListBullet"/>
      </w:pPr>
      <w:r w:rsidRPr="00020AA7">
        <w:t>Professionals (projected to grow by 409,800 persons or 10.9% to 2029 and by 785,000 persons or 20.9% to 2034).</w:t>
      </w:r>
    </w:p>
    <w:p w14:paraId="3F0B1023" w14:textId="634D0FD7" w:rsidR="00020AA7" w:rsidRPr="00020AA7" w:rsidRDefault="00020AA7" w:rsidP="00020AA7">
      <w:pPr>
        <w:pStyle w:val="ListBullet2"/>
      </w:pPr>
      <w:r w:rsidRPr="00020AA7">
        <w:t>This will include Health Professionals such as Registered Nurses, General Practitioners, Physiotherapists, and Psychologists; Business, Human Resource and Marketing Professionals such as Management and Organisation Analysts, Accountants, and Advertising and Marketing Professionals; ICT Professionals such as Software and Applications Programmers; and Engineering Professionals such as Civil Engineering Professionals.</w:t>
      </w:r>
    </w:p>
    <w:p w14:paraId="2676E1F6" w14:textId="3EECC5FD" w:rsidR="00020AA7" w:rsidRPr="00020AA7" w:rsidRDefault="00020AA7" w:rsidP="00020AA7">
      <w:pPr>
        <w:pStyle w:val="ListBullet"/>
      </w:pPr>
      <w:r w:rsidRPr="00020AA7">
        <w:t xml:space="preserve">Community and Personal Service Workers (projected to grow by 146,000 persons or 8.8% to 2029 and by 294,500 people or 17.7% to 2034). </w:t>
      </w:r>
    </w:p>
    <w:p w14:paraId="39C76CA4" w14:textId="5A83A299" w:rsidR="00020AA7" w:rsidRPr="00020AA7" w:rsidRDefault="00020AA7" w:rsidP="00020AA7">
      <w:pPr>
        <w:pStyle w:val="ListBullet2"/>
      </w:pPr>
      <w:r w:rsidRPr="00020AA7">
        <w:t>This will include Carers and Aides such as Aged and Disabled Carers, and Nursing Support and Personal Care Workers; Hospitality Workers such as Waiters, and Bar Attendants and Baristas; and Health and Welfare Support Workers including Ambulance Officers and Paramedics, and Enrolled and Mothercraft Nurses.</w:t>
      </w:r>
    </w:p>
    <w:p w14:paraId="329F93FD" w14:textId="05C996BD" w:rsidR="00020AA7" w:rsidRPr="00020AA7" w:rsidRDefault="00020AA7" w:rsidP="00020AA7">
      <w:pPr>
        <w:pStyle w:val="ListBullet"/>
      </w:pPr>
      <w:r w:rsidRPr="00020AA7">
        <w:t>Managers (projected to grow by 151,500 persons or 8.2% to 2029 and by 291,100 people or 15.7% to 2034).</w:t>
      </w:r>
    </w:p>
    <w:p w14:paraId="2EFD2488" w14:textId="17DE6907" w:rsidR="00020AA7" w:rsidRPr="00020AA7" w:rsidRDefault="00020AA7" w:rsidP="00020AA7">
      <w:pPr>
        <w:pStyle w:val="ListBullet2"/>
      </w:pPr>
      <w:r w:rsidRPr="00020AA7">
        <w:t>This will include Specialist Managers such as Construction Managers, Advertising, Public Relations and Sales Managers, ICT Managers, and Hospitality, Retail and Service Managers.</w:t>
      </w:r>
    </w:p>
    <w:p w14:paraId="4ECE2AA1" w14:textId="7A9B706A" w:rsidR="00AC2606" w:rsidRPr="00AC0957" w:rsidRDefault="00020AA7" w:rsidP="00E307AB">
      <w:pPr>
        <w:keepLines/>
        <w:rPr>
          <w:rFonts w:cs="Arial"/>
        </w:rPr>
      </w:pPr>
      <w:r w:rsidRPr="00020AA7">
        <w:rPr>
          <w:rFonts w:cs="Arial"/>
        </w:rPr>
        <w:t>It is expected that the shift towards employment in occupation groups such as Professionals and Managers will continue over the next decade. Currently, these two occupation groups constitute 39.1% of total employment in Australia and this employment share is projected to increase to 41.0% by May 2034. Growth in care and support occupations is also expected to continue with the employment share of Community and Personal Services Workers projected to increase from 11.6% in May 2024 to 12.0% by May 2034 (</w:t>
      </w:r>
      <w:r w:rsidR="00D1290D">
        <w:rPr>
          <w:rFonts w:cs="Arial"/>
        </w:rPr>
        <w:fldChar w:fldCharType="begin"/>
      </w:r>
      <w:r w:rsidR="00D1290D">
        <w:rPr>
          <w:rFonts w:cs="Arial"/>
        </w:rPr>
        <w:instrText xml:space="preserve"> REF _Ref179898017 \h </w:instrText>
      </w:r>
      <w:r w:rsidR="00D1290D">
        <w:rPr>
          <w:rFonts w:cs="Arial"/>
        </w:rPr>
      </w:r>
      <w:r w:rsidR="00D1290D">
        <w:rPr>
          <w:rFonts w:cs="Arial"/>
        </w:rPr>
        <w:fldChar w:fldCharType="separate"/>
      </w:r>
      <w:r w:rsidR="00C47A81">
        <w:t xml:space="preserve">Table </w:t>
      </w:r>
      <w:r w:rsidR="00C47A81">
        <w:rPr>
          <w:noProof/>
        </w:rPr>
        <w:t>10</w:t>
      </w:r>
      <w:r w:rsidR="00D1290D">
        <w:rPr>
          <w:rFonts w:cs="Arial"/>
        </w:rPr>
        <w:fldChar w:fldCharType="end"/>
      </w:r>
      <w:r w:rsidR="00D1290D">
        <w:rPr>
          <w:rFonts w:cs="Arial"/>
        </w:rPr>
        <w:t>)</w:t>
      </w:r>
      <w:r w:rsidR="00AC2606" w:rsidRPr="00AC0957">
        <w:rPr>
          <w:rFonts w:cs="Arial"/>
        </w:rPr>
        <w:t>.</w:t>
      </w:r>
    </w:p>
    <w:p w14:paraId="015E6CA8" w14:textId="7B4906EB" w:rsidR="00081C05" w:rsidRDefault="00081C05" w:rsidP="00081C05">
      <w:pPr>
        <w:pStyle w:val="Caption"/>
      </w:pPr>
      <w:bookmarkStart w:id="203" w:name="_Ref179898017"/>
      <w:r>
        <w:t xml:space="preserve">Table </w:t>
      </w:r>
      <w:r>
        <w:fldChar w:fldCharType="begin"/>
      </w:r>
      <w:r>
        <w:instrText xml:space="preserve"> SEQ Table \* ARABIC </w:instrText>
      </w:r>
      <w:r>
        <w:fldChar w:fldCharType="separate"/>
      </w:r>
      <w:r w:rsidR="00C47A81">
        <w:rPr>
          <w:noProof/>
        </w:rPr>
        <w:t>10</w:t>
      </w:r>
      <w:r>
        <w:fldChar w:fldCharType="end"/>
      </w:r>
      <w:bookmarkEnd w:id="203"/>
      <w:r>
        <w:t xml:space="preserve">: </w:t>
      </w:r>
      <w:r w:rsidRPr="00A5037B">
        <w:t xml:space="preserve">Projected employment growth over the next 5 and 10 years, by major occupation </w:t>
      </w:r>
      <w:r w:rsidR="00B25BE5" w:rsidRPr="00A5037B">
        <w:t>group</w:t>
      </w:r>
      <w:r w:rsidR="00B25BE5">
        <w:t>, Australia</w:t>
      </w:r>
    </w:p>
    <w:tbl>
      <w:tblPr>
        <w:tblStyle w:val="JSATable1"/>
        <w:tblW w:w="9026" w:type="dxa"/>
        <w:tblLayout w:type="fixed"/>
        <w:tblLook w:val="0020" w:firstRow="1" w:lastRow="0" w:firstColumn="0" w:lastColumn="0" w:noHBand="0" w:noVBand="0"/>
        <w:tblCaption w:val="Projected employment growth over the next 5 and 10 years, by major occupation group, Australia"/>
        <w:tblDescription w:val="This shows current and projected employment levels in Australia by major occupation group. It also shows each occupation's share of total employment and how that is projected to change over the next 5 and 10 years.&#10;All major occupation groups are projected to increase in employment over the next decade with the largest growth among Professionals (projected to grow by 409,800  persons or 10.9% to 2029 and by 785,000 persons or 20.9% to 2034).  &#10;The shift towards employment in occupation groups such as Professionals and Managers will continue over the next decade. Currently, these two occupation groups constitute 39.1% of total employment in Australia and this employment share is projected to increase to 41.0% by May 2034."/>
      </w:tblPr>
      <w:tblGrid>
        <w:gridCol w:w="1427"/>
        <w:gridCol w:w="759"/>
        <w:gridCol w:w="760"/>
        <w:gridCol w:w="760"/>
        <w:gridCol w:w="760"/>
        <w:gridCol w:w="760"/>
        <w:gridCol w:w="760"/>
        <w:gridCol w:w="760"/>
        <w:gridCol w:w="760"/>
        <w:gridCol w:w="760"/>
        <w:gridCol w:w="760"/>
      </w:tblGrid>
      <w:tr w:rsidR="004C5BDC" w:rsidRPr="006F1FD4" w14:paraId="0DC76F78" w14:textId="77777777" w:rsidTr="000D3C4B">
        <w:trPr>
          <w:cnfStyle w:val="100000000000" w:firstRow="1" w:lastRow="0" w:firstColumn="0" w:lastColumn="0" w:oddVBand="0" w:evenVBand="0" w:oddHBand="0" w:evenHBand="0" w:firstRowFirstColumn="0" w:firstRowLastColumn="0" w:lastRowFirstColumn="0" w:lastRowLastColumn="0"/>
          <w:trHeight w:val="381"/>
        </w:trPr>
        <w:tc>
          <w:tcPr>
            <w:tcW w:w="1427" w:type="dxa"/>
            <w:vMerge w:val="restart"/>
          </w:tcPr>
          <w:p w14:paraId="41FDFA3D" w14:textId="02660F25" w:rsidR="004C5BDC" w:rsidRPr="00197E18" w:rsidRDefault="00C17393" w:rsidP="000D3C4B">
            <w:pPr>
              <w:jc w:val="center"/>
              <w:rPr>
                <w:sz w:val="20"/>
                <w:szCs w:val="20"/>
              </w:rPr>
            </w:pPr>
            <w:r>
              <w:rPr>
                <w:sz w:val="20"/>
                <w:szCs w:val="20"/>
              </w:rPr>
              <w:t>Occupation</w:t>
            </w:r>
          </w:p>
          <w:p w14:paraId="4775C669" w14:textId="77777777" w:rsidR="004C5BDC" w:rsidRPr="00345F22" w:rsidRDefault="004C5BDC" w:rsidP="000D3C4B">
            <w:pPr>
              <w:jc w:val="center"/>
              <w:rPr>
                <w:vertAlign w:val="subscript"/>
              </w:rPr>
            </w:pPr>
            <w:r w:rsidRPr="00197E18">
              <w:rPr>
                <w:sz w:val="20"/>
                <w:szCs w:val="20"/>
              </w:rPr>
              <w:t>(1-digit ANZSIC)</w:t>
            </w:r>
          </w:p>
        </w:tc>
        <w:tc>
          <w:tcPr>
            <w:tcW w:w="1519" w:type="dxa"/>
            <w:gridSpan w:val="2"/>
            <w:shd w:val="clear" w:color="auto" w:fill="E0D1F5" w:themeFill="accent1" w:themeFillTint="33"/>
            <w:vAlign w:val="center"/>
          </w:tcPr>
          <w:p w14:paraId="0C49723B" w14:textId="77777777" w:rsidR="004C5BDC" w:rsidRPr="006F1FD4" w:rsidRDefault="004C5BDC" w:rsidP="000D3C4B">
            <w:pPr>
              <w:jc w:val="center"/>
              <w:rPr>
                <w:rFonts w:asciiTheme="minorHAnsi" w:hAnsiTheme="minorHAnsi" w:cstheme="minorHAnsi"/>
                <w:sz w:val="18"/>
                <w:szCs w:val="18"/>
              </w:rPr>
            </w:pPr>
            <w:r>
              <w:rPr>
                <w:rFonts w:asciiTheme="minorHAnsi" w:hAnsiTheme="minorHAnsi" w:cstheme="minorHAnsi"/>
                <w:sz w:val="18"/>
                <w:szCs w:val="18"/>
              </w:rPr>
              <w:t>Baseline</w:t>
            </w:r>
          </w:p>
        </w:tc>
        <w:tc>
          <w:tcPr>
            <w:tcW w:w="3040" w:type="dxa"/>
            <w:gridSpan w:val="4"/>
            <w:shd w:val="clear" w:color="auto" w:fill="F5F8DD" w:themeFill="background2" w:themeFillTint="33"/>
            <w:vAlign w:val="center"/>
          </w:tcPr>
          <w:p w14:paraId="78AFEADE" w14:textId="77777777" w:rsidR="004C5BDC" w:rsidRPr="006F1FD4" w:rsidRDefault="004C5BDC" w:rsidP="000D3C4B">
            <w:pPr>
              <w:jc w:val="center"/>
              <w:rPr>
                <w:rFonts w:asciiTheme="minorHAnsi" w:hAnsiTheme="minorHAnsi" w:cstheme="minorHAnsi"/>
                <w:sz w:val="18"/>
                <w:szCs w:val="18"/>
              </w:rPr>
            </w:pPr>
            <w:r>
              <w:rPr>
                <w:rFonts w:asciiTheme="minorHAnsi" w:hAnsiTheme="minorHAnsi" w:cstheme="minorHAnsi"/>
                <w:sz w:val="18"/>
                <w:szCs w:val="18"/>
              </w:rPr>
              <w:t>5-year outlook</w:t>
            </w:r>
          </w:p>
        </w:tc>
        <w:tc>
          <w:tcPr>
            <w:tcW w:w="3040" w:type="dxa"/>
            <w:gridSpan w:val="4"/>
            <w:shd w:val="clear" w:color="auto" w:fill="CEE9FB" w:themeFill="accent5" w:themeFillTint="33"/>
            <w:vAlign w:val="center"/>
          </w:tcPr>
          <w:p w14:paraId="0FD231A6" w14:textId="77777777" w:rsidR="004C5BDC" w:rsidRPr="006F1FD4" w:rsidRDefault="004C5BDC" w:rsidP="000D3C4B">
            <w:pPr>
              <w:jc w:val="center"/>
              <w:rPr>
                <w:rFonts w:asciiTheme="minorHAnsi" w:hAnsiTheme="minorHAnsi" w:cstheme="minorHAnsi"/>
                <w:sz w:val="18"/>
                <w:szCs w:val="18"/>
              </w:rPr>
            </w:pPr>
            <w:r>
              <w:rPr>
                <w:rFonts w:asciiTheme="minorHAnsi" w:hAnsiTheme="minorHAnsi" w:cstheme="minorHAnsi"/>
                <w:sz w:val="18"/>
                <w:szCs w:val="18"/>
              </w:rPr>
              <w:t>10-year outlook</w:t>
            </w:r>
          </w:p>
        </w:tc>
      </w:tr>
      <w:tr w:rsidR="004C5BDC" w:rsidRPr="006F1FD4" w14:paraId="3657FA13" w14:textId="77777777" w:rsidTr="000D3C4B">
        <w:trPr>
          <w:trHeight w:val="381"/>
        </w:trPr>
        <w:tc>
          <w:tcPr>
            <w:tcW w:w="1427" w:type="dxa"/>
            <w:vMerge/>
          </w:tcPr>
          <w:p w14:paraId="370C10FB" w14:textId="77777777" w:rsidR="004C5BDC" w:rsidRPr="002E6E36" w:rsidRDefault="004C5BDC" w:rsidP="000D3C4B"/>
        </w:tc>
        <w:tc>
          <w:tcPr>
            <w:tcW w:w="759" w:type="dxa"/>
            <w:vMerge w:val="restart"/>
            <w:shd w:val="clear" w:color="auto" w:fill="2F005F"/>
            <w:vAlign w:val="center"/>
          </w:tcPr>
          <w:p w14:paraId="64F44479" w14:textId="77777777" w:rsidR="004C5BDC" w:rsidRPr="006F1FD4" w:rsidRDefault="004C5BDC" w:rsidP="000D3C4B">
            <w:pPr>
              <w:jc w:val="center"/>
              <w:rPr>
                <w:rFonts w:asciiTheme="minorHAnsi" w:hAnsiTheme="minorHAnsi" w:cstheme="minorHAnsi"/>
                <w:sz w:val="18"/>
                <w:szCs w:val="18"/>
              </w:rPr>
            </w:pPr>
            <w:r>
              <w:rPr>
                <w:rFonts w:asciiTheme="minorHAnsi" w:hAnsiTheme="minorHAnsi" w:cstheme="minorHAnsi"/>
                <w:sz w:val="18"/>
                <w:szCs w:val="18"/>
              </w:rPr>
              <w:t>Empl. (‘000) May 2024</w:t>
            </w:r>
          </w:p>
        </w:tc>
        <w:tc>
          <w:tcPr>
            <w:tcW w:w="760" w:type="dxa"/>
            <w:vMerge w:val="restart"/>
            <w:shd w:val="clear" w:color="auto" w:fill="2F005F"/>
            <w:vAlign w:val="center"/>
          </w:tcPr>
          <w:p w14:paraId="09F3C741" w14:textId="77777777" w:rsidR="004C5BDC" w:rsidRPr="006F1FD4" w:rsidRDefault="004C5BDC" w:rsidP="000D3C4B">
            <w:pPr>
              <w:jc w:val="center"/>
              <w:rPr>
                <w:rFonts w:asciiTheme="minorHAnsi" w:hAnsiTheme="minorHAnsi" w:cstheme="minorHAnsi"/>
                <w:sz w:val="18"/>
                <w:szCs w:val="18"/>
              </w:rPr>
            </w:pPr>
            <w:r>
              <w:rPr>
                <w:rFonts w:asciiTheme="minorHAnsi" w:hAnsiTheme="minorHAnsi" w:cstheme="minorHAnsi"/>
                <w:sz w:val="18"/>
                <w:szCs w:val="18"/>
              </w:rPr>
              <w:t>Share of total empl.</w:t>
            </w:r>
          </w:p>
        </w:tc>
        <w:tc>
          <w:tcPr>
            <w:tcW w:w="760" w:type="dxa"/>
            <w:vMerge w:val="restart"/>
            <w:shd w:val="clear" w:color="auto" w:fill="2F005F"/>
            <w:vAlign w:val="center"/>
          </w:tcPr>
          <w:p w14:paraId="682FAE4D" w14:textId="77777777" w:rsidR="004C5BDC" w:rsidRPr="006F1FD4" w:rsidRDefault="004C5BDC" w:rsidP="000D3C4B">
            <w:pPr>
              <w:jc w:val="center"/>
              <w:rPr>
                <w:rFonts w:asciiTheme="minorHAnsi" w:hAnsiTheme="minorHAnsi" w:cstheme="minorHAnsi"/>
                <w:sz w:val="18"/>
                <w:szCs w:val="18"/>
              </w:rPr>
            </w:pPr>
            <w:r>
              <w:rPr>
                <w:rFonts w:asciiTheme="minorHAnsi" w:hAnsiTheme="minorHAnsi" w:cstheme="minorHAnsi"/>
                <w:sz w:val="18"/>
                <w:szCs w:val="18"/>
              </w:rPr>
              <w:t>Empl. (‘000) May 2029</w:t>
            </w:r>
          </w:p>
        </w:tc>
        <w:tc>
          <w:tcPr>
            <w:tcW w:w="760" w:type="dxa"/>
            <w:vMerge w:val="restart"/>
            <w:shd w:val="clear" w:color="auto" w:fill="2F005F"/>
            <w:vAlign w:val="center"/>
          </w:tcPr>
          <w:p w14:paraId="083EA7D4" w14:textId="77777777" w:rsidR="004C5BDC" w:rsidRPr="006F1FD4" w:rsidRDefault="004C5BDC" w:rsidP="000D3C4B">
            <w:pPr>
              <w:jc w:val="center"/>
              <w:rPr>
                <w:rFonts w:asciiTheme="minorHAnsi" w:hAnsiTheme="minorHAnsi" w:cstheme="minorHAnsi"/>
                <w:sz w:val="18"/>
                <w:szCs w:val="18"/>
              </w:rPr>
            </w:pPr>
            <w:r>
              <w:rPr>
                <w:rFonts w:asciiTheme="minorHAnsi" w:hAnsiTheme="minorHAnsi" w:cstheme="minorHAnsi"/>
                <w:sz w:val="18"/>
                <w:szCs w:val="18"/>
              </w:rPr>
              <w:t>Share of total empl.</w:t>
            </w:r>
          </w:p>
        </w:tc>
        <w:tc>
          <w:tcPr>
            <w:tcW w:w="1520" w:type="dxa"/>
            <w:gridSpan w:val="2"/>
            <w:shd w:val="clear" w:color="auto" w:fill="F2F2F2" w:themeFill="background1" w:themeFillShade="F2"/>
            <w:vAlign w:val="center"/>
          </w:tcPr>
          <w:p w14:paraId="66B91A0C" w14:textId="77777777" w:rsidR="004C5BDC" w:rsidRPr="006F1FD4" w:rsidRDefault="004C5BDC" w:rsidP="000D3C4B">
            <w:pPr>
              <w:jc w:val="center"/>
              <w:rPr>
                <w:rFonts w:asciiTheme="minorHAnsi" w:hAnsiTheme="minorHAnsi" w:cstheme="minorHAnsi"/>
                <w:sz w:val="18"/>
                <w:szCs w:val="18"/>
              </w:rPr>
            </w:pPr>
            <w:r>
              <w:rPr>
                <w:rFonts w:asciiTheme="minorHAnsi" w:hAnsiTheme="minorHAnsi" w:cstheme="minorHAnsi"/>
                <w:sz w:val="18"/>
                <w:szCs w:val="18"/>
              </w:rPr>
              <w:t>Change</w:t>
            </w:r>
          </w:p>
        </w:tc>
        <w:tc>
          <w:tcPr>
            <w:tcW w:w="760" w:type="dxa"/>
            <w:vMerge w:val="restart"/>
            <w:shd w:val="clear" w:color="auto" w:fill="2F005F"/>
            <w:vAlign w:val="center"/>
          </w:tcPr>
          <w:p w14:paraId="66293ABD" w14:textId="77777777" w:rsidR="004C5BDC" w:rsidRPr="006F1FD4" w:rsidRDefault="004C5BDC" w:rsidP="000D3C4B">
            <w:pPr>
              <w:jc w:val="center"/>
              <w:rPr>
                <w:rFonts w:asciiTheme="minorHAnsi" w:hAnsiTheme="minorHAnsi" w:cstheme="minorHAnsi"/>
                <w:sz w:val="18"/>
                <w:szCs w:val="18"/>
              </w:rPr>
            </w:pPr>
            <w:r>
              <w:rPr>
                <w:rFonts w:asciiTheme="minorHAnsi" w:hAnsiTheme="minorHAnsi" w:cstheme="minorHAnsi"/>
                <w:sz w:val="18"/>
                <w:szCs w:val="18"/>
              </w:rPr>
              <w:t>Empl. (‘000) May 2034</w:t>
            </w:r>
          </w:p>
        </w:tc>
        <w:tc>
          <w:tcPr>
            <w:tcW w:w="760" w:type="dxa"/>
            <w:vMerge w:val="restart"/>
            <w:shd w:val="clear" w:color="auto" w:fill="2F005F"/>
            <w:vAlign w:val="center"/>
          </w:tcPr>
          <w:p w14:paraId="56BF5294" w14:textId="77777777" w:rsidR="004C5BDC" w:rsidRPr="006F1FD4" w:rsidRDefault="004C5BDC" w:rsidP="000D3C4B">
            <w:pPr>
              <w:jc w:val="center"/>
              <w:rPr>
                <w:rFonts w:asciiTheme="minorHAnsi" w:hAnsiTheme="minorHAnsi" w:cstheme="minorHAnsi"/>
                <w:sz w:val="18"/>
                <w:szCs w:val="18"/>
              </w:rPr>
            </w:pPr>
            <w:r>
              <w:rPr>
                <w:rFonts w:asciiTheme="minorHAnsi" w:hAnsiTheme="minorHAnsi" w:cstheme="minorHAnsi"/>
                <w:sz w:val="18"/>
                <w:szCs w:val="18"/>
              </w:rPr>
              <w:t>Share of total empl.</w:t>
            </w:r>
          </w:p>
        </w:tc>
        <w:tc>
          <w:tcPr>
            <w:tcW w:w="1520" w:type="dxa"/>
            <w:gridSpan w:val="2"/>
            <w:shd w:val="clear" w:color="auto" w:fill="F2F2F2" w:themeFill="background1" w:themeFillShade="F2"/>
          </w:tcPr>
          <w:p w14:paraId="04CFE384" w14:textId="77777777" w:rsidR="004C5BDC" w:rsidRPr="006F1FD4" w:rsidRDefault="004C5BDC" w:rsidP="000D3C4B">
            <w:pPr>
              <w:jc w:val="center"/>
              <w:rPr>
                <w:rFonts w:asciiTheme="minorHAnsi" w:hAnsiTheme="minorHAnsi" w:cstheme="minorHAnsi"/>
                <w:sz w:val="18"/>
                <w:szCs w:val="18"/>
              </w:rPr>
            </w:pPr>
            <w:r>
              <w:rPr>
                <w:rFonts w:asciiTheme="minorHAnsi" w:hAnsiTheme="minorHAnsi" w:cstheme="minorHAnsi"/>
                <w:sz w:val="18"/>
                <w:szCs w:val="18"/>
              </w:rPr>
              <w:t>Change</w:t>
            </w:r>
          </w:p>
        </w:tc>
      </w:tr>
      <w:tr w:rsidR="004C5BDC" w:rsidRPr="006F1FD4" w14:paraId="1D35DE53" w14:textId="77777777" w:rsidTr="000D3C4B">
        <w:trPr>
          <w:cnfStyle w:val="000000010000" w:firstRow="0" w:lastRow="0" w:firstColumn="0" w:lastColumn="0" w:oddVBand="0" w:evenVBand="0" w:oddHBand="0" w:evenHBand="1" w:firstRowFirstColumn="0" w:firstRowLastColumn="0" w:lastRowFirstColumn="0" w:lastRowLastColumn="0"/>
          <w:trHeight w:val="381"/>
        </w:trPr>
        <w:tc>
          <w:tcPr>
            <w:tcW w:w="1427" w:type="dxa"/>
            <w:vMerge/>
          </w:tcPr>
          <w:p w14:paraId="68216A70" w14:textId="77777777" w:rsidR="004C5BDC" w:rsidRPr="00C546A6" w:rsidRDefault="004C5BDC" w:rsidP="000D3C4B"/>
        </w:tc>
        <w:tc>
          <w:tcPr>
            <w:tcW w:w="759" w:type="dxa"/>
            <w:vMerge/>
            <w:shd w:val="clear" w:color="auto" w:fill="2F005F"/>
            <w:vAlign w:val="center"/>
          </w:tcPr>
          <w:p w14:paraId="64FD4C16" w14:textId="77777777" w:rsidR="004C5BDC" w:rsidRPr="006F1FD4" w:rsidRDefault="004C5BDC" w:rsidP="000D3C4B">
            <w:pPr>
              <w:jc w:val="center"/>
              <w:rPr>
                <w:rFonts w:asciiTheme="minorHAnsi" w:hAnsiTheme="minorHAnsi" w:cstheme="minorHAnsi"/>
                <w:sz w:val="18"/>
                <w:szCs w:val="18"/>
              </w:rPr>
            </w:pPr>
          </w:p>
        </w:tc>
        <w:tc>
          <w:tcPr>
            <w:tcW w:w="760" w:type="dxa"/>
            <w:vMerge/>
            <w:shd w:val="clear" w:color="auto" w:fill="2F005F"/>
            <w:vAlign w:val="center"/>
          </w:tcPr>
          <w:p w14:paraId="645CDC6E" w14:textId="77777777" w:rsidR="004C5BDC" w:rsidRPr="006F1FD4" w:rsidRDefault="004C5BDC" w:rsidP="000D3C4B">
            <w:pPr>
              <w:jc w:val="center"/>
              <w:rPr>
                <w:rFonts w:asciiTheme="minorHAnsi" w:hAnsiTheme="minorHAnsi" w:cstheme="minorHAnsi"/>
                <w:sz w:val="18"/>
                <w:szCs w:val="18"/>
              </w:rPr>
            </w:pPr>
          </w:p>
        </w:tc>
        <w:tc>
          <w:tcPr>
            <w:tcW w:w="760" w:type="dxa"/>
            <w:vMerge/>
            <w:shd w:val="clear" w:color="auto" w:fill="2F005F"/>
            <w:vAlign w:val="center"/>
          </w:tcPr>
          <w:p w14:paraId="59814C24" w14:textId="77777777" w:rsidR="004C5BDC" w:rsidRPr="006F1FD4" w:rsidRDefault="004C5BDC" w:rsidP="000D3C4B">
            <w:pPr>
              <w:jc w:val="center"/>
              <w:rPr>
                <w:rFonts w:asciiTheme="minorHAnsi" w:hAnsiTheme="minorHAnsi" w:cstheme="minorHAnsi"/>
                <w:sz w:val="18"/>
                <w:szCs w:val="18"/>
              </w:rPr>
            </w:pPr>
          </w:p>
        </w:tc>
        <w:tc>
          <w:tcPr>
            <w:tcW w:w="760" w:type="dxa"/>
            <w:vMerge/>
            <w:shd w:val="clear" w:color="auto" w:fill="2F005F"/>
            <w:vAlign w:val="center"/>
          </w:tcPr>
          <w:p w14:paraId="5052D54C" w14:textId="77777777" w:rsidR="004C5BDC" w:rsidRPr="006F1FD4" w:rsidRDefault="004C5BDC" w:rsidP="000D3C4B">
            <w:pPr>
              <w:jc w:val="center"/>
              <w:rPr>
                <w:rFonts w:asciiTheme="minorHAnsi" w:hAnsiTheme="minorHAnsi" w:cstheme="minorHAnsi"/>
                <w:sz w:val="18"/>
                <w:szCs w:val="18"/>
              </w:rPr>
            </w:pPr>
          </w:p>
        </w:tc>
        <w:tc>
          <w:tcPr>
            <w:tcW w:w="760" w:type="dxa"/>
            <w:shd w:val="clear" w:color="auto" w:fill="2F005F"/>
            <w:vAlign w:val="center"/>
          </w:tcPr>
          <w:p w14:paraId="14CDA4BF" w14:textId="77777777" w:rsidR="004C5BDC" w:rsidRPr="006F1FD4" w:rsidRDefault="004C5BDC" w:rsidP="000D3C4B">
            <w:pPr>
              <w:jc w:val="center"/>
              <w:rPr>
                <w:rFonts w:asciiTheme="minorHAnsi" w:hAnsiTheme="minorHAnsi" w:cstheme="minorHAnsi"/>
                <w:sz w:val="18"/>
                <w:szCs w:val="18"/>
              </w:rPr>
            </w:pPr>
            <w:r>
              <w:rPr>
                <w:rFonts w:asciiTheme="minorHAnsi" w:hAnsiTheme="minorHAnsi" w:cstheme="minorHAnsi"/>
                <w:sz w:val="18"/>
                <w:szCs w:val="18"/>
              </w:rPr>
              <w:t>Level (‘000)</w:t>
            </w:r>
          </w:p>
        </w:tc>
        <w:tc>
          <w:tcPr>
            <w:tcW w:w="760" w:type="dxa"/>
            <w:shd w:val="clear" w:color="auto" w:fill="2F005F"/>
            <w:vAlign w:val="center"/>
          </w:tcPr>
          <w:p w14:paraId="3035E896" w14:textId="77777777" w:rsidR="004C5BDC" w:rsidRPr="006F1FD4" w:rsidRDefault="004C5BDC" w:rsidP="000D3C4B">
            <w:pPr>
              <w:jc w:val="center"/>
              <w:rPr>
                <w:rFonts w:asciiTheme="minorHAnsi" w:hAnsiTheme="minorHAnsi" w:cstheme="minorHAnsi"/>
                <w:sz w:val="18"/>
                <w:szCs w:val="18"/>
              </w:rPr>
            </w:pPr>
            <w:r>
              <w:rPr>
                <w:rFonts w:asciiTheme="minorHAnsi" w:hAnsiTheme="minorHAnsi" w:cstheme="minorHAnsi"/>
                <w:sz w:val="18"/>
                <w:szCs w:val="18"/>
              </w:rPr>
              <w:t>%</w:t>
            </w:r>
          </w:p>
        </w:tc>
        <w:tc>
          <w:tcPr>
            <w:tcW w:w="760" w:type="dxa"/>
            <w:vMerge/>
            <w:shd w:val="clear" w:color="auto" w:fill="2F005F"/>
            <w:vAlign w:val="center"/>
          </w:tcPr>
          <w:p w14:paraId="1F289AFC" w14:textId="77777777" w:rsidR="004C5BDC" w:rsidRPr="006F1FD4" w:rsidRDefault="004C5BDC" w:rsidP="000D3C4B">
            <w:pPr>
              <w:jc w:val="center"/>
              <w:rPr>
                <w:rFonts w:asciiTheme="minorHAnsi" w:hAnsiTheme="minorHAnsi" w:cstheme="minorHAnsi"/>
                <w:sz w:val="18"/>
                <w:szCs w:val="18"/>
              </w:rPr>
            </w:pPr>
          </w:p>
        </w:tc>
        <w:tc>
          <w:tcPr>
            <w:tcW w:w="760" w:type="dxa"/>
            <w:vMerge/>
            <w:shd w:val="clear" w:color="auto" w:fill="2F005F"/>
            <w:vAlign w:val="center"/>
          </w:tcPr>
          <w:p w14:paraId="73CE7CE0" w14:textId="77777777" w:rsidR="004C5BDC" w:rsidRPr="006F1FD4" w:rsidRDefault="004C5BDC" w:rsidP="000D3C4B">
            <w:pPr>
              <w:jc w:val="center"/>
              <w:rPr>
                <w:rFonts w:asciiTheme="minorHAnsi" w:hAnsiTheme="minorHAnsi" w:cstheme="minorHAnsi"/>
                <w:sz w:val="18"/>
                <w:szCs w:val="18"/>
              </w:rPr>
            </w:pPr>
          </w:p>
        </w:tc>
        <w:tc>
          <w:tcPr>
            <w:tcW w:w="760" w:type="dxa"/>
            <w:shd w:val="clear" w:color="auto" w:fill="2F005F"/>
            <w:vAlign w:val="center"/>
          </w:tcPr>
          <w:p w14:paraId="53999A94" w14:textId="77777777" w:rsidR="004C5BDC" w:rsidRPr="006F1FD4" w:rsidRDefault="004C5BDC" w:rsidP="000D3C4B">
            <w:pPr>
              <w:jc w:val="center"/>
              <w:rPr>
                <w:rFonts w:asciiTheme="minorHAnsi" w:hAnsiTheme="minorHAnsi" w:cstheme="minorHAnsi"/>
                <w:sz w:val="18"/>
                <w:szCs w:val="18"/>
              </w:rPr>
            </w:pPr>
            <w:r>
              <w:rPr>
                <w:rFonts w:asciiTheme="minorHAnsi" w:hAnsiTheme="minorHAnsi" w:cstheme="minorHAnsi"/>
                <w:sz w:val="18"/>
                <w:szCs w:val="18"/>
              </w:rPr>
              <w:t>Level (‘000)</w:t>
            </w:r>
          </w:p>
        </w:tc>
        <w:tc>
          <w:tcPr>
            <w:tcW w:w="760" w:type="dxa"/>
            <w:shd w:val="clear" w:color="auto" w:fill="2F005F"/>
            <w:vAlign w:val="center"/>
          </w:tcPr>
          <w:p w14:paraId="46CC0DAF" w14:textId="77777777" w:rsidR="004C5BDC" w:rsidRPr="006F1FD4" w:rsidRDefault="004C5BDC" w:rsidP="000D3C4B">
            <w:pPr>
              <w:jc w:val="center"/>
              <w:rPr>
                <w:rFonts w:asciiTheme="minorHAnsi" w:hAnsiTheme="minorHAnsi" w:cstheme="minorHAnsi"/>
                <w:sz w:val="18"/>
                <w:szCs w:val="18"/>
              </w:rPr>
            </w:pPr>
            <w:r>
              <w:rPr>
                <w:rFonts w:asciiTheme="minorHAnsi" w:hAnsiTheme="minorHAnsi" w:cstheme="minorHAnsi"/>
                <w:sz w:val="18"/>
                <w:szCs w:val="18"/>
              </w:rPr>
              <w:t>%</w:t>
            </w:r>
          </w:p>
        </w:tc>
      </w:tr>
      <w:tr w:rsidR="00737C4E" w:rsidRPr="00B11180" w14:paraId="778E67B7" w14:textId="77777777" w:rsidTr="00737C4E">
        <w:trPr>
          <w:trHeight w:val="381"/>
        </w:trPr>
        <w:tc>
          <w:tcPr>
            <w:tcW w:w="1427" w:type="dxa"/>
            <w:vAlign w:val="center"/>
          </w:tcPr>
          <w:p w14:paraId="369ED146" w14:textId="7D3E33EC"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Managers</w:t>
            </w:r>
          </w:p>
        </w:tc>
        <w:tc>
          <w:tcPr>
            <w:tcW w:w="759" w:type="dxa"/>
            <w:vAlign w:val="center"/>
          </w:tcPr>
          <w:p w14:paraId="05CF29F9" w14:textId="4D66E555" w:rsidR="00737C4E" w:rsidRPr="00737C4E" w:rsidRDefault="00737C4E" w:rsidP="00737C4E">
            <w:pPr>
              <w:jc w:val="center"/>
              <w:rPr>
                <w:rFonts w:asciiTheme="minorHAnsi" w:hAnsiTheme="minorHAnsi" w:cstheme="minorHAnsi"/>
                <w:sz w:val="16"/>
                <w:szCs w:val="16"/>
              </w:rPr>
            </w:pPr>
            <w:r w:rsidRPr="00737C4E">
              <w:rPr>
                <w:rFonts w:asciiTheme="minorHAnsi" w:hAnsiTheme="minorHAnsi" w:cstheme="minorHAnsi"/>
                <w:sz w:val="16"/>
                <w:szCs w:val="16"/>
              </w:rPr>
              <w:t>1,856.9</w:t>
            </w:r>
          </w:p>
        </w:tc>
        <w:tc>
          <w:tcPr>
            <w:tcW w:w="760" w:type="dxa"/>
            <w:vAlign w:val="center"/>
          </w:tcPr>
          <w:p w14:paraId="7789EA21" w14:textId="7738E680"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12.9%</w:t>
            </w:r>
          </w:p>
        </w:tc>
        <w:tc>
          <w:tcPr>
            <w:tcW w:w="760" w:type="dxa"/>
            <w:vAlign w:val="center"/>
          </w:tcPr>
          <w:p w14:paraId="00E7E86E" w14:textId="580E49F4" w:rsidR="00737C4E" w:rsidRPr="00737C4E" w:rsidRDefault="00737C4E" w:rsidP="00737C4E">
            <w:pPr>
              <w:jc w:val="center"/>
              <w:rPr>
                <w:rFonts w:asciiTheme="minorHAnsi" w:hAnsiTheme="minorHAnsi" w:cstheme="minorHAnsi"/>
                <w:sz w:val="16"/>
                <w:szCs w:val="16"/>
              </w:rPr>
            </w:pPr>
            <w:r w:rsidRPr="00737C4E">
              <w:rPr>
                <w:rFonts w:asciiTheme="minorHAnsi" w:hAnsiTheme="minorHAnsi" w:cstheme="minorHAnsi"/>
                <w:sz w:val="16"/>
                <w:szCs w:val="16"/>
              </w:rPr>
              <w:t>2,008.4</w:t>
            </w:r>
          </w:p>
        </w:tc>
        <w:tc>
          <w:tcPr>
            <w:tcW w:w="760" w:type="dxa"/>
            <w:vAlign w:val="center"/>
          </w:tcPr>
          <w:p w14:paraId="5BCC81ED" w14:textId="74D66F2C"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13.1%</w:t>
            </w:r>
          </w:p>
        </w:tc>
        <w:tc>
          <w:tcPr>
            <w:tcW w:w="760" w:type="dxa"/>
            <w:vAlign w:val="center"/>
          </w:tcPr>
          <w:p w14:paraId="4FA14341" w14:textId="7A0D3AC8"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151.5</w:t>
            </w:r>
          </w:p>
        </w:tc>
        <w:tc>
          <w:tcPr>
            <w:tcW w:w="760" w:type="dxa"/>
            <w:vAlign w:val="center"/>
          </w:tcPr>
          <w:p w14:paraId="789DF7F7" w14:textId="33D3A7A3"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8.2%</w:t>
            </w:r>
          </w:p>
        </w:tc>
        <w:tc>
          <w:tcPr>
            <w:tcW w:w="760" w:type="dxa"/>
            <w:vAlign w:val="center"/>
          </w:tcPr>
          <w:p w14:paraId="5F3EB963" w14:textId="3661879B" w:rsidR="00737C4E" w:rsidRPr="00737C4E" w:rsidRDefault="00737C4E" w:rsidP="00737C4E">
            <w:pPr>
              <w:jc w:val="center"/>
              <w:rPr>
                <w:rFonts w:asciiTheme="minorHAnsi" w:hAnsiTheme="minorHAnsi" w:cstheme="minorHAnsi"/>
                <w:sz w:val="16"/>
                <w:szCs w:val="16"/>
              </w:rPr>
            </w:pPr>
            <w:r w:rsidRPr="00737C4E">
              <w:rPr>
                <w:rFonts w:asciiTheme="minorHAnsi" w:hAnsiTheme="minorHAnsi" w:cstheme="minorHAnsi"/>
                <w:sz w:val="16"/>
                <w:szCs w:val="16"/>
              </w:rPr>
              <w:t>2,148.1</w:t>
            </w:r>
          </w:p>
        </w:tc>
        <w:tc>
          <w:tcPr>
            <w:tcW w:w="760" w:type="dxa"/>
            <w:vAlign w:val="center"/>
          </w:tcPr>
          <w:p w14:paraId="045AF225" w14:textId="09249CB9"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13.2%</w:t>
            </w:r>
          </w:p>
        </w:tc>
        <w:tc>
          <w:tcPr>
            <w:tcW w:w="760" w:type="dxa"/>
            <w:vAlign w:val="center"/>
          </w:tcPr>
          <w:p w14:paraId="30082D7D" w14:textId="3AC90FFE"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291.1</w:t>
            </w:r>
          </w:p>
        </w:tc>
        <w:tc>
          <w:tcPr>
            <w:tcW w:w="760" w:type="dxa"/>
            <w:vAlign w:val="center"/>
          </w:tcPr>
          <w:p w14:paraId="44C5E927" w14:textId="12D41739"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15.7%</w:t>
            </w:r>
          </w:p>
        </w:tc>
      </w:tr>
      <w:tr w:rsidR="00737C4E" w:rsidRPr="00B11180" w14:paraId="1833E8CD" w14:textId="77777777" w:rsidTr="00737C4E">
        <w:trPr>
          <w:cnfStyle w:val="000000010000" w:firstRow="0" w:lastRow="0" w:firstColumn="0" w:lastColumn="0" w:oddVBand="0" w:evenVBand="0" w:oddHBand="0" w:evenHBand="1" w:firstRowFirstColumn="0" w:firstRowLastColumn="0" w:lastRowFirstColumn="0" w:lastRowLastColumn="0"/>
          <w:trHeight w:val="366"/>
        </w:trPr>
        <w:tc>
          <w:tcPr>
            <w:tcW w:w="1427" w:type="dxa"/>
            <w:vAlign w:val="center"/>
          </w:tcPr>
          <w:p w14:paraId="2D2DBC8F" w14:textId="6D8B991B"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Professionals</w:t>
            </w:r>
          </w:p>
        </w:tc>
        <w:tc>
          <w:tcPr>
            <w:tcW w:w="759" w:type="dxa"/>
            <w:vAlign w:val="center"/>
          </w:tcPr>
          <w:p w14:paraId="4EA79523" w14:textId="5130F641" w:rsidR="00737C4E" w:rsidRPr="00737C4E" w:rsidRDefault="00737C4E" w:rsidP="00737C4E">
            <w:pPr>
              <w:jc w:val="center"/>
              <w:rPr>
                <w:rFonts w:asciiTheme="minorHAnsi" w:hAnsiTheme="minorHAnsi" w:cstheme="minorHAnsi"/>
                <w:sz w:val="16"/>
                <w:szCs w:val="16"/>
              </w:rPr>
            </w:pPr>
            <w:r w:rsidRPr="00737C4E">
              <w:rPr>
                <w:rFonts w:asciiTheme="minorHAnsi" w:hAnsiTheme="minorHAnsi" w:cstheme="minorHAnsi"/>
                <w:sz w:val="16"/>
                <w:szCs w:val="16"/>
              </w:rPr>
              <w:t>3,763.2</w:t>
            </w:r>
          </w:p>
        </w:tc>
        <w:tc>
          <w:tcPr>
            <w:tcW w:w="760" w:type="dxa"/>
            <w:vAlign w:val="center"/>
          </w:tcPr>
          <w:p w14:paraId="0E113BBB" w14:textId="2F521BF6"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26.2%</w:t>
            </w:r>
          </w:p>
        </w:tc>
        <w:tc>
          <w:tcPr>
            <w:tcW w:w="760" w:type="dxa"/>
            <w:vAlign w:val="center"/>
          </w:tcPr>
          <w:p w14:paraId="462D2A82" w14:textId="3C5ECE38" w:rsidR="00737C4E" w:rsidRPr="00737C4E" w:rsidRDefault="00737C4E" w:rsidP="00737C4E">
            <w:pPr>
              <w:jc w:val="center"/>
              <w:rPr>
                <w:rFonts w:asciiTheme="minorHAnsi" w:hAnsiTheme="minorHAnsi" w:cstheme="minorHAnsi"/>
                <w:sz w:val="16"/>
                <w:szCs w:val="16"/>
              </w:rPr>
            </w:pPr>
            <w:r w:rsidRPr="00737C4E">
              <w:rPr>
                <w:rFonts w:asciiTheme="minorHAnsi" w:hAnsiTheme="minorHAnsi" w:cstheme="minorHAnsi"/>
                <w:sz w:val="16"/>
                <w:szCs w:val="16"/>
              </w:rPr>
              <w:t>4,173.1</w:t>
            </w:r>
          </w:p>
        </w:tc>
        <w:tc>
          <w:tcPr>
            <w:tcW w:w="760" w:type="dxa"/>
            <w:vAlign w:val="center"/>
          </w:tcPr>
          <w:p w14:paraId="4DC49232" w14:textId="46F3D997"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27.3%</w:t>
            </w:r>
          </w:p>
        </w:tc>
        <w:tc>
          <w:tcPr>
            <w:tcW w:w="760" w:type="dxa"/>
            <w:vAlign w:val="center"/>
          </w:tcPr>
          <w:p w14:paraId="09296142" w14:textId="2CB3A135"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409.8</w:t>
            </w:r>
          </w:p>
        </w:tc>
        <w:tc>
          <w:tcPr>
            <w:tcW w:w="760" w:type="dxa"/>
            <w:vAlign w:val="center"/>
          </w:tcPr>
          <w:p w14:paraId="1384D355" w14:textId="5FE524EB"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10.9%</w:t>
            </w:r>
          </w:p>
        </w:tc>
        <w:tc>
          <w:tcPr>
            <w:tcW w:w="760" w:type="dxa"/>
            <w:vAlign w:val="center"/>
          </w:tcPr>
          <w:p w14:paraId="69AC19C0" w14:textId="5D5EB59F" w:rsidR="00737C4E" w:rsidRPr="00737C4E" w:rsidRDefault="00737C4E" w:rsidP="00737C4E">
            <w:pPr>
              <w:jc w:val="center"/>
              <w:rPr>
                <w:rFonts w:asciiTheme="minorHAnsi" w:hAnsiTheme="minorHAnsi" w:cstheme="minorHAnsi"/>
                <w:sz w:val="16"/>
                <w:szCs w:val="16"/>
              </w:rPr>
            </w:pPr>
            <w:r w:rsidRPr="00737C4E">
              <w:rPr>
                <w:rFonts w:asciiTheme="minorHAnsi" w:hAnsiTheme="minorHAnsi" w:cstheme="minorHAnsi"/>
                <w:sz w:val="16"/>
                <w:szCs w:val="16"/>
              </w:rPr>
              <w:t>4,548.3</w:t>
            </w:r>
          </w:p>
        </w:tc>
        <w:tc>
          <w:tcPr>
            <w:tcW w:w="760" w:type="dxa"/>
            <w:vAlign w:val="center"/>
          </w:tcPr>
          <w:p w14:paraId="0A64CB98" w14:textId="7470ED8A"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27.9%</w:t>
            </w:r>
          </w:p>
        </w:tc>
        <w:tc>
          <w:tcPr>
            <w:tcW w:w="760" w:type="dxa"/>
            <w:vAlign w:val="center"/>
          </w:tcPr>
          <w:p w14:paraId="57E34ED3" w14:textId="3301A601"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785.0</w:t>
            </w:r>
          </w:p>
        </w:tc>
        <w:tc>
          <w:tcPr>
            <w:tcW w:w="760" w:type="dxa"/>
            <w:vAlign w:val="center"/>
          </w:tcPr>
          <w:p w14:paraId="4653CEDE" w14:textId="13C48BE4"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20.9%</w:t>
            </w:r>
          </w:p>
        </w:tc>
      </w:tr>
      <w:tr w:rsidR="00737C4E" w:rsidRPr="00B11180" w14:paraId="73A2CEC2" w14:textId="77777777" w:rsidTr="00737C4E">
        <w:trPr>
          <w:trHeight w:val="366"/>
        </w:trPr>
        <w:tc>
          <w:tcPr>
            <w:tcW w:w="1427" w:type="dxa"/>
            <w:vAlign w:val="center"/>
          </w:tcPr>
          <w:p w14:paraId="1A76C542" w14:textId="76375F53"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Technicians and Trades Workers</w:t>
            </w:r>
          </w:p>
        </w:tc>
        <w:tc>
          <w:tcPr>
            <w:tcW w:w="759" w:type="dxa"/>
            <w:vAlign w:val="center"/>
          </w:tcPr>
          <w:p w14:paraId="597A4513" w14:textId="78E0C6FE" w:rsidR="00737C4E" w:rsidRPr="00737C4E" w:rsidRDefault="00737C4E" w:rsidP="00737C4E">
            <w:pPr>
              <w:jc w:val="center"/>
              <w:rPr>
                <w:rFonts w:asciiTheme="minorHAnsi" w:hAnsiTheme="minorHAnsi" w:cstheme="minorHAnsi"/>
                <w:sz w:val="16"/>
                <w:szCs w:val="16"/>
              </w:rPr>
            </w:pPr>
            <w:r w:rsidRPr="00737C4E">
              <w:rPr>
                <w:rFonts w:asciiTheme="minorHAnsi" w:hAnsiTheme="minorHAnsi" w:cstheme="minorHAnsi"/>
                <w:sz w:val="16"/>
                <w:szCs w:val="16"/>
              </w:rPr>
              <w:t>1,967.8</w:t>
            </w:r>
          </w:p>
        </w:tc>
        <w:tc>
          <w:tcPr>
            <w:tcW w:w="760" w:type="dxa"/>
            <w:vAlign w:val="center"/>
          </w:tcPr>
          <w:p w14:paraId="42B8CA69" w14:textId="4BCE903D"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13.7%</w:t>
            </w:r>
          </w:p>
        </w:tc>
        <w:tc>
          <w:tcPr>
            <w:tcW w:w="760" w:type="dxa"/>
            <w:vAlign w:val="center"/>
          </w:tcPr>
          <w:p w14:paraId="4639F62F" w14:textId="257BE2A8" w:rsidR="00737C4E" w:rsidRPr="00737C4E" w:rsidRDefault="00737C4E" w:rsidP="00737C4E">
            <w:pPr>
              <w:jc w:val="center"/>
              <w:rPr>
                <w:rFonts w:asciiTheme="minorHAnsi" w:hAnsiTheme="minorHAnsi" w:cstheme="minorHAnsi"/>
                <w:sz w:val="16"/>
                <w:szCs w:val="16"/>
              </w:rPr>
            </w:pPr>
            <w:r w:rsidRPr="00737C4E">
              <w:rPr>
                <w:rFonts w:asciiTheme="minorHAnsi" w:hAnsiTheme="minorHAnsi" w:cstheme="minorHAnsi"/>
                <w:sz w:val="16"/>
                <w:szCs w:val="16"/>
              </w:rPr>
              <w:t>2,049.5</w:t>
            </w:r>
          </w:p>
        </w:tc>
        <w:tc>
          <w:tcPr>
            <w:tcW w:w="760" w:type="dxa"/>
            <w:vAlign w:val="center"/>
          </w:tcPr>
          <w:p w14:paraId="38A65353" w14:textId="2C0EFE3C"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13.4%</w:t>
            </w:r>
          </w:p>
        </w:tc>
        <w:tc>
          <w:tcPr>
            <w:tcW w:w="760" w:type="dxa"/>
            <w:vAlign w:val="center"/>
          </w:tcPr>
          <w:p w14:paraId="5FD7605B" w14:textId="1B15A9D2"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81.7</w:t>
            </w:r>
          </w:p>
        </w:tc>
        <w:tc>
          <w:tcPr>
            <w:tcW w:w="760" w:type="dxa"/>
            <w:vAlign w:val="center"/>
          </w:tcPr>
          <w:p w14:paraId="64986EA7" w14:textId="5661A067"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4.2%</w:t>
            </w:r>
          </w:p>
        </w:tc>
        <w:tc>
          <w:tcPr>
            <w:tcW w:w="760" w:type="dxa"/>
            <w:vAlign w:val="center"/>
          </w:tcPr>
          <w:p w14:paraId="46D9F694" w14:textId="641EC130" w:rsidR="00737C4E" w:rsidRPr="00737C4E" w:rsidRDefault="00737C4E" w:rsidP="00737C4E">
            <w:pPr>
              <w:jc w:val="center"/>
              <w:rPr>
                <w:rFonts w:asciiTheme="minorHAnsi" w:hAnsiTheme="minorHAnsi" w:cstheme="minorHAnsi"/>
                <w:sz w:val="16"/>
                <w:szCs w:val="16"/>
              </w:rPr>
            </w:pPr>
            <w:r w:rsidRPr="00737C4E">
              <w:rPr>
                <w:rFonts w:asciiTheme="minorHAnsi" w:hAnsiTheme="minorHAnsi" w:cstheme="minorHAnsi"/>
                <w:sz w:val="16"/>
                <w:szCs w:val="16"/>
              </w:rPr>
              <w:t>2,154.6</w:t>
            </w:r>
          </w:p>
        </w:tc>
        <w:tc>
          <w:tcPr>
            <w:tcW w:w="760" w:type="dxa"/>
            <w:vAlign w:val="center"/>
          </w:tcPr>
          <w:p w14:paraId="32D5538C" w14:textId="6C953F2C"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13.2%</w:t>
            </w:r>
          </w:p>
        </w:tc>
        <w:tc>
          <w:tcPr>
            <w:tcW w:w="760" w:type="dxa"/>
            <w:vAlign w:val="center"/>
          </w:tcPr>
          <w:p w14:paraId="3CF2FC26" w14:textId="3E7DF11B"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186.8</w:t>
            </w:r>
          </w:p>
        </w:tc>
        <w:tc>
          <w:tcPr>
            <w:tcW w:w="760" w:type="dxa"/>
            <w:vAlign w:val="center"/>
          </w:tcPr>
          <w:p w14:paraId="50C012EC" w14:textId="4A03C2BD"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9.5%</w:t>
            </w:r>
          </w:p>
        </w:tc>
      </w:tr>
      <w:tr w:rsidR="00737C4E" w:rsidRPr="00B11180" w14:paraId="70DB892E" w14:textId="77777777" w:rsidTr="00737C4E">
        <w:trPr>
          <w:cnfStyle w:val="000000010000" w:firstRow="0" w:lastRow="0" w:firstColumn="0" w:lastColumn="0" w:oddVBand="0" w:evenVBand="0" w:oddHBand="0" w:evenHBand="1" w:firstRowFirstColumn="0" w:firstRowLastColumn="0" w:lastRowFirstColumn="0" w:lastRowLastColumn="0"/>
          <w:trHeight w:val="366"/>
        </w:trPr>
        <w:tc>
          <w:tcPr>
            <w:tcW w:w="1427" w:type="dxa"/>
            <w:vAlign w:val="center"/>
          </w:tcPr>
          <w:p w14:paraId="47E2DF50" w14:textId="0D52A36E"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Community and Personal Service Workers</w:t>
            </w:r>
          </w:p>
        </w:tc>
        <w:tc>
          <w:tcPr>
            <w:tcW w:w="759" w:type="dxa"/>
            <w:vAlign w:val="center"/>
          </w:tcPr>
          <w:p w14:paraId="659DDD32" w14:textId="4DE7F289" w:rsidR="00737C4E" w:rsidRPr="00737C4E" w:rsidRDefault="00737C4E" w:rsidP="00737C4E">
            <w:pPr>
              <w:jc w:val="center"/>
              <w:rPr>
                <w:rFonts w:asciiTheme="minorHAnsi" w:hAnsiTheme="minorHAnsi" w:cstheme="minorHAnsi"/>
                <w:sz w:val="16"/>
                <w:szCs w:val="16"/>
              </w:rPr>
            </w:pPr>
            <w:r w:rsidRPr="00737C4E">
              <w:rPr>
                <w:rFonts w:asciiTheme="minorHAnsi" w:hAnsiTheme="minorHAnsi" w:cstheme="minorHAnsi"/>
                <w:sz w:val="16"/>
                <w:szCs w:val="16"/>
              </w:rPr>
              <w:t>1,666.1</w:t>
            </w:r>
          </w:p>
        </w:tc>
        <w:tc>
          <w:tcPr>
            <w:tcW w:w="760" w:type="dxa"/>
            <w:vAlign w:val="center"/>
          </w:tcPr>
          <w:p w14:paraId="743BBEE6" w14:textId="60DED1DB"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11.6%</w:t>
            </w:r>
          </w:p>
        </w:tc>
        <w:tc>
          <w:tcPr>
            <w:tcW w:w="760" w:type="dxa"/>
            <w:vAlign w:val="center"/>
          </w:tcPr>
          <w:p w14:paraId="3317616F" w14:textId="6249131B" w:rsidR="00737C4E" w:rsidRPr="00737C4E" w:rsidRDefault="00737C4E" w:rsidP="00737C4E">
            <w:pPr>
              <w:jc w:val="center"/>
              <w:rPr>
                <w:rFonts w:asciiTheme="minorHAnsi" w:hAnsiTheme="minorHAnsi" w:cstheme="minorHAnsi"/>
                <w:sz w:val="16"/>
                <w:szCs w:val="16"/>
              </w:rPr>
            </w:pPr>
            <w:r w:rsidRPr="00737C4E">
              <w:rPr>
                <w:rFonts w:asciiTheme="minorHAnsi" w:hAnsiTheme="minorHAnsi" w:cstheme="minorHAnsi"/>
                <w:sz w:val="16"/>
                <w:szCs w:val="16"/>
              </w:rPr>
              <w:t>1,812.1</w:t>
            </w:r>
          </w:p>
        </w:tc>
        <w:tc>
          <w:tcPr>
            <w:tcW w:w="760" w:type="dxa"/>
            <w:vAlign w:val="center"/>
          </w:tcPr>
          <w:p w14:paraId="2301BE1C" w14:textId="42093F12"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11.8%</w:t>
            </w:r>
          </w:p>
        </w:tc>
        <w:tc>
          <w:tcPr>
            <w:tcW w:w="760" w:type="dxa"/>
            <w:vAlign w:val="center"/>
          </w:tcPr>
          <w:p w14:paraId="14E70966" w14:textId="41D55E20"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146.0</w:t>
            </w:r>
          </w:p>
        </w:tc>
        <w:tc>
          <w:tcPr>
            <w:tcW w:w="760" w:type="dxa"/>
            <w:vAlign w:val="center"/>
          </w:tcPr>
          <w:p w14:paraId="7E603DA1" w14:textId="6A5A8469"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8.8%</w:t>
            </w:r>
          </w:p>
        </w:tc>
        <w:tc>
          <w:tcPr>
            <w:tcW w:w="760" w:type="dxa"/>
            <w:vAlign w:val="center"/>
          </w:tcPr>
          <w:p w14:paraId="4D2956CD" w14:textId="6956D5DD" w:rsidR="00737C4E" w:rsidRPr="00737C4E" w:rsidRDefault="00737C4E" w:rsidP="00737C4E">
            <w:pPr>
              <w:jc w:val="center"/>
              <w:rPr>
                <w:rFonts w:asciiTheme="minorHAnsi" w:hAnsiTheme="minorHAnsi" w:cstheme="minorHAnsi"/>
                <w:sz w:val="16"/>
                <w:szCs w:val="16"/>
              </w:rPr>
            </w:pPr>
            <w:r w:rsidRPr="00737C4E">
              <w:rPr>
                <w:rFonts w:asciiTheme="minorHAnsi" w:hAnsiTheme="minorHAnsi" w:cstheme="minorHAnsi"/>
                <w:sz w:val="16"/>
                <w:szCs w:val="16"/>
              </w:rPr>
              <w:t>1,960.7</w:t>
            </w:r>
          </w:p>
        </w:tc>
        <w:tc>
          <w:tcPr>
            <w:tcW w:w="760" w:type="dxa"/>
            <w:vAlign w:val="center"/>
          </w:tcPr>
          <w:p w14:paraId="45F3E67E" w14:textId="0720AD38"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12.0%</w:t>
            </w:r>
          </w:p>
        </w:tc>
        <w:tc>
          <w:tcPr>
            <w:tcW w:w="760" w:type="dxa"/>
            <w:vAlign w:val="center"/>
          </w:tcPr>
          <w:p w14:paraId="38DE3874" w14:textId="0CDA0612"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294.5</w:t>
            </w:r>
          </w:p>
        </w:tc>
        <w:tc>
          <w:tcPr>
            <w:tcW w:w="760" w:type="dxa"/>
            <w:vAlign w:val="center"/>
          </w:tcPr>
          <w:p w14:paraId="40289B53" w14:textId="5C5BD415"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17.7%</w:t>
            </w:r>
          </w:p>
        </w:tc>
      </w:tr>
      <w:tr w:rsidR="00737C4E" w:rsidRPr="00B11180" w14:paraId="52A8B0EC" w14:textId="77777777" w:rsidTr="00737C4E">
        <w:trPr>
          <w:trHeight w:val="366"/>
        </w:trPr>
        <w:tc>
          <w:tcPr>
            <w:tcW w:w="1427" w:type="dxa"/>
            <w:vAlign w:val="center"/>
          </w:tcPr>
          <w:p w14:paraId="312A953C" w14:textId="49E41DD8"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Clerical and Administrative Workers</w:t>
            </w:r>
          </w:p>
        </w:tc>
        <w:tc>
          <w:tcPr>
            <w:tcW w:w="759" w:type="dxa"/>
            <w:vAlign w:val="center"/>
          </w:tcPr>
          <w:p w14:paraId="49ABEB73" w14:textId="41D61E92" w:rsidR="00737C4E" w:rsidRPr="00737C4E" w:rsidRDefault="00737C4E" w:rsidP="00737C4E">
            <w:pPr>
              <w:jc w:val="center"/>
              <w:rPr>
                <w:rFonts w:asciiTheme="minorHAnsi" w:hAnsiTheme="minorHAnsi" w:cstheme="minorHAnsi"/>
                <w:sz w:val="16"/>
                <w:szCs w:val="16"/>
              </w:rPr>
            </w:pPr>
            <w:r w:rsidRPr="00737C4E">
              <w:rPr>
                <w:rFonts w:asciiTheme="minorHAnsi" w:hAnsiTheme="minorHAnsi" w:cstheme="minorHAnsi"/>
                <w:sz w:val="16"/>
                <w:szCs w:val="16"/>
              </w:rPr>
              <w:t>1,855.1</w:t>
            </w:r>
          </w:p>
        </w:tc>
        <w:tc>
          <w:tcPr>
            <w:tcW w:w="760" w:type="dxa"/>
            <w:vAlign w:val="center"/>
          </w:tcPr>
          <w:p w14:paraId="63746DA5" w14:textId="3FC4779B"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12.9%</w:t>
            </w:r>
          </w:p>
        </w:tc>
        <w:tc>
          <w:tcPr>
            <w:tcW w:w="760" w:type="dxa"/>
            <w:vAlign w:val="center"/>
          </w:tcPr>
          <w:p w14:paraId="049F4F1A" w14:textId="470A59A2" w:rsidR="00737C4E" w:rsidRPr="00737C4E" w:rsidRDefault="00737C4E" w:rsidP="00737C4E">
            <w:pPr>
              <w:jc w:val="center"/>
              <w:rPr>
                <w:rFonts w:asciiTheme="minorHAnsi" w:hAnsiTheme="minorHAnsi" w:cstheme="minorHAnsi"/>
                <w:sz w:val="16"/>
                <w:szCs w:val="16"/>
              </w:rPr>
            </w:pPr>
            <w:r w:rsidRPr="00737C4E">
              <w:rPr>
                <w:rFonts w:asciiTheme="minorHAnsi" w:hAnsiTheme="minorHAnsi" w:cstheme="minorHAnsi"/>
                <w:sz w:val="16"/>
                <w:szCs w:val="16"/>
              </w:rPr>
              <w:t>1,923.7</w:t>
            </w:r>
          </w:p>
        </w:tc>
        <w:tc>
          <w:tcPr>
            <w:tcW w:w="760" w:type="dxa"/>
            <w:vAlign w:val="center"/>
          </w:tcPr>
          <w:p w14:paraId="6EAA4B18" w14:textId="39088D8E"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12.6%</w:t>
            </w:r>
          </w:p>
        </w:tc>
        <w:tc>
          <w:tcPr>
            <w:tcW w:w="760" w:type="dxa"/>
            <w:vAlign w:val="center"/>
          </w:tcPr>
          <w:p w14:paraId="160FCFD5" w14:textId="4B8C60BB"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68.6</w:t>
            </w:r>
          </w:p>
        </w:tc>
        <w:tc>
          <w:tcPr>
            <w:tcW w:w="760" w:type="dxa"/>
            <w:vAlign w:val="center"/>
          </w:tcPr>
          <w:p w14:paraId="77A4D872" w14:textId="4FCBF534"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3.7%</w:t>
            </w:r>
          </w:p>
        </w:tc>
        <w:tc>
          <w:tcPr>
            <w:tcW w:w="760" w:type="dxa"/>
            <w:vAlign w:val="center"/>
          </w:tcPr>
          <w:p w14:paraId="0A1084DA" w14:textId="20B8C3A3" w:rsidR="00737C4E" w:rsidRPr="00737C4E" w:rsidRDefault="00737C4E" w:rsidP="00737C4E">
            <w:pPr>
              <w:jc w:val="center"/>
              <w:rPr>
                <w:rFonts w:asciiTheme="minorHAnsi" w:hAnsiTheme="minorHAnsi" w:cstheme="minorHAnsi"/>
                <w:sz w:val="16"/>
                <w:szCs w:val="16"/>
              </w:rPr>
            </w:pPr>
            <w:r w:rsidRPr="00737C4E">
              <w:rPr>
                <w:rFonts w:asciiTheme="minorHAnsi" w:hAnsiTheme="minorHAnsi" w:cstheme="minorHAnsi"/>
                <w:sz w:val="16"/>
                <w:szCs w:val="16"/>
              </w:rPr>
              <w:t>2,029.6</w:t>
            </w:r>
          </w:p>
        </w:tc>
        <w:tc>
          <w:tcPr>
            <w:tcW w:w="760" w:type="dxa"/>
            <w:vAlign w:val="center"/>
          </w:tcPr>
          <w:p w14:paraId="36C5675A" w14:textId="091E7BEF"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12.4%</w:t>
            </w:r>
          </w:p>
        </w:tc>
        <w:tc>
          <w:tcPr>
            <w:tcW w:w="760" w:type="dxa"/>
            <w:vAlign w:val="center"/>
          </w:tcPr>
          <w:p w14:paraId="4E1ABE76" w14:textId="0FFED7E4"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174.6</w:t>
            </w:r>
          </w:p>
        </w:tc>
        <w:tc>
          <w:tcPr>
            <w:tcW w:w="760" w:type="dxa"/>
            <w:vAlign w:val="center"/>
          </w:tcPr>
          <w:p w14:paraId="73099BBE" w14:textId="20B44420"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9.4%</w:t>
            </w:r>
          </w:p>
        </w:tc>
      </w:tr>
      <w:tr w:rsidR="00737C4E" w:rsidRPr="00B11180" w14:paraId="73B38CD2" w14:textId="77777777" w:rsidTr="00737C4E">
        <w:trPr>
          <w:cnfStyle w:val="000000010000" w:firstRow="0" w:lastRow="0" w:firstColumn="0" w:lastColumn="0" w:oddVBand="0" w:evenVBand="0" w:oddHBand="0" w:evenHBand="1" w:firstRowFirstColumn="0" w:firstRowLastColumn="0" w:lastRowFirstColumn="0" w:lastRowLastColumn="0"/>
          <w:trHeight w:val="366"/>
        </w:trPr>
        <w:tc>
          <w:tcPr>
            <w:tcW w:w="1427" w:type="dxa"/>
            <w:vAlign w:val="center"/>
          </w:tcPr>
          <w:p w14:paraId="2C9832F7" w14:textId="3EA64BAD"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Sales Workers</w:t>
            </w:r>
          </w:p>
        </w:tc>
        <w:tc>
          <w:tcPr>
            <w:tcW w:w="759" w:type="dxa"/>
            <w:vAlign w:val="center"/>
          </w:tcPr>
          <w:p w14:paraId="65E7F06A" w14:textId="0D4C725B" w:rsidR="00737C4E" w:rsidRPr="00737C4E" w:rsidRDefault="00737C4E" w:rsidP="00737C4E">
            <w:pPr>
              <w:jc w:val="center"/>
              <w:rPr>
                <w:rFonts w:asciiTheme="minorHAnsi" w:hAnsiTheme="minorHAnsi" w:cstheme="minorHAnsi"/>
                <w:sz w:val="16"/>
                <w:szCs w:val="16"/>
              </w:rPr>
            </w:pPr>
            <w:r w:rsidRPr="00737C4E">
              <w:rPr>
                <w:rFonts w:asciiTheme="minorHAnsi" w:hAnsiTheme="minorHAnsi" w:cstheme="minorHAnsi"/>
                <w:sz w:val="16"/>
                <w:szCs w:val="16"/>
              </w:rPr>
              <w:t>1,116.1</w:t>
            </w:r>
          </w:p>
        </w:tc>
        <w:tc>
          <w:tcPr>
            <w:tcW w:w="760" w:type="dxa"/>
            <w:vAlign w:val="center"/>
          </w:tcPr>
          <w:p w14:paraId="0DFF05AD" w14:textId="26AA8A6D"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7.8%</w:t>
            </w:r>
          </w:p>
        </w:tc>
        <w:tc>
          <w:tcPr>
            <w:tcW w:w="760" w:type="dxa"/>
            <w:vAlign w:val="center"/>
          </w:tcPr>
          <w:p w14:paraId="0B89784C" w14:textId="4C58516C" w:rsidR="00737C4E" w:rsidRPr="00737C4E" w:rsidRDefault="00737C4E" w:rsidP="00737C4E">
            <w:pPr>
              <w:jc w:val="center"/>
              <w:rPr>
                <w:rFonts w:asciiTheme="minorHAnsi" w:hAnsiTheme="minorHAnsi" w:cstheme="minorHAnsi"/>
                <w:sz w:val="16"/>
                <w:szCs w:val="16"/>
              </w:rPr>
            </w:pPr>
            <w:r w:rsidRPr="00737C4E">
              <w:rPr>
                <w:rFonts w:asciiTheme="minorHAnsi" w:hAnsiTheme="minorHAnsi" w:cstheme="minorHAnsi"/>
                <w:sz w:val="16"/>
                <w:szCs w:val="16"/>
              </w:rPr>
              <w:t>1,155.9</w:t>
            </w:r>
          </w:p>
        </w:tc>
        <w:tc>
          <w:tcPr>
            <w:tcW w:w="760" w:type="dxa"/>
            <w:vAlign w:val="center"/>
          </w:tcPr>
          <w:p w14:paraId="33D8A2CC" w14:textId="02E76DF6"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7.5%</w:t>
            </w:r>
          </w:p>
        </w:tc>
        <w:tc>
          <w:tcPr>
            <w:tcW w:w="760" w:type="dxa"/>
            <w:vAlign w:val="center"/>
          </w:tcPr>
          <w:p w14:paraId="18EA45E0" w14:textId="59F972D9"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39.8</w:t>
            </w:r>
          </w:p>
        </w:tc>
        <w:tc>
          <w:tcPr>
            <w:tcW w:w="760" w:type="dxa"/>
            <w:vAlign w:val="center"/>
          </w:tcPr>
          <w:p w14:paraId="6E876D13" w14:textId="4AAE3852"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3.6%</w:t>
            </w:r>
          </w:p>
        </w:tc>
        <w:tc>
          <w:tcPr>
            <w:tcW w:w="760" w:type="dxa"/>
            <w:vAlign w:val="center"/>
          </w:tcPr>
          <w:p w14:paraId="5C7075C6" w14:textId="1249C3C8" w:rsidR="00737C4E" w:rsidRPr="00737C4E" w:rsidRDefault="00737C4E" w:rsidP="00737C4E">
            <w:pPr>
              <w:jc w:val="center"/>
              <w:rPr>
                <w:rFonts w:asciiTheme="minorHAnsi" w:hAnsiTheme="minorHAnsi" w:cstheme="minorHAnsi"/>
                <w:sz w:val="16"/>
                <w:szCs w:val="16"/>
              </w:rPr>
            </w:pPr>
            <w:r w:rsidRPr="00737C4E">
              <w:rPr>
                <w:rFonts w:asciiTheme="minorHAnsi" w:hAnsiTheme="minorHAnsi" w:cstheme="minorHAnsi"/>
                <w:sz w:val="16"/>
                <w:szCs w:val="16"/>
              </w:rPr>
              <w:t>1,204.1</w:t>
            </w:r>
          </w:p>
        </w:tc>
        <w:tc>
          <w:tcPr>
            <w:tcW w:w="760" w:type="dxa"/>
            <w:vAlign w:val="center"/>
          </w:tcPr>
          <w:p w14:paraId="61632124" w14:textId="377DB1F4"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7.4%</w:t>
            </w:r>
          </w:p>
        </w:tc>
        <w:tc>
          <w:tcPr>
            <w:tcW w:w="760" w:type="dxa"/>
            <w:vAlign w:val="center"/>
          </w:tcPr>
          <w:p w14:paraId="32FB57B7" w14:textId="1CF5C149"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88.1</w:t>
            </w:r>
          </w:p>
        </w:tc>
        <w:tc>
          <w:tcPr>
            <w:tcW w:w="760" w:type="dxa"/>
            <w:vAlign w:val="center"/>
          </w:tcPr>
          <w:p w14:paraId="6F60E80F" w14:textId="3BB077F0"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7.9%</w:t>
            </w:r>
          </w:p>
        </w:tc>
      </w:tr>
      <w:tr w:rsidR="00737C4E" w:rsidRPr="00B11180" w14:paraId="692E9510" w14:textId="77777777" w:rsidTr="00737C4E">
        <w:trPr>
          <w:trHeight w:val="366"/>
        </w:trPr>
        <w:tc>
          <w:tcPr>
            <w:tcW w:w="1427" w:type="dxa"/>
            <w:vAlign w:val="center"/>
          </w:tcPr>
          <w:p w14:paraId="4A2E3A6B" w14:textId="7BF601AF"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Machinery Operators and Drivers</w:t>
            </w:r>
          </w:p>
        </w:tc>
        <w:tc>
          <w:tcPr>
            <w:tcW w:w="759" w:type="dxa"/>
            <w:vAlign w:val="center"/>
          </w:tcPr>
          <w:p w14:paraId="6A83E486" w14:textId="2197BADC"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920.2</w:t>
            </w:r>
          </w:p>
        </w:tc>
        <w:tc>
          <w:tcPr>
            <w:tcW w:w="760" w:type="dxa"/>
            <w:vAlign w:val="center"/>
          </w:tcPr>
          <w:p w14:paraId="60E2D7B9" w14:textId="7B291475"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6.4%</w:t>
            </w:r>
          </w:p>
        </w:tc>
        <w:tc>
          <w:tcPr>
            <w:tcW w:w="760" w:type="dxa"/>
            <w:vAlign w:val="center"/>
          </w:tcPr>
          <w:p w14:paraId="797AB563" w14:textId="7139CDAA"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960.0</w:t>
            </w:r>
          </w:p>
        </w:tc>
        <w:tc>
          <w:tcPr>
            <w:tcW w:w="760" w:type="dxa"/>
            <w:vAlign w:val="center"/>
          </w:tcPr>
          <w:p w14:paraId="738D875B" w14:textId="6CB6D8A4"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6.3%</w:t>
            </w:r>
          </w:p>
        </w:tc>
        <w:tc>
          <w:tcPr>
            <w:tcW w:w="760" w:type="dxa"/>
            <w:vAlign w:val="center"/>
          </w:tcPr>
          <w:p w14:paraId="178E9995" w14:textId="345B136D"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39.8</w:t>
            </w:r>
          </w:p>
        </w:tc>
        <w:tc>
          <w:tcPr>
            <w:tcW w:w="760" w:type="dxa"/>
            <w:vAlign w:val="center"/>
          </w:tcPr>
          <w:p w14:paraId="54A6B5C8" w14:textId="07A30358"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4.3%</w:t>
            </w:r>
          </w:p>
        </w:tc>
        <w:tc>
          <w:tcPr>
            <w:tcW w:w="760" w:type="dxa"/>
            <w:vAlign w:val="center"/>
          </w:tcPr>
          <w:p w14:paraId="1A988C88" w14:textId="4C075D38" w:rsidR="00737C4E" w:rsidRPr="00737C4E" w:rsidRDefault="00737C4E" w:rsidP="00737C4E">
            <w:pPr>
              <w:jc w:val="center"/>
              <w:rPr>
                <w:rFonts w:asciiTheme="minorHAnsi" w:hAnsiTheme="minorHAnsi" w:cstheme="minorHAnsi"/>
                <w:sz w:val="16"/>
                <w:szCs w:val="16"/>
              </w:rPr>
            </w:pPr>
            <w:r w:rsidRPr="00737C4E">
              <w:rPr>
                <w:rFonts w:asciiTheme="minorHAnsi" w:hAnsiTheme="minorHAnsi" w:cstheme="minorHAnsi"/>
                <w:sz w:val="16"/>
                <w:szCs w:val="16"/>
              </w:rPr>
              <w:t>1,007.7</w:t>
            </w:r>
          </w:p>
        </w:tc>
        <w:tc>
          <w:tcPr>
            <w:tcW w:w="760" w:type="dxa"/>
            <w:vAlign w:val="center"/>
          </w:tcPr>
          <w:p w14:paraId="6953ECD5" w14:textId="621DC58E"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6.2%</w:t>
            </w:r>
          </w:p>
        </w:tc>
        <w:tc>
          <w:tcPr>
            <w:tcW w:w="760" w:type="dxa"/>
            <w:vAlign w:val="center"/>
          </w:tcPr>
          <w:p w14:paraId="53B1A6C2" w14:textId="1B28E200"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87.5</w:t>
            </w:r>
          </w:p>
        </w:tc>
        <w:tc>
          <w:tcPr>
            <w:tcW w:w="760" w:type="dxa"/>
            <w:vAlign w:val="center"/>
          </w:tcPr>
          <w:p w14:paraId="61573239" w14:textId="0AA37E73"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9.5%</w:t>
            </w:r>
          </w:p>
        </w:tc>
      </w:tr>
      <w:tr w:rsidR="00737C4E" w:rsidRPr="00B11180" w14:paraId="48B30DF6" w14:textId="77777777" w:rsidTr="00737C4E">
        <w:trPr>
          <w:cnfStyle w:val="000000010000" w:firstRow="0" w:lastRow="0" w:firstColumn="0" w:lastColumn="0" w:oddVBand="0" w:evenVBand="0" w:oddHBand="0" w:evenHBand="1" w:firstRowFirstColumn="0" w:firstRowLastColumn="0" w:lastRowFirstColumn="0" w:lastRowLastColumn="0"/>
          <w:trHeight w:val="366"/>
        </w:trPr>
        <w:tc>
          <w:tcPr>
            <w:tcW w:w="1427" w:type="dxa"/>
            <w:vAlign w:val="center"/>
          </w:tcPr>
          <w:p w14:paraId="3B197748" w14:textId="3D36AC7D"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Labourers</w:t>
            </w:r>
          </w:p>
        </w:tc>
        <w:tc>
          <w:tcPr>
            <w:tcW w:w="759" w:type="dxa"/>
            <w:vAlign w:val="center"/>
          </w:tcPr>
          <w:p w14:paraId="5B01D148" w14:textId="75D37E5B" w:rsidR="00737C4E" w:rsidRPr="00737C4E" w:rsidRDefault="00737C4E" w:rsidP="00737C4E">
            <w:pPr>
              <w:jc w:val="center"/>
              <w:rPr>
                <w:rFonts w:asciiTheme="minorHAnsi" w:hAnsiTheme="minorHAnsi" w:cstheme="minorHAnsi"/>
                <w:sz w:val="16"/>
                <w:szCs w:val="16"/>
              </w:rPr>
            </w:pPr>
            <w:r w:rsidRPr="00737C4E">
              <w:rPr>
                <w:rFonts w:asciiTheme="minorHAnsi" w:hAnsiTheme="minorHAnsi" w:cstheme="minorHAnsi"/>
                <w:sz w:val="16"/>
                <w:szCs w:val="16"/>
              </w:rPr>
              <w:t>1,217.9</w:t>
            </w:r>
          </w:p>
        </w:tc>
        <w:tc>
          <w:tcPr>
            <w:tcW w:w="760" w:type="dxa"/>
            <w:vAlign w:val="center"/>
          </w:tcPr>
          <w:p w14:paraId="6FC6A5F9" w14:textId="63EA74B3"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8.5%</w:t>
            </w:r>
          </w:p>
        </w:tc>
        <w:tc>
          <w:tcPr>
            <w:tcW w:w="760" w:type="dxa"/>
            <w:vAlign w:val="center"/>
          </w:tcPr>
          <w:p w14:paraId="32DA3419" w14:textId="0CD41183" w:rsidR="00737C4E" w:rsidRPr="00737C4E" w:rsidRDefault="00737C4E" w:rsidP="00737C4E">
            <w:pPr>
              <w:jc w:val="center"/>
              <w:rPr>
                <w:rFonts w:asciiTheme="minorHAnsi" w:hAnsiTheme="minorHAnsi" w:cstheme="minorHAnsi"/>
                <w:sz w:val="16"/>
                <w:szCs w:val="16"/>
              </w:rPr>
            </w:pPr>
            <w:r w:rsidRPr="00737C4E">
              <w:rPr>
                <w:rFonts w:asciiTheme="minorHAnsi" w:hAnsiTheme="minorHAnsi" w:cstheme="minorHAnsi"/>
                <w:sz w:val="16"/>
                <w:szCs w:val="16"/>
              </w:rPr>
              <w:t>1,227.9</w:t>
            </w:r>
          </w:p>
        </w:tc>
        <w:tc>
          <w:tcPr>
            <w:tcW w:w="760" w:type="dxa"/>
            <w:vAlign w:val="center"/>
          </w:tcPr>
          <w:p w14:paraId="780D799F" w14:textId="76090197"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8.0%</w:t>
            </w:r>
          </w:p>
        </w:tc>
        <w:tc>
          <w:tcPr>
            <w:tcW w:w="760" w:type="dxa"/>
            <w:vAlign w:val="center"/>
          </w:tcPr>
          <w:p w14:paraId="37FFC119" w14:textId="160A25E0"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10.0</w:t>
            </w:r>
          </w:p>
        </w:tc>
        <w:tc>
          <w:tcPr>
            <w:tcW w:w="760" w:type="dxa"/>
            <w:vAlign w:val="center"/>
          </w:tcPr>
          <w:p w14:paraId="699FAB21" w14:textId="4FB8B999"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0.8%</w:t>
            </w:r>
          </w:p>
        </w:tc>
        <w:tc>
          <w:tcPr>
            <w:tcW w:w="760" w:type="dxa"/>
            <w:vAlign w:val="center"/>
          </w:tcPr>
          <w:p w14:paraId="2D750308" w14:textId="3FAF9A1E" w:rsidR="00737C4E" w:rsidRPr="00737C4E" w:rsidRDefault="00737C4E" w:rsidP="00737C4E">
            <w:pPr>
              <w:jc w:val="center"/>
              <w:rPr>
                <w:rFonts w:asciiTheme="minorHAnsi" w:hAnsiTheme="minorHAnsi" w:cstheme="minorHAnsi"/>
                <w:sz w:val="16"/>
                <w:szCs w:val="16"/>
              </w:rPr>
            </w:pPr>
            <w:r w:rsidRPr="00737C4E">
              <w:rPr>
                <w:rFonts w:asciiTheme="minorHAnsi" w:hAnsiTheme="minorHAnsi" w:cstheme="minorHAnsi"/>
                <w:sz w:val="16"/>
                <w:szCs w:val="16"/>
              </w:rPr>
              <w:t>1,272.4</w:t>
            </w:r>
          </w:p>
        </w:tc>
        <w:tc>
          <w:tcPr>
            <w:tcW w:w="760" w:type="dxa"/>
            <w:vAlign w:val="center"/>
          </w:tcPr>
          <w:p w14:paraId="7D020EE9" w14:textId="44CBFDD9"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7.8%</w:t>
            </w:r>
          </w:p>
        </w:tc>
        <w:tc>
          <w:tcPr>
            <w:tcW w:w="760" w:type="dxa"/>
            <w:vAlign w:val="center"/>
          </w:tcPr>
          <w:p w14:paraId="53030C03" w14:textId="0E5D2EBE"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54.6</w:t>
            </w:r>
          </w:p>
        </w:tc>
        <w:tc>
          <w:tcPr>
            <w:tcW w:w="760" w:type="dxa"/>
            <w:vAlign w:val="center"/>
          </w:tcPr>
          <w:p w14:paraId="36F0A33C" w14:textId="17E45F05" w:rsidR="00737C4E" w:rsidRPr="00737C4E" w:rsidRDefault="00737C4E" w:rsidP="00737C4E">
            <w:pPr>
              <w:jc w:val="center"/>
              <w:rPr>
                <w:rFonts w:asciiTheme="minorHAnsi" w:hAnsiTheme="minorHAnsi" w:cstheme="minorHAnsi"/>
                <w:sz w:val="18"/>
                <w:szCs w:val="18"/>
              </w:rPr>
            </w:pPr>
            <w:r w:rsidRPr="00737C4E">
              <w:rPr>
                <w:rFonts w:asciiTheme="minorHAnsi" w:hAnsiTheme="minorHAnsi" w:cstheme="minorHAnsi"/>
                <w:sz w:val="18"/>
                <w:szCs w:val="18"/>
              </w:rPr>
              <w:t>4.5%</w:t>
            </w:r>
          </w:p>
        </w:tc>
      </w:tr>
      <w:tr w:rsidR="00737C4E" w:rsidRPr="00B11180" w14:paraId="750FC820" w14:textId="77777777" w:rsidTr="00737C4E">
        <w:trPr>
          <w:trHeight w:val="366"/>
        </w:trPr>
        <w:tc>
          <w:tcPr>
            <w:tcW w:w="1427" w:type="dxa"/>
            <w:vAlign w:val="center"/>
          </w:tcPr>
          <w:p w14:paraId="182B760E" w14:textId="2F1E0B6C" w:rsidR="00737C4E" w:rsidRPr="00737C4E" w:rsidRDefault="00737C4E" w:rsidP="00737C4E">
            <w:pPr>
              <w:jc w:val="center"/>
              <w:rPr>
                <w:rFonts w:asciiTheme="minorHAnsi" w:hAnsiTheme="minorHAnsi" w:cstheme="minorHAnsi"/>
                <w:b/>
                <w:bCs/>
                <w:sz w:val="18"/>
                <w:szCs w:val="18"/>
              </w:rPr>
            </w:pPr>
            <w:r w:rsidRPr="00737C4E">
              <w:rPr>
                <w:rFonts w:asciiTheme="minorHAnsi" w:hAnsiTheme="minorHAnsi" w:cstheme="minorHAnsi"/>
                <w:b/>
                <w:bCs/>
                <w:sz w:val="18"/>
                <w:szCs w:val="18"/>
              </w:rPr>
              <w:t>Total</w:t>
            </w:r>
          </w:p>
        </w:tc>
        <w:tc>
          <w:tcPr>
            <w:tcW w:w="759" w:type="dxa"/>
            <w:vAlign w:val="center"/>
          </w:tcPr>
          <w:p w14:paraId="565CA8D6" w14:textId="7990FC1C" w:rsidR="00737C4E" w:rsidRPr="00737C4E" w:rsidRDefault="00737C4E" w:rsidP="00737C4E">
            <w:pPr>
              <w:jc w:val="center"/>
              <w:rPr>
                <w:rFonts w:asciiTheme="minorHAnsi" w:hAnsiTheme="minorHAnsi" w:cstheme="minorHAnsi"/>
                <w:b/>
                <w:bCs/>
                <w:sz w:val="16"/>
                <w:szCs w:val="16"/>
              </w:rPr>
            </w:pPr>
            <w:r w:rsidRPr="00737C4E">
              <w:rPr>
                <w:rFonts w:asciiTheme="minorHAnsi" w:hAnsiTheme="minorHAnsi" w:cstheme="minorHAnsi"/>
                <w:b/>
                <w:bCs/>
                <w:sz w:val="16"/>
                <w:szCs w:val="16"/>
              </w:rPr>
              <w:t>14,363.3</w:t>
            </w:r>
          </w:p>
        </w:tc>
        <w:tc>
          <w:tcPr>
            <w:tcW w:w="760" w:type="dxa"/>
            <w:vAlign w:val="center"/>
          </w:tcPr>
          <w:p w14:paraId="3BC60AF6" w14:textId="25B5F1EE" w:rsidR="00737C4E" w:rsidRPr="00737C4E" w:rsidRDefault="00737C4E" w:rsidP="00737C4E">
            <w:pPr>
              <w:jc w:val="center"/>
              <w:rPr>
                <w:rFonts w:asciiTheme="minorHAnsi" w:hAnsiTheme="minorHAnsi" w:cstheme="minorHAnsi"/>
                <w:b/>
                <w:bCs/>
                <w:sz w:val="18"/>
                <w:szCs w:val="18"/>
              </w:rPr>
            </w:pPr>
            <w:r w:rsidRPr="00737C4E">
              <w:rPr>
                <w:rFonts w:asciiTheme="minorHAnsi" w:hAnsiTheme="minorHAnsi" w:cstheme="minorHAnsi"/>
                <w:b/>
                <w:bCs/>
                <w:sz w:val="18"/>
                <w:szCs w:val="18"/>
              </w:rPr>
              <w:t>na</w:t>
            </w:r>
          </w:p>
        </w:tc>
        <w:tc>
          <w:tcPr>
            <w:tcW w:w="760" w:type="dxa"/>
            <w:vAlign w:val="center"/>
          </w:tcPr>
          <w:p w14:paraId="379F4474" w14:textId="7C5AF535" w:rsidR="00737C4E" w:rsidRPr="00737C4E" w:rsidRDefault="00737C4E" w:rsidP="00737C4E">
            <w:pPr>
              <w:jc w:val="center"/>
              <w:rPr>
                <w:rFonts w:asciiTheme="minorHAnsi" w:hAnsiTheme="minorHAnsi" w:cstheme="minorHAnsi"/>
                <w:b/>
                <w:bCs/>
                <w:sz w:val="16"/>
                <w:szCs w:val="16"/>
              </w:rPr>
            </w:pPr>
            <w:r w:rsidRPr="00737C4E">
              <w:rPr>
                <w:rFonts w:asciiTheme="minorHAnsi" w:hAnsiTheme="minorHAnsi" w:cstheme="minorHAnsi"/>
                <w:b/>
                <w:bCs/>
                <w:sz w:val="16"/>
                <w:szCs w:val="16"/>
              </w:rPr>
              <w:t>15,310.7</w:t>
            </w:r>
          </w:p>
        </w:tc>
        <w:tc>
          <w:tcPr>
            <w:tcW w:w="760" w:type="dxa"/>
            <w:vAlign w:val="center"/>
          </w:tcPr>
          <w:p w14:paraId="7411DBBF" w14:textId="69EFCCFC" w:rsidR="00737C4E" w:rsidRPr="00737C4E" w:rsidRDefault="00737C4E" w:rsidP="00737C4E">
            <w:pPr>
              <w:jc w:val="center"/>
              <w:rPr>
                <w:rFonts w:asciiTheme="minorHAnsi" w:hAnsiTheme="minorHAnsi" w:cstheme="minorHAnsi"/>
                <w:b/>
                <w:bCs/>
                <w:sz w:val="18"/>
                <w:szCs w:val="18"/>
              </w:rPr>
            </w:pPr>
            <w:r w:rsidRPr="00737C4E">
              <w:rPr>
                <w:rFonts w:asciiTheme="minorHAnsi" w:hAnsiTheme="minorHAnsi" w:cstheme="minorHAnsi"/>
                <w:b/>
                <w:bCs/>
                <w:sz w:val="18"/>
                <w:szCs w:val="18"/>
              </w:rPr>
              <w:t>na</w:t>
            </w:r>
          </w:p>
        </w:tc>
        <w:tc>
          <w:tcPr>
            <w:tcW w:w="760" w:type="dxa"/>
            <w:vAlign w:val="center"/>
          </w:tcPr>
          <w:p w14:paraId="6C2824C5" w14:textId="1F308DD7" w:rsidR="00737C4E" w:rsidRPr="00737C4E" w:rsidRDefault="00737C4E" w:rsidP="00737C4E">
            <w:pPr>
              <w:jc w:val="center"/>
              <w:rPr>
                <w:rFonts w:asciiTheme="minorHAnsi" w:hAnsiTheme="minorHAnsi" w:cstheme="minorHAnsi"/>
                <w:b/>
                <w:bCs/>
                <w:sz w:val="18"/>
                <w:szCs w:val="18"/>
              </w:rPr>
            </w:pPr>
            <w:r w:rsidRPr="00737C4E">
              <w:rPr>
                <w:rFonts w:asciiTheme="minorHAnsi" w:hAnsiTheme="minorHAnsi" w:cstheme="minorHAnsi"/>
                <w:b/>
                <w:bCs/>
                <w:sz w:val="18"/>
                <w:szCs w:val="18"/>
              </w:rPr>
              <w:t>947.4</w:t>
            </w:r>
          </w:p>
        </w:tc>
        <w:tc>
          <w:tcPr>
            <w:tcW w:w="760" w:type="dxa"/>
            <w:vAlign w:val="center"/>
          </w:tcPr>
          <w:p w14:paraId="5B179978" w14:textId="6BAFB120" w:rsidR="00737C4E" w:rsidRPr="00737C4E" w:rsidRDefault="00737C4E" w:rsidP="00737C4E">
            <w:pPr>
              <w:jc w:val="center"/>
              <w:rPr>
                <w:rFonts w:asciiTheme="minorHAnsi" w:hAnsiTheme="minorHAnsi" w:cstheme="minorHAnsi"/>
                <w:b/>
                <w:bCs/>
                <w:sz w:val="18"/>
                <w:szCs w:val="18"/>
              </w:rPr>
            </w:pPr>
            <w:r w:rsidRPr="00737C4E">
              <w:rPr>
                <w:rFonts w:asciiTheme="minorHAnsi" w:hAnsiTheme="minorHAnsi" w:cstheme="minorHAnsi"/>
                <w:b/>
                <w:bCs/>
                <w:sz w:val="18"/>
                <w:szCs w:val="18"/>
              </w:rPr>
              <w:t>6.6%</w:t>
            </w:r>
          </w:p>
        </w:tc>
        <w:tc>
          <w:tcPr>
            <w:tcW w:w="760" w:type="dxa"/>
            <w:vAlign w:val="center"/>
          </w:tcPr>
          <w:p w14:paraId="33676CD5" w14:textId="3259A294" w:rsidR="00737C4E" w:rsidRPr="00737C4E" w:rsidRDefault="00737C4E" w:rsidP="00737C4E">
            <w:pPr>
              <w:jc w:val="center"/>
              <w:rPr>
                <w:rFonts w:asciiTheme="minorHAnsi" w:hAnsiTheme="minorHAnsi" w:cstheme="minorHAnsi"/>
                <w:b/>
                <w:bCs/>
                <w:sz w:val="16"/>
                <w:szCs w:val="16"/>
              </w:rPr>
            </w:pPr>
            <w:r w:rsidRPr="00737C4E">
              <w:rPr>
                <w:rFonts w:asciiTheme="minorHAnsi" w:hAnsiTheme="minorHAnsi" w:cstheme="minorHAnsi"/>
                <w:b/>
                <w:bCs/>
                <w:sz w:val="16"/>
                <w:szCs w:val="16"/>
              </w:rPr>
              <w:t>16,325.5</w:t>
            </w:r>
          </w:p>
        </w:tc>
        <w:tc>
          <w:tcPr>
            <w:tcW w:w="760" w:type="dxa"/>
            <w:vAlign w:val="center"/>
          </w:tcPr>
          <w:p w14:paraId="21C6F1DC" w14:textId="631A14BA" w:rsidR="00737C4E" w:rsidRPr="00737C4E" w:rsidRDefault="00737C4E" w:rsidP="00737C4E">
            <w:pPr>
              <w:jc w:val="center"/>
              <w:rPr>
                <w:rFonts w:asciiTheme="minorHAnsi" w:hAnsiTheme="minorHAnsi" w:cstheme="minorHAnsi"/>
                <w:b/>
                <w:bCs/>
                <w:sz w:val="18"/>
                <w:szCs w:val="18"/>
              </w:rPr>
            </w:pPr>
            <w:r w:rsidRPr="00737C4E">
              <w:rPr>
                <w:rFonts w:asciiTheme="minorHAnsi" w:hAnsiTheme="minorHAnsi" w:cstheme="minorHAnsi"/>
                <w:b/>
                <w:bCs/>
                <w:sz w:val="18"/>
                <w:szCs w:val="18"/>
              </w:rPr>
              <w:t>na</w:t>
            </w:r>
          </w:p>
        </w:tc>
        <w:tc>
          <w:tcPr>
            <w:tcW w:w="760" w:type="dxa"/>
            <w:vAlign w:val="center"/>
          </w:tcPr>
          <w:p w14:paraId="68394D86" w14:textId="3D912118" w:rsidR="00737C4E" w:rsidRPr="00737C4E" w:rsidRDefault="00737C4E" w:rsidP="00737C4E">
            <w:pPr>
              <w:jc w:val="center"/>
              <w:rPr>
                <w:rFonts w:asciiTheme="minorHAnsi" w:hAnsiTheme="minorHAnsi" w:cstheme="minorHAnsi"/>
                <w:b/>
                <w:bCs/>
                <w:sz w:val="18"/>
                <w:szCs w:val="18"/>
              </w:rPr>
            </w:pPr>
            <w:r w:rsidRPr="00737C4E">
              <w:rPr>
                <w:rFonts w:asciiTheme="minorHAnsi" w:hAnsiTheme="minorHAnsi" w:cstheme="minorHAnsi"/>
                <w:b/>
                <w:bCs/>
                <w:sz w:val="16"/>
                <w:szCs w:val="16"/>
              </w:rPr>
              <w:t>1,962.2</w:t>
            </w:r>
          </w:p>
        </w:tc>
        <w:tc>
          <w:tcPr>
            <w:tcW w:w="760" w:type="dxa"/>
            <w:vAlign w:val="center"/>
          </w:tcPr>
          <w:p w14:paraId="79600E41" w14:textId="055B601E" w:rsidR="00737C4E" w:rsidRPr="00737C4E" w:rsidRDefault="00737C4E" w:rsidP="00737C4E">
            <w:pPr>
              <w:jc w:val="center"/>
              <w:rPr>
                <w:rFonts w:asciiTheme="minorHAnsi" w:hAnsiTheme="minorHAnsi" w:cstheme="minorHAnsi"/>
                <w:b/>
                <w:bCs/>
                <w:sz w:val="18"/>
                <w:szCs w:val="18"/>
              </w:rPr>
            </w:pPr>
            <w:r w:rsidRPr="00737C4E">
              <w:rPr>
                <w:rFonts w:asciiTheme="minorHAnsi" w:hAnsiTheme="minorHAnsi" w:cstheme="minorHAnsi"/>
                <w:b/>
                <w:bCs/>
                <w:sz w:val="18"/>
                <w:szCs w:val="18"/>
              </w:rPr>
              <w:t>13.7%</w:t>
            </w:r>
          </w:p>
        </w:tc>
      </w:tr>
    </w:tbl>
    <w:p w14:paraId="5DEFE66C" w14:textId="449BCBC7" w:rsidR="00AC2606" w:rsidRPr="00081C05" w:rsidRDefault="00AC2606" w:rsidP="00A17C4D">
      <w:pPr>
        <w:pStyle w:val="Source"/>
      </w:pPr>
      <w:r w:rsidRPr="00081C05">
        <w:t>Source: 2024-2034 Employment Projections, produced by Victoria University for Jobs and Skills Australia</w:t>
      </w:r>
      <w:r w:rsidR="00AB782F">
        <w:t>.</w:t>
      </w:r>
    </w:p>
    <w:p w14:paraId="64154813" w14:textId="77777777" w:rsidR="0068274C" w:rsidRDefault="0068274C">
      <w:pPr>
        <w:spacing w:after="160" w:line="259" w:lineRule="auto"/>
        <w:rPr>
          <w:rFonts w:eastAsiaTheme="majorEastAsia" w:cs="Arial"/>
          <w:b/>
          <w:color w:val="4B0885" w:themeColor="text2"/>
          <w:sz w:val="26"/>
          <w:szCs w:val="24"/>
        </w:rPr>
      </w:pPr>
      <w:bookmarkStart w:id="204" w:name="_Toc179887401"/>
      <w:r>
        <w:rPr>
          <w:rFonts w:cs="Arial"/>
        </w:rPr>
        <w:br w:type="page"/>
      </w:r>
    </w:p>
    <w:p w14:paraId="57679C3E" w14:textId="17D867DD" w:rsidR="00AC2606" w:rsidRPr="00AC0957" w:rsidRDefault="00AC2606" w:rsidP="00AC2606">
      <w:pPr>
        <w:pStyle w:val="Heading3"/>
        <w:rPr>
          <w:rFonts w:cs="Arial"/>
        </w:rPr>
      </w:pPr>
      <w:bookmarkStart w:id="205" w:name="_Toc181371596"/>
      <w:r w:rsidRPr="00AC0957">
        <w:rPr>
          <w:rFonts w:cs="Arial"/>
        </w:rPr>
        <w:t>Employment outlook for states and territories</w:t>
      </w:r>
      <w:bookmarkEnd w:id="204"/>
      <w:bookmarkEnd w:id="205"/>
    </w:p>
    <w:p w14:paraId="3CE1DCA7" w14:textId="09AFF997" w:rsidR="00AC2606" w:rsidRPr="00AC0957" w:rsidRDefault="00835938" w:rsidP="00AC2606">
      <w:pPr>
        <w:rPr>
          <w:rFonts w:cs="Arial"/>
        </w:rPr>
      </w:pPr>
      <w:r w:rsidRPr="00835938">
        <w:rPr>
          <w:rFonts w:cs="Arial"/>
        </w:rPr>
        <w:t>Employment is projected to increase in all states and territories over the 10 years to May 2034. The largest increase in employment by persons is projected for Victoria (627,700 persons or 16.9%), followed by NSW (523,300 persons or 11.7%), Queensland (395,100 or 13.5%), and WA (226,600 or 14.2%) (</w:t>
      </w:r>
      <w:r>
        <w:rPr>
          <w:rFonts w:cs="Arial"/>
        </w:rPr>
        <w:fldChar w:fldCharType="begin"/>
      </w:r>
      <w:r>
        <w:rPr>
          <w:rFonts w:cs="Arial"/>
        </w:rPr>
        <w:instrText xml:space="preserve"> REF _Ref179898040 \h </w:instrText>
      </w:r>
      <w:r>
        <w:rPr>
          <w:rFonts w:cs="Arial"/>
        </w:rPr>
      </w:r>
      <w:r>
        <w:rPr>
          <w:rFonts w:cs="Arial"/>
        </w:rPr>
        <w:fldChar w:fldCharType="separate"/>
      </w:r>
      <w:r w:rsidR="00C47A81">
        <w:t xml:space="preserve">Figure </w:t>
      </w:r>
      <w:r w:rsidR="00C47A81">
        <w:rPr>
          <w:noProof/>
        </w:rPr>
        <w:t>42</w:t>
      </w:r>
      <w:r>
        <w:rPr>
          <w:rFonts w:cs="Arial"/>
        </w:rPr>
        <w:fldChar w:fldCharType="end"/>
      </w:r>
      <w:r w:rsidRPr="00835938">
        <w:rPr>
          <w:rFonts w:cs="Arial"/>
        </w:rPr>
        <w:t xml:space="preserve">, </w:t>
      </w:r>
      <w:r>
        <w:rPr>
          <w:rFonts w:cs="Arial"/>
        </w:rPr>
        <w:fldChar w:fldCharType="begin"/>
      </w:r>
      <w:r>
        <w:rPr>
          <w:rFonts w:cs="Arial"/>
        </w:rPr>
        <w:instrText xml:space="preserve"> REF _Ref179898052 \h </w:instrText>
      </w:r>
      <w:r>
        <w:rPr>
          <w:rFonts w:cs="Arial"/>
        </w:rPr>
      </w:r>
      <w:r>
        <w:rPr>
          <w:rFonts w:cs="Arial"/>
        </w:rPr>
        <w:fldChar w:fldCharType="separate"/>
      </w:r>
      <w:r w:rsidR="00C47A81">
        <w:t xml:space="preserve">Table </w:t>
      </w:r>
      <w:r w:rsidR="00C47A81">
        <w:rPr>
          <w:noProof/>
        </w:rPr>
        <w:t>11</w:t>
      </w:r>
      <w:r>
        <w:rPr>
          <w:rFonts w:cs="Arial"/>
        </w:rPr>
        <w:fldChar w:fldCharType="end"/>
      </w:r>
      <w:r w:rsidR="00AC2606" w:rsidRPr="00AC0957">
        <w:rPr>
          <w:rFonts w:cs="Arial"/>
        </w:rPr>
        <w:t>).</w:t>
      </w:r>
    </w:p>
    <w:p w14:paraId="31BE74F3" w14:textId="48677D6D" w:rsidR="00081C05" w:rsidRDefault="00081C05" w:rsidP="00081C05">
      <w:pPr>
        <w:pStyle w:val="Caption"/>
      </w:pPr>
      <w:bookmarkStart w:id="206" w:name="_Ref179898040"/>
      <w:bookmarkStart w:id="207" w:name="_Ref181123585"/>
      <w:bookmarkStart w:id="208" w:name="_Toc181370344"/>
      <w:r>
        <w:t xml:space="preserve">Figure </w:t>
      </w:r>
      <w:r>
        <w:fldChar w:fldCharType="begin"/>
      </w:r>
      <w:r>
        <w:instrText xml:space="preserve"> SEQ Figure \* ARABIC </w:instrText>
      </w:r>
      <w:r>
        <w:fldChar w:fldCharType="separate"/>
      </w:r>
      <w:r w:rsidR="00C47A81">
        <w:rPr>
          <w:noProof/>
        </w:rPr>
        <w:t>42</w:t>
      </w:r>
      <w:r>
        <w:fldChar w:fldCharType="end"/>
      </w:r>
      <w:bookmarkEnd w:id="206"/>
      <w:r>
        <w:t xml:space="preserve">: </w:t>
      </w:r>
      <w:r w:rsidRPr="00CB2C02">
        <w:t>5 and 10-year employment outlook</w:t>
      </w:r>
      <w:r w:rsidR="00034417">
        <w:t>,</w:t>
      </w:r>
      <w:r w:rsidRPr="00CB2C02">
        <w:t xml:space="preserve"> by state and territory, persons</w:t>
      </w:r>
      <w:bookmarkEnd w:id="207"/>
      <w:bookmarkEnd w:id="208"/>
    </w:p>
    <w:p w14:paraId="3FDABC3F" w14:textId="332885CA" w:rsidR="00AC2606" w:rsidRPr="00AC0957" w:rsidRDefault="00E97F3D" w:rsidP="00E97F3D">
      <w:pPr>
        <w:jc w:val="center"/>
        <w:rPr>
          <w:rFonts w:cs="Arial"/>
          <w:b/>
          <w:bCs/>
        </w:rPr>
      </w:pPr>
      <w:r>
        <w:rPr>
          <w:rFonts w:cs="Arial"/>
          <w:b/>
          <w:bCs/>
          <w:noProof/>
        </w:rPr>
        <w:drawing>
          <wp:inline distT="0" distB="0" distL="0" distR="0" wp14:anchorId="2D7D13E0" wp14:editId="35173618">
            <wp:extent cx="4572635" cy="2822575"/>
            <wp:effectExtent l="0" t="0" r="0" b="0"/>
            <wp:docPr id="2130186476" name="Picture 60" descr="This shows the projected employment levels for each State and Territory over the 5 years to May 2029 and 10 years to May 2034.&#10;Employment is projected to grow in all States and Territories over the next decade, with the largest employment increases projected for Victoria (up 627,700) and NSW (up 523,300) by May 2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86476" name="Picture 60" descr="This shows the projected employment levels for each State and Territory over the 5 years to May 2029 and 10 years to May 2034.&#10;Employment is projected to grow in all States and Territories over the next decade, with the largest employment increases projected for Victoria (up 627,700) and NSW (up 523,300) by May 203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572635" cy="2822575"/>
                    </a:xfrm>
                    <a:prstGeom prst="rect">
                      <a:avLst/>
                    </a:prstGeom>
                    <a:noFill/>
                  </pic:spPr>
                </pic:pic>
              </a:graphicData>
            </a:graphic>
          </wp:inline>
        </w:drawing>
      </w:r>
    </w:p>
    <w:p w14:paraId="4574A4F6" w14:textId="7D0EB520" w:rsidR="00AC2606" w:rsidRPr="00081C05" w:rsidRDefault="00AC2606" w:rsidP="00A17C4D">
      <w:pPr>
        <w:pStyle w:val="Source"/>
      </w:pPr>
      <w:r w:rsidRPr="00081C05">
        <w:t>Source: 2024-2034 Employment Projections, produced by Victoria University for Jobs and Skills Australia</w:t>
      </w:r>
      <w:r w:rsidR="00AB782F">
        <w:t>.</w:t>
      </w:r>
    </w:p>
    <w:p w14:paraId="0584A3B4" w14:textId="57BBE8E4" w:rsidR="00081C05" w:rsidRDefault="00081C05" w:rsidP="00081C05">
      <w:pPr>
        <w:pStyle w:val="Caption"/>
      </w:pPr>
      <w:bookmarkStart w:id="209" w:name="_Ref179898052"/>
      <w:r>
        <w:t xml:space="preserve">Table </w:t>
      </w:r>
      <w:r>
        <w:fldChar w:fldCharType="begin"/>
      </w:r>
      <w:r>
        <w:instrText xml:space="preserve"> SEQ Table \* ARABIC </w:instrText>
      </w:r>
      <w:r>
        <w:fldChar w:fldCharType="separate"/>
      </w:r>
      <w:r w:rsidR="00C47A81">
        <w:rPr>
          <w:noProof/>
        </w:rPr>
        <w:t>11</w:t>
      </w:r>
      <w:r>
        <w:fldChar w:fldCharType="end"/>
      </w:r>
      <w:bookmarkEnd w:id="209"/>
      <w:r>
        <w:t xml:space="preserve">: </w:t>
      </w:r>
      <w:r w:rsidRPr="006934E0">
        <w:t xml:space="preserve">Projected employment growth over the next 5 and 10 years, </w:t>
      </w:r>
      <w:r w:rsidR="000F2FFC">
        <w:t>by state and territory</w:t>
      </w:r>
    </w:p>
    <w:tbl>
      <w:tblPr>
        <w:tblStyle w:val="JSATable1"/>
        <w:tblW w:w="9026" w:type="dxa"/>
        <w:tblLayout w:type="fixed"/>
        <w:tblLook w:val="0020" w:firstRow="1" w:lastRow="0" w:firstColumn="0" w:lastColumn="0" w:noHBand="0" w:noVBand="0"/>
        <w:tblCaption w:val="Projected employment growth over the next 5 and 10 years, by state and territory"/>
        <w:tblDescription w:val="This shows current and projected employment levels by State and Territory, and the growth levels over the next 5 and 10 years.&#10;Employment is projected to grow in all States and Territories over the next decade, with the largest employment increases projected for Victoria (up 627,700) and NSW (up 523,300) by May 2034."/>
      </w:tblPr>
      <w:tblGrid>
        <w:gridCol w:w="1418"/>
        <w:gridCol w:w="992"/>
        <w:gridCol w:w="956"/>
        <w:gridCol w:w="1132"/>
        <w:gridCol w:w="1132"/>
        <w:gridCol w:w="1132"/>
        <w:gridCol w:w="1132"/>
        <w:gridCol w:w="1132"/>
      </w:tblGrid>
      <w:tr w:rsidR="00DC3505" w:rsidRPr="009653BF" w14:paraId="34DB23BC" w14:textId="798C0D23" w:rsidTr="0016364A">
        <w:trPr>
          <w:cnfStyle w:val="100000000000" w:firstRow="1" w:lastRow="0" w:firstColumn="0" w:lastColumn="0" w:oddVBand="0" w:evenVBand="0" w:oddHBand="0" w:evenHBand="0" w:firstRowFirstColumn="0" w:firstRowLastColumn="0" w:lastRowFirstColumn="0" w:lastRowLastColumn="0"/>
          <w:trHeight w:val="158"/>
        </w:trPr>
        <w:tc>
          <w:tcPr>
            <w:tcW w:w="1418" w:type="dxa"/>
            <w:vMerge w:val="restart"/>
            <w:vAlign w:val="center"/>
          </w:tcPr>
          <w:p w14:paraId="4ED85EEE" w14:textId="4297A1AB" w:rsidR="00DC3505" w:rsidRPr="006A79EF" w:rsidRDefault="00DC3505" w:rsidP="00DC3505">
            <w:pPr>
              <w:jc w:val="center"/>
              <w:rPr>
                <w:sz w:val="18"/>
                <w:szCs w:val="18"/>
              </w:rPr>
            </w:pPr>
            <w:r w:rsidRPr="006A79EF">
              <w:rPr>
                <w:sz w:val="18"/>
                <w:szCs w:val="18"/>
              </w:rPr>
              <w:t>State/Territory</w:t>
            </w:r>
          </w:p>
        </w:tc>
        <w:tc>
          <w:tcPr>
            <w:tcW w:w="992" w:type="dxa"/>
            <w:shd w:val="clear" w:color="auto" w:fill="E0D1F5" w:themeFill="accent1" w:themeFillTint="33"/>
            <w:vAlign w:val="center"/>
          </w:tcPr>
          <w:p w14:paraId="75C64715" w14:textId="1D0B25A2" w:rsidR="00DC3505" w:rsidRPr="006A79EF" w:rsidRDefault="00DC3505" w:rsidP="00DC3505">
            <w:pPr>
              <w:jc w:val="center"/>
              <w:rPr>
                <w:sz w:val="18"/>
                <w:szCs w:val="18"/>
              </w:rPr>
            </w:pPr>
            <w:r w:rsidRPr="006A79EF">
              <w:rPr>
                <w:sz w:val="18"/>
                <w:szCs w:val="18"/>
              </w:rPr>
              <w:t>Baseline</w:t>
            </w:r>
          </w:p>
        </w:tc>
        <w:tc>
          <w:tcPr>
            <w:tcW w:w="3220" w:type="dxa"/>
            <w:gridSpan w:val="3"/>
            <w:shd w:val="clear" w:color="auto" w:fill="F5F8DD" w:themeFill="background2" w:themeFillTint="33"/>
            <w:vAlign w:val="center"/>
          </w:tcPr>
          <w:p w14:paraId="75299955" w14:textId="048A3732" w:rsidR="00DC3505" w:rsidRPr="006A79EF" w:rsidRDefault="00DC3505" w:rsidP="00DC3505">
            <w:pPr>
              <w:jc w:val="center"/>
              <w:rPr>
                <w:sz w:val="18"/>
                <w:szCs w:val="18"/>
              </w:rPr>
            </w:pPr>
            <w:r w:rsidRPr="006A79EF">
              <w:rPr>
                <w:sz w:val="18"/>
                <w:szCs w:val="18"/>
              </w:rPr>
              <w:t>5-year outlook</w:t>
            </w:r>
          </w:p>
        </w:tc>
        <w:tc>
          <w:tcPr>
            <w:tcW w:w="3396" w:type="dxa"/>
            <w:gridSpan w:val="3"/>
            <w:shd w:val="clear" w:color="auto" w:fill="D2E9FE" w:themeFill="accent3" w:themeFillTint="1A"/>
            <w:vAlign w:val="center"/>
          </w:tcPr>
          <w:p w14:paraId="0CE0F2C0" w14:textId="092D375F" w:rsidR="00DC3505" w:rsidRPr="006A79EF" w:rsidRDefault="00DC3505" w:rsidP="00DC3505">
            <w:pPr>
              <w:jc w:val="center"/>
              <w:rPr>
                <w:sz w:val="18"/>
                <w:szCs w:val="18"/>
              </w:rPr>
            </w:pPr>
            <w:r w:rsidRPr="006A79EF">
              <w:rPr>
                <w:sz w:val="18"/>
                <w:szCs w:val="18"/>
              </w:rPr>
              <w:t>10-year outlook</w:t>
            </w:r>
          </w:p>
        </w:tc>
      </w:tr>
      <w:tr w:rsidR="00DC3505" w:rsidRPr="0072174E" w14:paraId="420747F8" w14:textId="2BEDE0FB" w:rsidTr="00DC3505">
        <w:trPr>
          <w:trHeight w:val="381"/>
        </w:trPr>
        <w:tc>
          <w:tcPr>
            <w:tcW w:w="1418" w:type="dxa"/>
            <w:vMerge/>
            <w:shd w:val="clear" w:color="auto" w:fill="2F005F"/>
            <w:vAlign w:val="center"/>
          </w:tcPr>
          <w:p w14:paraId="55F6A169" w14:textId="430F1A45" w:rsidR="00DC3505" w:rsidRPr="006A79EF" w:rsidRDefault="00DC3505" w:rsidP="00DC3505">
            <w:pPr>
              <w:jc w:val="center"/>
              <w:rPr>
                <w:sz w:val="18"/>
                <w:szCs w:val="18"/>
              </w:rPr>
            </w:pPr>
          </w:p>
        </w:tc>
        <w:tc>
          <w:tcPr>
            <w:tcW w:w="992" w:type="dxa"/>
            <w:vMerge w:val="restart"/>
            <w:shd w:val="clear" w:color="auto" w:fill="2F005F"/>
            <w:vAlign w:val="center"/>
          </w:tcPr>
          <w:p w14:paraId="17757EE0" w14:textId="3D3D9DE7" w:rsidR="00DC3505" w:rsidRPr="00DC3505" w:rsidRDefault="00DC3505" w:rsidP="00DC3505">
            <w:pPr>
              <w:jc w:val="center"/>
              <w:rPr>
                <w:sz w:val="18"/>
                <w:szCs w:val="18"/>
              </w:rPr>
            </w:pPr>
            <w:r w:rsidRPr="00DC3505">
              <w:rPr>
                <w:sz w:val="18"/>
                <w:szCs w:val="18"/>
              </w:rPr>
              <w:t>Empl.</w:t>
            </w:r>
          </w:p>
          <w:p w14:paraId="7A42C4BC" w14:textId="7FDF6D46" w:rsidR="00DC3505" w:rsidRPr="00DC3505" w:rsidRDefault="00DC3505" w:rsidP="00DC3505">
            <w:pPr>
              <w:jc w:val="center"/>
              <w:rPr>
                <w:sz w:val="18"/>
                <w:szCs w:val="18"/>
              </w:rPr>
            </w:pPr>
            <w:r w:rsidRPr="00DC3505">
              <w:rPr>
                <w:sz w:val="18"/>
                <w:szCs w:val="18"/>
              </w:rPr>
              <w:t>(‘000)</w:t>
            </w:r>
          </w:p>
          <w:p w14:paraId="719B293C" w14:textId="0C73F996" w:rsidR="00DC3505" w:rsidRPr="001B7306" w:rsidRDefault="00DC3505" w:rsidP="00DC3505">
            <w:pPr>
              <w:jc w:val="center"/>
              <w:rPr>
                <w:sz w:val="18"/>
                <w:szCs w:val="18"/>
              </w:rPr>
            </w:pPr>
            <w:r w:rsidRPr="00DC3505">
              <w:rPr>
                <w:sz w:val="18"/>
                <w:szCs w:val="18"/>
              </w:rPr>
              <w:t>May 2024</w:t>
            </w:r>
          </w:p>
        </w:tc>
        <w:tc>
          <w:tcPr>
            <w:tcW w:w="956" w:type="dxa"/>
            <w:vMerge w:val="restart"/>
            <w:shd w:val="clear" w:color="auto" w:fill="2F005F"/>
            <w:vAlign w:val="center"/>
          </w:tcPr>
          <w:p w14:paraId="42BF5A2C" w14:textId="13655920" w:rsidR="00DC3505" w:rsidRPr="00DC3505" w:rsidRDefault="00DC3505" w:rsidP="00DC3505">
            <w:pPr>
              <w:jc w:val="center"/>
              <w:rPr>
                <w:sz w:val="18"/>
                <w:szCs w:val="18"/>
              </w:rPr>
            </w:pPr>
            <w:r w:rsidRPr="00DC3505">
              <w:rPr>
                <w:sz w:val="18"/>
                <w:szCs w:val="18"/>
              </w:rPr>
              <w:t>Empl.</w:t>
            </w:r>
          </w:p>
          <w:p w14:paraId="41F31A9C" w14:textId="3218EB41" w:rsidR="00DC3505" w:rsidRPr="00DC3505" w:rsidRDefault="00DC3505" w:rsidP="00DC3505">
            <w:pPr>
              <w:jc w:val="center"/>
              <w:rPr>
                <w:sz w:val="18"/>
                <w:szCs w:val="18"/>
              </w:rPr>
            </w:pPr>
            <w:r w:rsidRPr="00DC3505">
              <w:rPr>
                <w:sz w:val="18"/>
                <w:szCs w:val="18"/>
              </w:rPr>
              <w:t>(‘000)</w:t>
            </w:r>
          </w:p>
          <w:p w14:paraId="6889D8CF" w14:textId="29678016" w:rsidR="00DC3505" w:rsidRPr="0072174E" w:rsidRDefault="00DC3505" w:rsidP="00DC3505">
            <w:pPr>
              <w:jc w:val="center"/>
              <w:rPr>
                <w:sz w:val="20"/>
                <w:szCs w:val="20"/>
              </w:rPr>
            </w:pPr>
            <w:r w:rsidRPr="00DC3505">
              <w:rPr>
                <w:sz w:val="18"/>
                <w:szCs w:val="18"/>
              </w:rPr>
              <w:t>May 202</w:t>
            </w:r>
            <w:r>
              <w:rPr>
                <w:sz w:val="18"/>
                <w:szCs w:val="18"/>
              </w:rPr>
              <w:t>9</w:t>
            </w:r>
          </w:p>
        </w:tc>
        <w:tc>
          <w:tcPr>
            <w:tcW w:w="2264" w:type="dxa"/>
            <w:gridSpan w:val="2"/>
            <w:shd w:val="clear" w:color="auto" w:fill="F2F2F2" w:themeFill="background1" w:themeFillShade="F2"/>
            <w:vAlign w:val="center"/>
          </w:tcPr>
          <w:p w14:paraId="7E49669C" w14:textId="69374A4A" w:rsidR="00DC3505" w:rsidRPr="0072174E" w:rsidRDefault="00DC3505" w:rsidP="00DC3505">
            <w:pPr>
              <w:jc w:val="center"/>
              <w:rPr>
                <w:sz w:val="20"/>
                <w:szCs w:val="20"/>
              </w:rPr>
            </w:pPr>
            <w:r w:rsidRPr="00DC3505">
              <w:rPr>
                <w:sz w:val="18"/>
                <w:szCs w:val="18"/>
              </w:rPr>
              <w:t>Change</w:t>
            </w:r>
          </w:p>
        </w:tc>
        <w:tc>
          <w:tcPr>
            <w:tcW w:w="1132" w:type="dxa"/>
            <w:vMerge w:val="restart"/>
            <w:shd w:val="clear" w:color="auto" w:fill="2F005F"/>
            <w:vAlign w:val="center"/>
          </w:tcPr>
          <w:p w14:paraId="5471E93B" w14:textId="77777777" w:rsidR="00DC3505" w:rsidRPr="00DC3505" w:rsidRDefault="00DC3505" w:rsidP="00DC3505">
            <w:pPr>
              <w:jc w:val="center"/>
              <w:rPr>
                <w:sz w:val="18"/>
                <w:szCs w:val="18"/>
              </w:rPr>
            </w:pPr>
            <w:r w:rsidRPr="00DC3505">
              <w:rPr>
                <w:sz w:val="18"/>
                <w:szCs w:val="18"/>
              </w:rPr>
              <w:t>Empl.</w:t>
            </w:r>
          </w:p>
          <w:p w14:paraId="310D500E" w14:textId="77777777" w:rsidR="00DC3505" w:rsidRPr="00DC3505" w:rsidRDefault="00DC3505" w:rsidP="00DC3505">
            <w:pPr>
              <w:jc w:val="center"/>
              <w:rPr>
                <w:sz w:val="18"/>
                <w:szCs w:val="18"/>
              </w:rPr>
            </w:pPr>
            <w:r w:rsidRPr="00DC3505">
              <w:rPr>
                <w:sz w:val="18"/>
                <w:szCs w:val="18"/>
              </w:rPr>
              <w:t>(‘000)</w:t>
            </w:r>
          </w:p>
          <w:p w14:paraId="60F278EA" w14:textId="7C72A1D2" w:rsidR="00DC3505" w:rsidRPr="0072174E" w:rsidRDefault="00DC3505" w:rsidP="00DC3505">
            <w:pPr>
              <w:jc w:val="center"/>
              <w:rPr>
                <w:sz w:val="20"/>
                <w:szCs w:val="20"/>
              </w:rPr>
            </w:pPr>
            <w:r w:rsidRPr="00DC3505">
              <w:rPr>
                <w:sz w:val="18"/>
                <w:szCs w:val="18"/>
              </w:rPr>
              <w:t>May 20</w:t>
            </w:r>
            <w:r>
              <w:rPr>
                <w:sz w:val="18"/>
                <w:szCs w:val="18"/>
              </w:rPr>
              <w:t>34</w:t>
            </w:r>
          </w:p>
        </w:tc>
        <w:tc>
          <w:tcPr>
            <w:tcW w:w="2264" w:type="dxa"/>
            <w:gridSpan w:val="2"/>
            <w:shd w:val="clear" w:color="auto" w:fill="F2F2F2" w:themeFill="background1" w:themeFillShade="F2"/>
            <w:vAlign w:val="center"/>
          </w:tcPr>
          <w:p w14:paraId="5FDCD67F" w14:textId="1185E948" w:rsidR="00DC3505" w:rsidRPr="0072174E" w:rsidRDefault="00DC3505" w:rsidP="00DC3505">
            <w:pPr>
              <w:jc w:val="center"/>
              <w:rPr>
                <w:sz w:val="20"/>
                <w:szCs w:val="20"/>
              </w:rPr>
            </w:pPr>
            <w:r>
              <w:rPr>
                <w:sz w:val="20"/>
                <w:szCs w:val="20"/>
              </w:rPr>
              <w:t>Change</w:t>
            </w:r>
          </w:p>
        </w:tc>
      </w:tr>
      <w:tr w:rsidR="00DC3505" w:rsidRPr="0072174E" w14:paraId="75CB63FD" w14:textId="77777777" w:rsidTr="00DC3505">
        <w:trPr>
          <w:cnfStyle w:val="000000010000" w:firstRow="0" w:lastRow="0" w:firstColumn="0" w:lastColumn="0" w:oddVBand="0" w:evenVBand="0" w:oddHBand="0" w:evenHBand="1" w:firstRowFirstColumn="0" w:firstRowLastColumn="0" w:lastRowFirstColumn="0" w:lastRowLastColumn="0"/>
          <w:trHeight w:val="381"/>
        </w:trPr>
        <w:tc>
          <w:tcPr>
            <w:tcW w:w="1418" w:type="dxa"/>
            <w:vMerge/>
            <w:shd w:val="clear" w:color="auto" w:fill="2F005F"/>
            <w:vAlign w:val="center"/>
          </w:tcPr>
          <w:p w14:paraId="14BB283D" w14:textId="77777777" w:rsidR="00DC3505" w:rsidRPr="00C546A6" w:rsidRDefault="00DC3505" w:rsidP="00DC3505">
            <w:pPr>
              <w:jc w:val="center"/>
            </w:pPr>
          </w:p>
        </w:tc>
        <w:tc>
          <w:tcPr>
            <w:tcW w:w="992" w:type="dxa"/>
            <w:vMerge/>
            <w:shd w:val="clear" w:color="auto" w:fill="2F005F"/>
            <w:vAlign w:val="center"/>
          </w:tcPr>
          <w:p w14:paraId="6B035BE3" w14:textId="77777777" w:rsidR="00DC3505" w:rsidRPr="005E7F2E" w:rsidRDefault="00DC3505" w:rsidP="00DC3505">
            <w:pPr>
              <w:jc w:val="center"/>
              <w:rPr>
                <w:sz w:val="18"/>
                <w:szCs w:val="18"/>
              </w:rPr>
            </w:pPr>
          </w:p>
        </w:tc>
        <w:tc>
          <w:tcPr>
            <w:tcW w:w="956" w:type="dxa"/>
            <w:vMerge/>
            <w:shd w:val="clear" w:color="auto" w:fill="2F005F"/>
            <w:vAlign w:val="center"/>
          </w:tcPr>
          <w:p w14:paraId="7AE9085A" w14:textId="77777777" w:rsidR="00DC3505" w:rsidRPr="005E7F2E" w:rsidRDefault="00DC3505" w:rsidP="00DC3505">
            <w:pPr>
              <w:jc w:val="center"/>
              <w:rPr>
                <w:sz w:val="18"/>
                <w:szCs w:val="18"/>
              </w:rPr>
            </w:pPr>
          </w:p>
        </w:tc>
        <w:tc>
          <w:tcPr>
            <w:tcW w:w="1132" w:type="dxa"/>
            <w:shd w:val="clear" w:color="auto" w:fill="2F005F"/>
            <w:vAlign w:val="center"/>
          </w:tcPr>
          <w:p w14:paraId="6C3BB3E0" w14:textId="0C26DC8F" w:rsidR="00DC3505" w:rsidRDefault="00DC3505" w:rsidP="00DC3505">
            <w:pPr>
              <w:jc w:val="center"/>
              <w:rPr>
                <w:sz w:val="18"/>
                <w:szCs w:val="18"/>
              </w:rPr>
            </w:pPr>
            <w:r>
              <w:rPr>
                <w:sz w:val="18"/>
                <w:szCs w:val="18"/>
              </w:rPr>
              <w:t>level</w:t>
            </w:r>
          </w:p>
          <w:p w14:paraId="58F24C52" w14:textId="7B3810AC" w:rsidR="00DC3505" w:rsidRPr="005E7F2E" w:rsidRDefault="00DC3505" w:rsidP="00DC3505">
            <w:pPr>
              <w:jc w:val="center"/>
              <w:rPr>
                <w:sz w:val="18"/>
                <w:szCs w:val="18"/>
              </w:rPr>
            </w:pPr>
            <w:r>
              <w:rPr>
                <w:sz w:val="18"/>
                <w:szCs w:val="18"/>
              </w:rPr>
              <w:t>(‘000)</w:t>
            </w:r>
          </w:p>
        </w:tc>
        <w:tc>
          <w:tcPr>
            <w:tcW w:w="1132" w:type="dxa"/>
            <w:shd w:val="clear" w:color="auto" w:fill="2F005F"/>
            <w:vAlign w:val="center"/>
          </w:tcPr>
          <w:p w14:paraId="6266C7B8" w14:textId="5FF33A90" w:rsidR="00DC3505" w:rsidRPr="005E7F2E" w:rsidRDefault="00DC3505" w:rsidP="00DC3505">
            <w:pPr>
              <w:jc w:val="center"/>
              <w:rPr>
                <w:sz w:val="18"/>
                <w:szCs w:val="18"/>
              </w:rPr>
            </w:pPr>
            <w:r>
              <w:rPr>
                <w:sz w:val="18"/>
                <w:szCs w:val="18"/>
              </w:rPr>
              <w:t>%</w:t>
            </w:r>
          </w:p>
        </w:tc>
        <w:tc>
          <w:tcPr>
            <w:tcW w:w="1132" w:type="dxa"/>
            <w:vMerge/>
            <w:shd w:val="clear" w:color="auto" w:fill="2F005F"/>
            <w:vAlign w:val="center"/>
          </w:tcPr>
          <w:p w14:paraId="1C08C732" w14:textId="77777777" w:rsidR="00DC3505" w:rsidRPr="005E7F2E" w:rsidRDefault="00DC3505" w:rsidP="00DC3505">
            <w:pPr>
              <w:jc w:val="center"/>
              <w:rPr>
                <w:sz w:val="18"/>
                <w:szCs w:val="18"/>
              </w:rPr>
            </w:pPr>
          </w:p>
        </w:tc>
        <w:tc>
          <w:tcPr>
            <w:tcW w:w="1132" w:type="dxa"/>
            <w:shd w:val="clear" w:color="auto" w:fill="2F005F"/>
            <w:vAlign w:val="center"/>
          </w:tcPr>
          <w:p w14:paraId="0A56ECFC" w14:textId="77777777" w:rsidR="00DC3505" w:rsidRDefault="00DC3505" w:rsidP="00DC3505">
            <w:pPr>
              <w:jc w:val="center"/>
              <w:rPr>
                <w:sz w:val="18"/>
                <w:szCs w:val="18"/>
              </w:rPr>
            </w:pPr>
            <w:r>
              <w:rPr>
                <w:sz w:val="18"/>
                <w:szCs w:val="18"/>
              </w:rPr>
              <w:t>level</w:t>
            </w:r>
          </w:p>
          <w:p w14:paraId="17CE8B7A" w14:textId="43CE283C" w:rsidR="00DC3505" w:rsidRPr="005E7F2E" w:rsidRDefault="00DC3505" w:rsidP="00DC3505">
            <w:pPr>
              <w:jc w:val="center"/>
              <w:rPr>
                <w:sz w:val="18"/>
                <w:szCs w:val="18"/>
              </w:rPr>
            </w:pPr>
            <w:r>
              <w:rPr>
                <w:sz w:val="18"/>
                <w:szCs w:val="18"/>
              </w:rPr>
              <w:t>(‘000)</w:t>
            </w:r>
          </w:p>
        </w:tc>
        <w:tc>
          <w:tcPr>
            <w:tcW w:w="1132" w:type="dxa"/>
            <w:shd w:val="clear" w:color="auto" w:fill="2F005F"/>
            <w:vAlign w:val="center"/>
          </w:tcPr>
          <w:p w14:paraId="69C997A4" w14:textId="56EA5179" w:rsidR="00DC3505" w:rsidRPr="005E7F2E" w:rsidRDefault="00DC3505" w:rsidP="00DC3505">
            <w:pPr>
              <w:jc w:val="center"/>
              <w:rPr>
                <w:sz w:val="18"/>
                <w:szCs w:val="18"/>
              </w:rPr>
            </w:pPr>
            <w:r>
              <w:rPr>
                <w:sz w:val="18"/>
                <w:szCs w:val="18"/>
              </w:rPr>
              <w:t>%</w:t>
            </w:r>
          </w:p>
        </w:tc>
      </w:tr>
      <w:tr w:rsidR="005E7F2E" w:rsidRPr="0072174E" w14:paraId="4B5431E6" w14:textId="2855ED4D" w:rsidTr="005E7F2E">
        <w:trPr>
          <w:trHeight w:val="381"/>
        </w:trPr>
        <w:tc>
          <w:tcPr>
            <w:tcW w:w="1418" w:type="dxa"/>
          </w:tcPr>
          <w:p w14:paraId="2C60CB0A" w14:textId="0C316F63" w:rsidR="005E7F2E" w:rsidRPr="0072174E" w:rsidRDefault="005E7F2E" w:rsidP="005E7F2E">
            <w:pPr>
              <w:rPr>
                <w:sz w:val="20"/>
                <w:szCs w:val="20"/>
              </w:rPr>
            </w:pPr>
            <w:r w:rsidRPr="00C546A6">
              <w:t>NSW</w:t>
            </w:r>
          </w:p>
        </w:tc>
        <w:tc>
          <w:tcPr>
            <w:tcW w:w="992" w:type="dxa"/>
            <w:vAlign w:val="center"/>
          </w:tcPr>
          <w:p w14:paraId="1859FF39" w14:textId="6E551A6A" w:rsidR="005E7F2E" w:rsidRPr="005E7F2E" w:rsidRDefault="005E7F2E" w:rsidP="00DC3505">
            <w:pPr>
              <w:jc w:val="center"/>
              <w:rPr>
                <w:sz w:val="18"/>
                <w:szCs w:val="18"/>
              </w:rPr>
            </w:pPr>
            <w:r w:rsidRPr="005E7F2E">
              <w:rPr>
                <w:sz w:val="18"/>
                <w:szCs w:val="18"/>
              </w:rPr>
              <w:t>4,473.5</w:t>
            </w:r>
          </w:p>
        </w:tc>
        <w:tc>
          <w:tcPr>
            <w:tcW w:w="956" w:type="dxa"/>
            <w:vAlign w:val="center"/>
          </w:tcPr>
          <w:p w14:paraId="4FA0F736" w14:textId="19217CB2" w:rsidR="005E7F2E" w:rsidRPr="005E7F2E" w:rsidRDefault="005E7F2E" w:rsidP="00DC3505">
            <w:pPr>
              <w:jc w:val="center"/>
              <w:rPr>
                <w:sz w:val="18"/>
                <w:szCs w:val="18"/>
              </w:rPr>
            </w:pPr>
            <w:r w:rsidRPr="005E7F2E">
              <w:rPr>
                <w:sz w:val="18"/>
                <w:szCs w:val="18"/>
              </w:rPr>
              <w:t>4,709.6</w:t>
            </w:r>
          </w:p>
        </w:tc>
        <w:tc>
          <w:tcPr>
            <w:tcW w:w="1132" w:type="dxa"/>
            <w:vAlign w:val="center"/>
          </w:tcPr>
          <w:p w14:paraId="6D38B3B9" w14:textId="4CB7E1BC" w:rsidR="005E7F2E" w:rsidRPr="005E7F2E" w:rsidRDefault="005E7F2E" w:rsidP="00DC3505">
            <w:pPr>
              <w:jc w:val="center"/>
              <w:rPr>
                <w:sz w:val="18"/>
                <w:szCs w:val="18"/>
              </w:rPr>
            </w:pPr>
            <w:r w:rsidRPr="005E7F2E">
              <w:rPr>
                <w:sz w:val="18"/>
                <w:szCs w:val="18"/>
              </w:rPr>
              <w:t>236.1</w:t>
            </w:r>
          </w:p>
        </w:tc>
        <w:tc>
          <w:tcPr>
            <w:tcW w:w="1132" w:type="dxa"/>
            <w:vAlign w:val="center"/>
          </w:tcPr>
          <w:p w14:paraId="3353A9A2" w14:textId="577EAC9C" w:rsidR="005E7F2E" w:rsidRPr="005E7F2E" w:rsidRDefault="005E7F2E" w:rsidP="00DC3505">
            <w:pPr>
              <w:jc w:val="center"/>
              <w:rPr>
                <w:sz w:val="18"/>
                <w:szCs w:val="18"/>
              </w:rPr>
            </w:pPr>
            <w:r w:rsidRPr="005E7F2E">
              <w:rPr>
                <w:sz w:val="18"/>
                <w:szCs w:val="18"/>
              </w:rPr>
              <w:t>5.3%</w:t>
            </w:r>
          </w:p>
        </w:tc>
        <w:tc>
          <w:tcPr>
            <w:tcW w:w="1132" w:type="dxa"/>
            <w:vAlign w:val="center"/>
          </w:tcPr>
          <w:p w14:paraId="2B9F7535" w14:textId="6DEF3526" w:rsidR="005E7F2E" w:rsidRPr="005E7F2E" w:rsidRDefault="005E7F2E" w:rsidP="00DC3505">
            <w:pPr>
              <w:jc w:val="center"/>
              <w:rPr>
                <w:sz w:val="18"/>
                <w:szCs w:val="18"/>
              </w:rPr>
            </w:pPr>
            <w:r w:rsidRPr="005E7F2E">
              <w:rPr>
                <w:sz w:val="18"/>
                <w:szCs w:val="18"/>
              </w:rPr>
              <w:t>4,996.7</w:t>
            </w:r>
          </w:p>
        </w:tc>
        <w:tc>
          <w:tcPr>
            <w:tcW w:w="1132" w:type="dxa"/>
            <w:vAlign w:val="center"/>
          </w:tcPr>
          <w:p w14:paraId="1F60456D" w14:textId="2C4C9006" w:rsidR="005E7F2E" w:rsidRPr="005E7F2E" w:rsidRDefault="005E7F2E" w:rsidP="00DC3505">
            <w:pPr>
              <w:jc w:val="center"/>
              <w:rPr>
                <w:sz w:val="18"/>
                <w:szCs w:val="18"/>
              </w:rPr>
            </w:pPr>
            <w:r w:rsidRPr="005E7F2E">
              <w:rPr>
                <w:sz w:val="18"/>
                <w:szCs w:val="18"/>
              </w:rPr>
              <w:t>523.3</w:t>
            </w:r>
          </w:p>
        </w:tc>
        <w:tc>
          <w:tcPr>
            <w:tcW w:w="1132" w:type="dxa"/>
            <w:vAlign w:val="center"/>
          </w:tcPr>
          <w:p w14:paraId="037D6104" w14:textId="69642B77" w:rsidR="005E7F2E" w:rsidRPr="005E7F2E" w:rsidRDefault="005E7F2E" w:rsidP="00DC3505">
            <w:pPr>
              <w:jc w:val="center"/>
              <w:rPr>
                <w:sz w:val="18"/>
                <w:szCs w:val="18"/>
              </w:rPr>
            </w:pPr>
            <w:r w:rsidRPr="005E7F2E">
              <w:rPr>
                <w:sz w:val="18"/>
                <w:szCs w:val="18"/>
              </w:rPr>
              <w:t>11.7%</w:t>
            </w:r>
          </w:p>
        </w:tc>
      </w:tr>
      <w:tr w:rsidR="005E7F2E" w:rsidRPr="0072174E" w14:paraId="33EE8979" w14:textId="48FAF096" w:rsidTr="005E7F2E">
        <w:trPr>
          <w:cnfStyle w:val="000000010000" w:firstRow="0" w:lastRow="0" w:firstColumn="0" w:lastColumn="0" w:oddVBand="0" w:evenVBand="0" w:oddHBand="0" w:evenHBand="1" w:firstRowFirstColumn="0" w:firstRowLastColumn="0" w:lastRowFirstColumn="0" w:lastRowLastColumn="0"/>
          <w:trHeight w:val="366"/>
        </w:trPr>
        <w:tc>
          <w:tcPr>
            <w:tcW w:w="1418" w:type="dxa"/>
          </w:tcPr>
          <w:p w14:paraId="780B3372" w14:textId="42E4690B" w:rsidR="005E7F2E" w:rsidRPr="0072174E" w:rsidRDefault="005E7F2E" w:rsidP="005E7F2E">
            <w:pPr>
              <w:rPr>
                <w:sz w:val="20"/>
                <w:szCs w:val="20"/>
              </w:rPr>
            </w:pPr>
            <w:r w:rsidRPr="00C546A6">
              <w:t>VIC</w:t>
            </w:r>
          </w:p>
        </w:tc>
        <w:tc>
          <w:tcPr>
            <w:tcW w:w="992" w:type="dxa"/>
            <w:vAlign w:val="center"/>
          </w:tcPr>
          <w:p w14:paraId="60C19605" w14:textId="3846FDFF" w:rsidR="005E7F2E" w:rsidRPr="005E7F2E" w:rsidRDefault="005E7F2E" w:rsidP="00DC3505">
            <w:pPr>
              <w:jc w:val="center"/>
              <w:rPr>
                <w:sz w:val="18"/>
                <w:szCs w:val="18"/>
              </w:rPr>
            </w:pPr>
            <w:r w:rsidRPr="005E7F2E">
              <w:rPr>
                <w:sz w:val="18"/>
                <w:szCs w:val="18"/>
              </w:rPr>
              <w:t>3,724.8</w:t>
            </w:r>
          </w:p>
        </w:tc>
        <w:tc>
          <w:tcPr>
            <w:tcW w:w="956" w:type="dxa"/>
            <w:vAlign w:val="center"/>
          </w:tcPr>
          <w:p w14:paraId="7DA53686" w14:textId="6D12E92C" w:rsidR="005E7F2E" w:rsidRPr="005E7F2E" w:rsidRDefault="005E7F2E" w:rsidP="00DC3505">
            <w:pPr>
              <w:jc w:val="center"/>
              <w:rPr>
                <w:sz w:val="18"/>
                <w:szCs w:val="18"/>
              </w:rPr>
            </w:pPr>
            <w:r w:rsidRPr="005E7F2E">
              <w:rPr>
                <w:sz w:val="18"/>
                <w:szCs w:val="18"/>
              </w:rPr>
              <w:t>4,040.4</w:t>
            </w:r>
          </w:p>
        </w:tc>
        <w:tc>
          <w:tcPr>
            <w:tcW w:w="1132" w:type="dxa"/>
            <w:vAlign w:val="center"/>
          </w:tcPr>
          <w:p w14:paraId="4629A46C" w14:textId="45C38442" w:rsidR="005E7F2E" w:rsidRPr="005E7F2E" w:rsidRDefault="005E7F2E" w:rsidP="00DC3505">
            <w:pPr>
              <w:jc w:val="center"/>
              <w:rPr>
                <w:sz w:val="18"/>
                <w:szCs w:val="18"/>
              </w:rPr>
            </w:pPr>
            <w:r w:rsidRPr="005E7F2E">
              <w:rPr>
                <w:sz w:val="18"/>
                <w:szCs w:val="18"/>
              </w:rPr>
              <w:t>315.6</w:t>
            </w:r>
          </w:p>
        </w:tc>
        <w:tc>
          <w:tcPr>
            <w:tcW w:w="1132" w:type="dxa"/>
            <w:vAlign w:val="center"/>
          </w:tcPr>
          <w:p w14:paraId="469592E2" w14:textId="6590263B" w:rsidR="005E7F2E" w:rsidRPr="005E7F2E" w:rsidRDefault="005E7F2E" w:rsidP="00DC3505">
            <w:pPr>
              <w:jc w:val="center"/>
              <w:rPr>
                <w:sz w:val="18"/>
                <w:szCs w:val="18"/>
              </w:rPr>
            </w:pPr>
            <w:r w:rsidRPr="005E7F2E">
              <w:rPr>
                <w:sz w:val="18"/>
                <w:szCs w:val="18"/>
              </w:rPr>
              <w:t>8.5%</w:t>
            </w:r>
          </w:p>
        </w:tc>
        <w:tc>
          <w:tcPr>
            <w:tcW w:w="1132" w:type="dxa"/>
            <w:vAlign w:val="center"/>
          </w:tcPr>
          <w:p w14:paraId="7330C529" w14:textId="6CAD1985" w:rsidR="005E7F2E" w:rsidRPr="005E7F2E" w:rsidRDefault="005E7F2E" w:rsidP="00DC3505">
            <w:pPr>
              <w:jc w:val="center"/>
              <w:rPr>
                <w:sz w:val="18"/>
                <w:szCs w:val="18"/>
              </w:rPr>
            </w:pPr>
            <w:r w:rsidRPr="005E7F2E">
              <w:rPr>
                <w:sz w:val="18"/>
                <w:szCs w:val="18"/>
              </w:rPr>
              <w:t>4,352.5</w:t>
            </w:r>
          </w:p>
        </w:tc>
        <w:tc>
          <w:tcPr>
            <w:tcW w:w="1132" w:type="dxa"/>
            <w:vAlign w:val="center"/>
          </w:tcPr>
          <w:p w14:paraId="3108A6AA" w14:textId="1C593EA4" w:rsidR="005E7F2E" w:rsidRPr="005E7F2E" w:rsidRDefault="005E7F2E" w:rsidP="00DC3505">
            <w:pPr>
              <w:jc w:val="center"/>
              <w:rPr>
                <w:sz w:val="18"/>
                <w:szCs w:val="18"/>
              </w:rPr>
            </w:pPr>
            <w:r w:rsidRPr="005E7F2E">
              <w:rPr>
                <w:sz w:val="18"/>
                <w:szCs w:val="18"/>
              </w:rPr>
              <w:t>627.7</w:t>
            </w:r>
          </w:p>
        </w:tc>
        <w:tc>
          <w:tcPr>
            <w:tcW w:w="1132" w:type="dxa"/>
            <w:vAlign w:val="center"/>
          </w:tcPr>
          <w:p w14:paraId="5DEC865A" w14:textId="43CD4F33" w:rsidR="005E7F2E" w:rsidRPr="005E7F2E" w:rsidRDefault="005E7F2E" w:rsidP="00DC3505">
            <w:pPr>
              <w:jc w:val="center"/>
              <w:rPr>
                <w:sz w:val="18"/>
                <w:szCs w:val="18"/>
              </w:rPr>
            </w:pPr>
            <w:r w:rsidRPr="005E7F2E">
              <w:rPr>
                <w:sz w:val="18"/>
                <w:szCs w:val="18"/>
              </w:rPr>
              <w:t>16.9%</w:t>
            </w:r>
          </w:p>
        </w:tc>
      </w:tr>
      <w:tr w:rsidR="005E7F2E" w:rsidRPr="0072174E" w14:paraId="031BC2F4" w14:textId="5A49AEBC" w:rsidTr="005E7F2E">
        <w:trPr>
          <w:trHeight w:val="366"/>
        </w:trPr>
        <w:tc>
          <w:tcPr>
            <w:tcW w:w="1418" w:type="dxa"/>
          </w:tcPr>
          <w:p w14:paraId="611CA5E5" w14:textId="366434F7" w:rsidR="005E7F2E" w:rsidRPr="0072174E" w:rsidRDefault="005E7F2E" w:rsidP="005E7F2E">
            <w:pPr>
              <w:rPr>
                <w:sz w:val="20"/>
                <w:szCs w:val="20"/>
              </w:rPr>
            </w:pPr>
            <w:r w:rsidRPr="00C546A6">
              <w:t>QLD</w:t>
            </w:r>
          </w:p>
        </w:tc>
        <w:tc>
          <w:tcPr>
            <w:tcW w:w="992" w:type="dxa"/>
            <w:vAlign w:val="center"/>
          </w:tcPr>
          <w:p w14:paraId="23153236" w14:textId="6737C10A" w:rsidR="005E7F2E" w:rsidRPr="005E7F2E" w:rsidRDefault="005E7F2E" w:rsidP="00DC3505">
            <w:pPr>
              <w:jc w:val="center"/>
              <w:rPr>
                <w:sz w:val="18"/>
                <w:szCs w:val="18"/>
              </w:rPr>
            </w:pPr>
            <w:r w:rsidRPr="005E7F2E">
              <w:rPr>
                <w:sz w:val="18"/>
                <w:szCs w:val="18"/>
              </w:rPr>
              <w:t>2,929.2</w:t>
            </w:r>
          </w:p>
        </w:tc>
        <w:tc>
          <w:tcPr>
            <w:tcW w:w="956" w:type="dxa"/>
            <w:vAlign w:val="center"/>
          </w:tcPr>
          <w:p w14:paraId="7F340A4B" w14:textId="4804C122" w:rsidR="005E7F2E" w:rsidRPr="005E7F2E" w:rsidRDefault="005E7F2E" w:rsidP="00DC3505">
            <w:pPr>
              <w:jc w:val="center"/>
              <w:rPr>
                <w:sz w:val="18"/>
                <w:szCs w:val="18"/>
              </w:rPr>
            </w:pPr>
            <w:r w:rsidRPr="005E7F2E">
              <w:rPr>
                <w:sz w:val="18"/>
                <w:szCs w:val="18"/>
              </w:rPr>
              <w:t>3,129.7</w:t>
            </w:r>
          </w:p>
        </w:tc>
        <w:tc>
          <w:tcPr>
            <w:tcW w:w="1132" w:type="dxa"/>
            <w:vAlign w:val="center"/>
          </w:tcPr>
          <w:p w14:paraId="0A7BE6CC" w14:textId="260B9001" w:rsidR="005E7F2E" w:rsidRPr="005E7F2E" w:rsidRDefault="005E7F2E" w:rsidP="00DC3505">
            <w:pPr>
              <w:jc w:val="center"/>
              <w:rPr>
                <w:sz w:val="18"/>
                <w:szCs w:val="18"/>
              </w:rPr>
            </w:pPr>
            <w:r w:rsidRPr="005E7F2E">
              <w:rPr>
                <w:sz w:val="18"/>
                <w:szCs w:val="18"/>
              </w:rPr>
              <w:t>200.5</w:t>
            </w:r>
          </w:p>
        </w:tc>
        <w:tc>
          <w:tcPr>
            <w:tcW w:w="1132" w:type="dxa"/>
            <w:vAlign w:val="center"/>
          </w:tcPr>
          <w:p w14:paraId="4E51C3DA" w14:textId="40E5D027" w:rsidR="005E7F2E" w:rsidRPr="005E7F2E" w:rsidRDefault="005E7F2E" w:rsidP="00DC3505">
            <w:pPr>
              <w:jc w:val="center"/>
              <w:rPr>
                <w:sz w:val="18"/>
                <w:szCs w:val="18"/>
              </w:rPr>
            </w:pPr>
            <w:r w:rsidRPr="005E7F2E">
              <w:rPr>
                <w:sz w:val="18"/>
                <w:szCs w:val="18"/>
              </w:rPr>
              <w:t>6.8%</w:t>
            </w:r>
          </w:p>
        </w:tc>
        <w:tc>
          <w:tcPr>
            <w:tcW w:w="1132" w:type="dxa"/>
            <w:vAlign w:val="center"/>
          </w:tcPr>
          <w:p w14:paraId="31D34E53" w14:textId="30A860D0" w:rsidR="005E7F2E" w:rsidRPr="005E7F2E" w:rsidRDefault="005E7F2E" w:rsidP="00DC3505">
            <w:pPr>
              <w:jc w:val="center"/>
              <w:rPr>
                <w:sz w:val="18"/>
                <w:szCs w:val="18"/>
              </w:rPr>
            </w:pPr>
            <w:r w:rsidRPr="005E7F2E">
              <w:rPr>
                <w:sz w:val="18"/>
                <w:szCs w:val="18"/>
              </w:rPr>
              <w:t>3,324.3</w:t>
            </w:r>
          </w:p>
        </w:tc>
        <w:tc>
          <w:tcPr>
            <w:tcW w:w="1132" w:type="dxa"/>
            <w:vAlign w:val="center"/>
          </w:tcPr>
          <w:p w14:paraId="12708E9C" w14:textId="2264DAB3" w:rsidR="005E7F2E" w:rsidRPr="005E7F2E" w:rsidRDefault="005E7F2E" w:rsidP="00DC3505">
            <w:pPr>
              <w:jc w:val="center"/>
              <w:rPr>
                <w:sz w:val="18"/>
                <w:szCs w:val="18"/>
              </w:rPr>
            </w:pPr>
            <w:r w:rsidRPr="005E7F2E">
              <w:rPr>
                <w:sz w:val="18"/>
                <w:szCs w:val="18"/>
              </w:rPr>
              <w:t>395.1</w:t>
            </w:r>
          </w:p>
        </w:tc>
        <w:tc>
          <w:tcPr>
            <w:tcW w:w="1132" w:type="dxa"/>
            <w:vAlign w:val="center"/>
          </w:tcPr>
          <w:p w14:paraId="57C1420E" w14:textId="0B54A86E" w:rsidR="005E7F2E" w:rsidRPr="005E7F2E" w:rsidRDefault="005E7F2E" w:rsidP="00DC3505">
            <w:pPr>
              <w:jc w:val="center"/>
              <w:rPr>
                <w:sz w:val="18"/>
                <w:szCs w:val="18"/>
              </w:rPr>
            </w:pPr>
            <w:r w:rsidRPr="005E7F2E">
              <w:rPr>
                <w:sz w:val="18"/>
                <w:szCs w:val="18"/>
              </w:rPr>
              <w:t>13.5%</w:t>
            </w:r>
          </w:p>
        </w:tc>
      </w:tr>
      <w:tr w:rsidR="005E7F2E" w:rsidRPr="0072174E" w14:paraId="5B37E06B" w14:textId="3D54804E" w:rsidTr="005E7F2E">
        <w:trPr>
          <w:cnfStyle w:val="000000010000" w:firstRow="0" w:lastRow="0" w:firstColumn="0" w:lastColumn="0" w:oddVBand="0" w:evenVBand="0" w:oddHBand="0" w:evenHBand="1" w:firstRowFirstColumn="0" w:firstRowLastColumn="0" w:lastRowFirstColumn="0" w:lastRowLastColumn="0"/>
          <w:trHeight w:val="366"/>
        </w:trPr>
        <w:tc>
          <w:tcPr>
            <w:tcW w:w="1418" w:type="dxa"/>
          </w:tcPr>
          <w:p w14:paraId="5B12BAAB" w14:textId="49CE36D6" w:rsidR="005E7F2E" w:rsidRPr="0072174E" w:rsidRDefault="005E7F2E" w:rsidP="005E7F2E">
            <w:pPr>
              <w:rPr>
                <w:sz w:val="20"/>
                <w:szCs w:val="20"/>
              </w:rPr>
            </w:pPr>
            <w:r w:rsidRPr="00C546A6">
              <w:t>SA</w:t>
            </w:r>
          </w:p>
        </w:tc>
        <w:tc>
          <w:tcPr>
            <w:tcW w:w="992" w:type="dxa"/>
            <w:vAlign w:val="center"/>
          </w:tcPr>
          <w:p w14:paraId="78901C85" w14:textId="76A2CEF1" w:rsidR="005E7F2E" w:rsidRPr="005E7F2E" w:rsidRDefault="005E7F2E" w:rsidP="00DC3505">
            <w:pPr>
              <w:jc w:val="center"/>
              <w:rPr>
                <w:sz w:val="18"/>
                <w:szCs w:val="18"/>
              </w:rPr>
            </w:pPr>
            <w:r w:rsidRPr="005E7F2E">
              <w:rPr>
                <w:sz w:val="18"/>
                <w:szCs w:val="18"/>
              </w:rPr>
              <w:t>945.0</w:t>
            </w:r>
          </w:p>
        </w:tc>
        <w:tc>
          <w:tcPr>
            <w:tcW w:w="956" w:type="dxa"/>
            <w:vAlign w:val="center"/>
          </w:tcPr>
          <w:p w14:paraId="4BA30876" w14:textId="4D19E8D0" w:rsidR="005E7F2E" w:rsidRPr="005E7F2E" w:rsidRDefault="005E7F2E" w:rsidP="00DC3505">
            <w:pPr>
              <w:jc w:val="center"/>
              <w:rPr>
                <w:sz w:val="18"/>
                <w:szCs w:val="18"/>
              </w:rPr>
            </w:pPr>
            <w:r w:rsidRPr="005E7F2E">
              <w:rPr>
                <w:sz w:val="18"/>
                <w:szCs w:val="18"/>
              </w:rPr>
              <w:t>979.9</w:t>
            </w:r>
          </w:p>
        </w:tc>
        <w:tc>
          <w:tcPr>
            <w:tcW w:w="1132" w:type="dxa"/>
            <w:vAlign w:val="center"/>
          </w:tcPr>
          <w:p w14:paraId="4888714E" w14:textId="44A817E4" w:rsidR="005E7F2E" w:rsidRPr="005E7F2E" w:rsidRDefault="005E7F2E" w:rsidP="00DC3505">
            <w:pPr>
              <w:jc w:val="center"/>
              <w:rPr>
                <w:sz w:val="18"/>
                <w:szCs w:val="18"/>
              </w:rPr>
            </w:pPr>
            <w:r w:rsidRPr="005E7F2E">
              <w:rPr>
                <w:sz w:val="18"/>
                <w:szCs w:val="18"/>
              </w:rPr>
              <w:t>34.9</w:t>
            </w:r>
          </w:p>
        </w:tc>
        <w:tc>
          <w:tcPr>
            <w:tcW w:w="1132" w:type="dxa"/>
            <w:vAlign w:val="center"/>
          </w:tcPr>
          <w:p w14:paraId="356FA064" w14:textId="4AF6E62F" w:rsidR="005E7F2E" w:rsidRPr="005E7F2E" w:rsidRDefault="005E7F2E" w:rsidP="00DC3505">
            <w:pPr>
              <w:jc w:val="center"/>
              <w:rPr>
                <w:sz w:val="18"/>
                <w:szCs w:val="18"/>
              </w:rPr>
            </w:pPr>
            <w:r w:rsidRPr="005E7F2E">
              <w:rPr>
                <w:sz w:val="18"/>
                <w:szCs w:val="18"/>
              </w:rPr>
              <w:t>3.7%</w:t>
            </w:r>
          </w:p>
        </w:tc>
        <w:tc>
          <w:tcPr>
            <w:tcW w:w="1132" w:type="dxa"/>
            <w:vAlign w:val="center"/>
          </w:tcPr>
          <w:p w14:paraId="1668FB1E" w14:textId="20B969EF" w:rsidR="005E7F2E" w:rsidRPr="005E7F2E" w:rsidRDefault="005E7F2E" w:rsidP="00DC3505">
            <w:pPr>
              <w:jc w:val="center"/>
              <w:rPr>
                <w:sz w:val="18"/>
                <w:szCs w:val="18"/>
              </w:rPr>
            </w:pPr>
            <w:r w:rsidRPr="005E7F2E">
              <w:rPr>
                <w:sz w:val="18"/>
                <w:szCs w:val="18"/>
              </w:rPr>
              <w:t>1,035.1</w:t>
            </w:r>
          </w:p>
        </w:tc>
        <w:tc>
          <w:tcPr>
            <w:tcW w:w="1132" w:type="dxa"/>
            <w:vAlign w:val="center"/>
          </w:tcPr>
          <w:p w14:paraId="547658C2" w14:textId="1A3AC2B7" w:rsidR="005E7F2E" w:rsidRPr="005E7F2E" w:rsidRDefault="005E7F2E" w:rsidP="00DC3505">
            <w:pPr>
              <w:jc w:val="center"/>
              <w:rPr>
                <w:sz w:val="18"/>
                <w:szCs w:val="18"/>
              </w:rPr>
            </w:pPr>
            <w:r w:rsidRPr="005E7F2E">
              <w:rPr>
                <w:sz w:val="18"/>
                <w:szCs w:val="18"/>
              </w:rPr>
              <w:t>90.1</w:t>
            </w:r>
          </w:p>
        </w:tc>
        <w:tc>
          <w:tcPr>
            <w:tcW w:w="1132" w:type="dxa"/>
            <w:vAlign w:val="center"/>
          </w:tcPr>
          <w:p w14:paraId="6DCAF27F" w14:textId="5A78E248" w:rsidR="005E7F2E" w:rsidRPr="005E7F2E" w:rsidRDefault="005E7F2E" w:rsidP="00DC3505">
            <w:pPr>
              <w:jc w:val="center"/>
              <w:rPr>
                <w:sz w:val="18"/>
                <w:szCs w:val="18"/>
              </w:rPr>
            </w:pPr>
            <w:r w:rsidRPr="005E7F2E">
              <w:rPr>
                <w:sz w:val="18"/>
                <w:szCs w:val="18"/>
              </w:rPr>
              <w:t>9.5%</w:t>
            </w:r>
          </w:p>
        </w:tc>
      </w:tr>
      <w:tr w:rsidR="005E7F2E" w:rsidRPr="0072174E" w14:paraId="312005E1" w14:textId="08015626" w:rsidTr="005E7F2E">
        <w:trPr>
          <w:trHeight w:val="366"/>
        </w:trPr>
        <w:tc>
          <w:tcPr>
            <w:tcW w:w="1418" w:type="dxa"/>
          </w:tcPr>
          <w:p w14:paraId="09A94FD4" w14:textId="6A8DD359" w:rsidR="005E7F2E" w:rsidRPr="0072174E" w:rsidRDefault="005E7F2E" w:rsidP="005E7F2E">
            <w:pPr>
              <w:rPr>
                <w:sz w:val="20"/>
                <w:szCs w:val="20"/>
              </w:rPr>
            </w:pPr>
            <w:r w:rsidRPr="00C546A6">
              <w:t>WA</w:t>
            </w:r>
          </w:p>
        </w:tc>
        <w:tc>
          <w:tcPr>
            <w:tcW w:w="992" w:type="dxa"/>
            <w:vAlign w:val="center"/>
          </w:tcPr>
          <w:p w14:paraId="3F681B28" w14:textId="28CBAEDD" w:rsidR="005E7F2E" w:rsidRPr="005E7F2E" w:rsidRDefault="005E7F2E" w:rsidP="00DC3505">
            <w:pPr>
              <w:jc w:val="center"/>
              <w:rPr>
                <w:sz w:val="18"/>
                <w:szCs w:val="18"/>
              </w:rPr>
            </w:pPr>
            <w:r w:rsidRPr="005E7F2E">
              <w:rPr>
                <w:sz w:val="18"/>
                <w:szCs w:val="18"/>
              </w:rPr>
              <w:t>1,600.3</w:t>
            </w:r>
          </w:p>
        </w:tc>
        <w:tc>
          <w:tcPr>
            <w:tcW w:w="956" w:type="dxa"/>
            <w:vAlign w:val="center"/>
          </w:tcPr>
          <w:p w14:paraId="17E6AEA4" w14:textId="01CC0ECA" w:rsidR="005E7F2E" w:rsidRPr="005E7F2E" w:rsidRDefault="005E7F2E" w:rsidP="00DC3505">
            <w:pPr>
              <w:jc w:val="center"/>
              <w:rPr>
                <w:sz w:val="18"/>
                <w:szCs w:val="18"/>
              </w:rPr>
            </w:pPr>
            <w:r w:rsidRPr="005E7F2E">
              <w:rPr>
                <w:sz w:val="18"/>
                <w:szCs w:val="18"/>
              </w:rPr>
              <w:t>1,711.5</w:t>
            </w:r>
          </w:p>
        </w:tc>
        <w:tc>
          <w:tcPr>
            <w:tcW w:w="1132" w:type="dxa"/>
            <w:vAlign w:val="center"/>
          </w:tcPr>
          <w:p w14:paraId="07C68CA5" w14:textId="5E7704F4" w:rsidR="005E7F2E" w:rsidRPr="005E7F2E" w:rsidRDefault="005E7F2E" w:rsidP="00DC3505">
            <w:pPr>
              <w:jc w:val="center"/>
              <w:rPr>
                <w:sz w:val="18"/>
                <w:szCs w:val="18"/>
              </w:rPr>
            </w:pPr>
            <w:r w:rsidRPr="005E7F2E">
              <w:rPr>
                <w:sz w:val="18"/>
                <w:szCs w:val="18"/>
              </w:rPr>
              <w:t>111.3</w:t>
            </w:r>
          </w:p>
        </w:tc>
        <w:tc>
          <w:tcPr>
            <w:tcW w:w="1132" w:type="dxa"/>
            <w:vAlign w:val="center"/>
          </w:tcPr>
          <w:p w14:paraId="670E38DB" w14:textId="2DEDC90C" w:rsidR="005E7F2E" w:rsidRPr="005E7F2E" w:rsidRDefault="005E7F2E" w:rsidP="00DC3505">
            <w:pPr>
              <w:jc w:val="center"/>
              <w:rPr>
                <w:sz w:val="18"/>
                <w:szCs w:val="18"/>
              </w:rPr>
            </w:pPr>
            <w:r w:rsidRPr="005E7F2E">
              <w:rPr>
                <w:sz w:val="18"/>
                <w:szCs w:val="18"/>
              </w:rPr>
              <w:t>7.0%</w:t>
            </w:r>
          </w:p>
        </w:tc>
        <w:tc>
          <w:tcPr>
            <w:tcW w:w="1132" w:type="dxa"/>
            <w:vAlign w:val="center"/>
          </w:tcPr>
          <w:p w14:paraId="27A81C20" w14:textId="59D80BF3" w:rsidR="005E7F2E" w:rsidRPr="005E7F2E" w:rsidRDefault="005E7F2E" w:rsidP="00DC3505">
            <w:pPr>
              <w:jc w:val="center"/>
              <w:rPr>
                <w:sz w:val="18"/>
                <w:szCs w:val="18"/>
              </w:rPr>
            </w:pPr>
            <w:r w:rsidRPr="005E7F2E">
              <w:rPr>
                <w:sz w:val="18"/>
                <w:szCs w:val="18"/>
              </w:rPr>
              <w:t>1,826.9</w:t>
            </w:r>
          </w:p>
        </w:tc>
        <w:tc>
          <w:tcPr>
            <w:tcW w:w="1132" w:type="dxa"/>
            <w:vAlign w:val="center"/>
          </w:tcPr>
          <w:p w14:paraId="774BC70C" w14:textId="0FC559EC" w:rsidR="005E7F2E" w:rsidRPr="005E7F2E" w:rsidRDefault="005E7F2E" w:rsidP="00DC3505">
            <w:pPr>
              <w:jc w:val="center"/>
              <w:rPr>
                <w:sz w:val="18"/>
                <w:szCs w:val="18"/>
              </w:rPr>
            </w:pPr>
            <w:r w:rsidRPr="005E7F2E">
              <w:rPr>
                <w:sz w:val="18"/>
                <w:szCs w:val="18"/>
              </w:rPr>
              <w:t>226.6</w:t>
            </w:r>
          </w:p>
        </w:tc>
        <w:tc>
          <w:tcPr>
            <w:tcW w:w="1132" w:type="dxa"/>
            <w:vAlign w:val="center"/>
          </w:tcPr>
          <w:p w14:paraId="3652B39E" w14:textId="3C25F769" w:rsidR="005E7F2E" w:rsidRPr="005E7F2E" w:rsidRDefault="005E7F2E" w:rsidP="00DC3505">
            <w:pPr>
              <w:jc w:val="center"/>
              <w:rPr>
                <w:sz w:val="18"/>
                <w:szCs w:val="18"/>
              </w:rPr>
            </w:pPr>
            <w:r w:rsidRPr="005E7F2E">
              <w:rPr>
                <w:sz w:val="18"/>
                <w:szCs w:val="18"/>
              </w:rPr>
              <w:t>14.2%</w:t>
            </w:r>
          </w:p>
        </w:tc>
      </w:tr>
      <w:tr w:rsidR="005E7F2E" w:rsidRPr="0072174E" w14:paraId="5D96EA9F" w14:textId="72C44747" w:rsidTr="005E7F2E">
        <w:trPr>
          <w:cnfStyle w:val="000000010000" w:firstRow="0" w:lastRow="0" w:firstColumn="0" w:lastColumn="0" w:oddVBand="0" w:evenVBand="0" w:oddHBand="0" w:evenHBand="1" w:firstRowFirstColumn="0" w:firstRowLastColumn="0" w:lastRowFirstColumn="0" w:lastRowLastColumn="0"/>
          <w:trHeight w:val="366"/>
        </w:trPr>
        <w:tc>
          <w:tcPr>
            <w:tcW w:w="1418" w:type="dxa"/>
          </w:tcPr>
          <w:p w14:paraId="348E5F95" w14:textId="17913E2E" w:rsidR="005E7F2E" w:rsidRPr="0072174E" w:rsidRDefault="005E7F2E" w:rsidP="005E7F2E">
            <w:pPr>
              <w:rPr>
                <w:sz w:val="20"/>
                <w:szCs w:val="20"/>
              </w:rPr>
            </w:pPr>
            <w:r w:rsidRPr="00C546A6">
              <w:t>TAS</w:t>
            </w:r>
          </w:p>
        </w:tc>
        <w:tc>
          <w:tcPr>
            <w:tcW w:w="992" w:type="dxa"/>
            <w:vAlign w:val="center"/>
          </w:tcPr>
          <w:p w14:paraId="54F59E9C" w14:textId="1A1D92C4" w:rsidR="005E7F2E" w:rsidRPr="005E7F2E" w:rsidRDefault="005E7F2E" w:rsidP="00DC3505">
            <w:pPr>
              <w:jc w:val="center"/>
              <w:rPr>
                <w:sz w:val="18"/>
                <w:szCs w:val="18"/>
              </w:rPr>
            </w:pPr>
            <w:r w:rsidRPr="005E7F2E">
              <w:rPr>
                <w:sz w:val="18"/>
                <w:szCs w:val="18"/>
              </w:rPr>
              <w:t>285.9</w:t>
            </w:r>
          </w:p>
        </w:tc>
        <w:tc>
          <w:tcPr>
            <w:tcW w:w="956" w:type="dxa"/>
            <w:vAlign w:val="center"/>
          </w:tcPr>
          <w:p w14:paraId="6DD2AB73" w14:textId="7D6D61C0" w:rsidR="005E7F2E" w:rsidRPr="005E7F2E" w:rsidRDefault="005E7F2E" w:rsidP="00DC3505">
            <w:pPr>
              <w:jc w:val="center"/>
              <w:rPr>
                <w:sz w:val="18"/>
                <w:szCs w:val="18"/>
              </w:rPr>
            </w:pPr>
            <w:r w:rsidRPr="005E7F2E">
              <w:rPr>
                <w:sz w:val="18"/>
                <w:szCs w:val="18"/>
              </w:rPr>
              <w:t>300.6</w:t>
            </w:r>
          </w:p>
        </w:tc>
        <w:tc>
          <w:tcPr>
            <w:tcW w:w="1132" w:type="dxa"/>
            <w:vAlign w:val="center"/>
          </w:tcPr>
          <w:p w14:paraId="46084061" w14:textId="43C742AB" w:rsidR="005E7F2E" w:rsidRPr="005E7F2E" w:rsidRDefault="005E7F2E" w:rsidP="00DC3505">
            <w:pPr>
              <w:jc w:val="center"/>
              <w:rPr>
                <w:sz w:val="18"/>
                <w:szCs w:val="18"/>
              </w:rPr>
            </w:pPr>
            <w:r w:rsidRPr="005E7F2E">
              <w:rPr>
                <w:sz w:val="18"/>
                <w:szCs w:val="18"/>
              </w:rPr>
              <w:t>14.6</w:t>
            </w:r>
          </w:p>
        </w:tc>
        <w:tc>
          <w:tcPr>
            <w:tcW w:w="1132" w:type="dxa"/>
            <w:vAlign w:val="center"/>
          </w:tcPr>
          <w:p w14:paraId="459AAEC4" w14:textId="1359A6D1" w:rsidR="005E7F2E" w:rsidRPr="005E7F2E" w:rsidRDefault="005E7F2E" w:rsidP="00DC3505">
            <w:pPr>
              <w:jc w:val="center"/>
              <w:rPr>
                <w:sz w:val="18"/>
                <w:szCs w:val="18"/>
              </w:rPr>
            </w:pPr>
            <w:r w:rsidRPr="005E7F2E">
              <w:rPr>
                <w:sz w:val="18"/>
                <w:szCs w:val="18"/>
              </w:rPr>
              <w:t>5.1%</w:t>
            </w:r>
          </w:p>
        </w:tc>
        <w:tc>
          <w:tcPr>
            <w:tcW w:w="1132" w:type="dxa"/>
            <w:vAlign w:val="center"/>
          </w:tcPr>
          <w:p w14:paraId="5A2F73C3" w14:textId="3F1D983D" w:rsidR="005E7F2E" w:rsidRPr="005E7F2E" w:rsidRDefault="005E7F2E" w:rsidP="00DC3505">
            <w:pPr>
              <w:jc w:val="center"/>
              <w:rPr>
                <w:sz w:val="18"/>
                <w:szCs w:val="18"/>
              </w:rPr>
            </w:pPr>
            <w:r w:rsidRPr="005E7F2E">
              <w:rPr>
                <w:sz w:val="18"/>
                <w:szCs w:val="18"/>
              </w:rPr>
              <w:t>317.4</w:t>
            </w:r>
          </w:p>
        </w:tc>
        <w:tc>
          <w:tcPr>
            <w:tcW w:w="1132" w:type="dxa"/>
            <w:vAlign w:val="center"/>
          </w:tcPr>
          <w:p w14:paraId="6978E285" w14:textId="04215BF6" w:rsidR="005E7F2E" w:rsidRPr="005E7F2E" w:rsidRDefault="005E7F2E" w:rsidP="00DC3505">
            <w:pPr>
              <w:jc w:val="center"/>
              <w:rPr>
                <w:sz w:val="18"/>
                <w:szCs w:val="18"/>
              </w:rPr>
            </w:pPr>
            <w:r w:rsidRPr="005E7F2E">
              <w:rPr>
                <w:sz w:val="18"/>
                <w:szCs w:val="18"/>
              </w:rPr>
              <w:t>31.4</w:t>
            </w:r>
          </w:p>
        </w:tc>
        <w:tc>
          <w:tcPr>
            <w:tcW w:w="1132" w:type="dxa"/>
            <w:vAlign w:val="center"/>
          </w:tcPr>
          <w:p w14:paraId="6EEF60D5" w14:textId="627B0A87" w:rsidR="005E7F2E" w:rsidRPr="005E7F2E" w:rsidRDefault="005E7F2E" w:rsidP="00DC3505">
            <w:pPr>
              <w:jc w:val="center"/>
              <w:rPr>
                <w:sz w:val="18"/>
                <w:szCs w:val="18"/>
              </w:rPr>
            </w:pPr>
            <w:r w:rsidRPr="005E7F2E">
              <w:rPr>
                <w:sz w:val="18"/>
                <w:szCs w:val="18"/>
              </w:rPr>
              <w:t>11.0%</w:t>
            </w:r>
          </w:p>
        </w:tc>
      </w:tr>
      <w:tr w:rsidR="005E7F2E" w:rsidRPr="0072174E" w14:paraId="5C13C71C" w14:textId="77777777" w:rsidTr="005E7F2E">
        <w:trPr>
          <w:trHeight w:val="366"/>
        </w:trPr>
        <w:tc>
          <w:tcPr>
            <w:tcW w:w="1418" w:type="dxa"/>
          </w:tcPr>
          <w:p w14:paraId="498CFD1E" w14:textId="254FC366" w:rsidR="005E7F2E" w:rsidRPr="0072174E" w:rsidRDefault="005E7F2E" w:rsidP="005E7F2E">
            <w:pPr>
              <w:rPr>
                <w:sz w:val="20"/>
                <w:szCs w:val="20"/>
              </w:rPr>
            </w:pPr>
            <w:r w:rsidRPr="00C546A6">
              <w:t>NT</w:t>
            </w:r>
          </w:p>
        </w:tc>
        <w:tc>
          <w:tcPr>
            <w:tcW w:w="992" w:type="dxa"/>
            <w:vAlign w:val="center"/>
          </w:tcPr>
          <w:p w14:paraId="40D7378C" w14:textId="1C0D6636" w:rsidR="005E7F2E" w:rsidRPr="005E7F2E" w:rsidRDefault="005E7F2E" w:rsidP="00DC3505">
            <w:pPr>
              <w:jc w:val="center"/>
              <w:rPr>
                <w:sz w:val="18"/>
                <w:szCs w:val="18"/>
              </w:rPr>
            </w:pPr>
            <w:r w:rsidRPr="005E7F2E">
              <w:rPr>
                <w:sz w:val="18"/>
                <w:szCs w:val="18"/>
              </w:rPr>
              <w:t>136.1</w:t>
            </w:r>
          </w:p>
        </w:tc>
        <w:tc>
          <w:tcPr>
            <w:tcW w:w="956" w:type="dxa"/>
            <w:vAlign w:val="center"/>
          </w:tcPr>
          <w:p w14:paraId="1B7AD2EC" w14:textId="0DFD6F19" w:rsidR="005E7F2E" w:rsidRPr="005E7F2E" w:rsidRDefault="005E7F2E" w:rsidP="00DC3505">
            <w:pPr>
              <w:jc w:val="center"/>
              <w:rPr>
                <w:sz w:val="18"/>
                <w:szCs w:val="18"/>
              </w:rPr>
            </w:pPr>
            <w:r w:rsidRPr="005E7F2E">
              <w:rPr>
                <w:sz w:val="18"/>
                <w:szCs w:val="18"/>
              </w:rPr>
              <w:t>145.8</w:t>
            </w:r>
          </w:p>
        </w:tc>
        <w:tc>
          <w:tcPr>
            <w:tcW w:w="1132" w:type="dxa"/>
            <w:vAlign w:val="center"/>
          </w:tcPr>
          <w:p w14:paraId="51FA7223" w14:textId="4B91B29E" w:rsidR="005E7F2E" w:rsidRPr="005E7F2E" w:rsidRDefault="005E7F2E" w:rsidP="00DC3505">
            <w:pPr>
              <w:jc w:val="center"/>
              <w:rPr>
                <w:sz w:val="18"/>
                <w:szCs w:val="18"/>
              </w:rPr>
            </w:pPr>
            <w:r w:rsidRPr="005E7F2E">
              <w:rPr>
                <w:sz w:val="18"/>
                <w:szCs w:val="18"/>
              </w:rPr>
              <w:t>9.7</w:t>
            </w:r>
          </w:p>
        </w:tc>
        <w:tc>
          <w:tcPr>
            <w:tcW w:w="1132" w:type="dxa"/>
            <w:vAlign w:val="center"/>
          </w:tcPr>
          <w:p w14:paraId="0FF990B8" w14:textId="792A1776" w:rsidR="005E7F2E" w:rsidRPr="005E7F2E" w:rsidRDefault="005E7F2E" w:rsidP="00DC3505">
            <w:pPr>
              <w:jc w:val="center"/>
              <w:rPr>
                <w:sz w:val="18"/>
                <w:szCs w:val="18"/>
              </w:rPr>
            </w:pPr>
            <w:r w:rsidRPr="005E7F2E">
              <w:rPr>
                <w:sz w:val="18"/>
                <w:szCs w:val="18"/>
              </w:rPr>
              <w:t>7.1%</w:t>
            </w:r>
          </w:p>
        </w:tc>
        <w:tc>
          <w:tcPr>
            <w:tcW w:w="1132" w:type="dxa"/>
            <w:vAlign w:val="center"/>
          </w:tcPr>
          <w:p w14:paraId="74319AD0" w14:textId="17957E70" w:rsidR="005E7F2E" w:rsidRPr="005E7F2E" w:rsidRDefault="005E7F2E" w:rsidP="00DC3505">
            <w:pPr>
              <w:jc w:val="center"/>
              <w:rPr>
                <w:sz w:val="18"/>
                <w:szCs w:val="18"/>
              </w:rPr>
            </w:pPr>
            <w:r w:rsidRPr="005E7F2E">
              <w:rPr>
                <w:sz w:val="18"/>
                <w:szCs w:val="18"/>
              </w:rPr>
              <w:t>155.5</w:t>
            </w:r>
          </w:p>
        </w:tc>
        <w:tc>
          <w:tcPr>
            <w:tcW w:w="1132" w:type="dxa"/>
            <w:vAlign w:val="center"/>
          </w:tcPr>
          <w:p w14:paraId="2E0D11B4" w14:textId="3B8580B0" w:rsidR="005E7F2E" w:rsidRPr="005E7F2E" w:rsidRDefault="005E7F2E" w:rsidP="00DC3505">
            <w:pPr>
              <w:jc w:val="center"/>
              <w:rPr>
                <w:sz w:val="18"/>
                <w:szCs w:val="18"/>
              </w:rPr>
            </w:pPr>
            <w:r w:rsidRPr="005E7F2E">
              <w:rPr>
                <w:sz w:val="18"/>
                <w:szCs w:val="18"/>
              </w:rPr>
              <w:t>19.4</w:t>
            </w:r>
          </w:p>
        </w:tc>
        <w:tc>
          <w:tcPr>
            <w:tcW w:w="1132" w:type="dxa"/>
            <w:vAlign w:val="center"/>
          </w:tcPr>
          <w:p w14:paraId="466CEED9" w14:textId="75679EE0" w:rsidR="005E7F2E" w:rsidRPr="005E7F2E" w:rsidRDefault="005E7F2E" w:rsidP="00DC3505">
            <w:pPr>
              <w:jc w:val="center"/>
              <w:rPr>
                <w:sz w:val="18"/>
                <w:szCs w:val="18"/>
              </w:rPr>
            </w:pPr>
            <w:r w:rsidRPr="005E7F2E">
              <w:rPr>
                <w:sz w:val="18"/>
                <w:szCs w:val="18"/>
              </w:rPr>
              <w:t>14.2%</w:t>
            </w:r>
          </w:p>
        </w:tc>
      </w:tr>
      <w:tr w:rsidR="005E7F2E" w:rsidRPr="0072174E" w14:paraId="000FBA9D" w14:textId="77777777" w:rsidTr="005E7F2E">
        <w:trPr>
          <w:cnfStyle w:val="000000010000" w:firstRow="0" w:lastRow="0" w:firstColumn="0" w:lastColumn="0" w:oddVBand="0" w:evenVBand="0" w:oddHBand="0" w:evenHBand="1" w:firstRowFirstColumn="0" w:firstRowLastColumn="0" w:lastRowFirstColumn="0" w:lastRowLastColumn="0"/>
          <w:trHeight w:val="366"/>
        </w:trPr>
        <w:tc>
          <w:tcPr>
            <w:tcW w:w="1418" w:type="dxa"/>
          </w:tcPr>
          <w:p w14:paraId="7DCA5390" w14:textId="2346E7D8" w:rsidR="005E7F2E" w:rsidRPr="0072174E" w:rsidRDefault="005E7F2E" w:rsidP="005E7F2E">
            <w:pPr>
              <w:rPr>
                <w:sz w:val="20"/>
                <w:szCs w:val="20"/>
              </w:rPr>
            </w:pPr>
            <w:r w:rsidRPr="00C546A6">
              <w:t>ACT</w:t>
            </w:r>
          </w:p>
        </w:tc>
        <w:tc>
          <w:tcPr>
            <w:tcW w:w="992" w:type="dxa"/>
            <w:vAlign w:val="center"/>
          </w:tcPr>
          <w:p w14:paraId="55F4A5B6" w14:textId="1363394D" w:rsidR="005E7F2E" w:rsidRPr="005E7F2E" w:rsidRDefault="005E7F2E" w:rsidP="00DC3505">
            <w:pPr>
              <w:jc w:val="center"/>
              <w:rPr>
                <w:sz w:val="18"/>
                <w:szCs w:val="18"/>
              </w:rPr>
            </w:pPr>
            <w:r w:rsidRPr="005E7F2E">
              <w:rPr>
                <w:sz w:val="18"/>
                <w:szCs w:val="18"/>
              </w:rPr>
              <w:t>268.5</w:t>
            </w:r>
          </w:p>
        </w:tc>
        <w:tc>
          <w:tcPr>
            <w:tcW w:w="956" w:type="dxa"/>
            <w:vAlign w:val="center"/>
          </w:tcPr>
          <w:p w14:paraId="25860E43" w14:textId="0C1101CC" w:rsidR="005E7F2E" w:rsidRPr="005E7F2E" w:rsidRDefault="005E7F2E" w:rsidP="00DC3505">
            <w:pPr>
              <w:jc w:val="center"/>
              <w:rPr>
                <w:sz w:val="18"/>
                <w:szCs w:val="18"/>
              </w:rPr>
            </w:pPr>
            <w:r w:rsidRPr="005E7F2E">
              <w:rPr>
                <w:sz w:val="18"/>
                <w:szCs w:val="18"/>
              </w:rPr>
              <w:t>293.2</w:t>
            </w:r>
          </w:p>
        </w:tc>
        <w:tc>
          <w:tcPr>
            <w:tcW w:w="1132" w:type="dxa"/>
            <w:vAlign w:val="center"/>
          </w:tcPr>
          <w:p w14:paraId="22DDDD55" w14:textId="2F88BFA0" w:rsidR="005E7F2E" w:rsidRPr="005E7F2E" w:rsidRDefault="005E7F2E" w:rsidP="00DC3505">
            <w:pPr>
              <w:jc w:val="center"/>
              <w:rPr>
                <w:sz w:val="18"/>
                <w:szCs w:val="18"/>
              </w:rPr>
            </w:pPr>
            <w:r w:rsidRPr="005E7F2E">
              <w:rPr>
                <w:sz w:val="18"/>
                <w:szCs w:val="18"/>
              </w:rPr>
              <w:t>24.7</w:t>
            </w:r>
          </w:p>
        </w:tc>
        <w:tc>
          <w:tcPr>
            <w:tcW w:w="1132" w:type="dxa"/>
            <w:vAlign w:val="center"/>
          </w:tcPr>
          <w:p w14:paraId="3480DA2D" w14:textId="2ABC9F3E" w:rsidR="005E7F2E" w:rsidRPr="005E7F2E" w:rsidRDefault="005E7F2E" w:rsidP="00DC3505">
            <w:pPr>
              <w:jc w:val="center"/>
              <w:rPr>
                <w:sz w:val="18"/>
                <w:szCs w:val="18"/>
              </w:rPr>
            </w:pPr>
            <w:r w:rsidRPr="005E7F2E">
              <w:rPr>
                <w:sz w:val="18"/>
                <w:szCs w:val="18"/>
              </w:rPr>
              <w:t>9.2%</w:t>
            </w:r>
          </w:p>
        </w:tc>
        <w:tc>
          <w:tcPr>
            <w:tcW w:w="1132" w:type="dxa"/>
            <w:vAlign w:val="center"/>
          </w:tcPr>
          <w:p w14:paraId="4E3EB116" w14:textId="3722F4F5" w:rsidR="005E7F2E" w:rsidRPr="005E7F2E" w:rsidRDefault="005E7F2E" w:rsidP="00DC3505">
            <w:pPr>
              <w:jc w:val="center"/>
              <w:rPr>
                <w:sz w:val="18"/>
                <w:szCs w:val="18"/>
              </w:rPr>
            </w:pPr>
            <w:r w:rsidRPr="005E7F2E">
              <w:rPr>
                <w:sz w:val="18"/>
                <w:szCs w:val="18"/>
              </w:rPr>
              <w:t>317.1</w:t>
            </w:r>
          </w:p>
        </w:tc>
        <w:tc>
          <w:tcPr>
            <w:tcW w:w="1132" w:type="dxa"/>
            <w:vAlign w:val="center"/>
          </w:tcPr>
          <w:p w14:paraId="561C706F" w14:textId="77FC83FD" w:rsidR="005E7F2E" w:rsidRPr="005E7F2E" w:rsidRDefault="005E7F2E" w:rsidP="00DC3505">
            <w:pPr>
              <w:jc w:val="center"/>
              <w:rPr>
                <w:sz w:val="18"/>
                <w:szCs w:val="18"/>
              </w:rPr>
            </w:pPr>
            <w:r w:rsidRPr="005E7F2E">
              <w:rPr>
                <w:sz w:val="18"/>
                <w:szCs w:val="18"/>
              </w:rPr>
              <w:t>48.6</w:t>
            </w:r>
          </w:p>
        </w:tc>
        <w:tc>
          <w:tcPr>
            <w:tcW w:w="1132" w:type="dxa"/>
            <w:vAlign w:val="center"/>
          </w:tcPr>
          <w:p w14:paraId="1C122B31" w14:textId="0B620EDA" w:rsidR="005E7F2E" w:rsidRPr="005E7F2E" w:rsidRDefault="005E7F2E" w:rsidP="00DC3505">
            <w:pPr>
              <w:jc w:val="center"/>
              <w:rPr>
                <w:sz w:val="18"/>
                <w:szCs w:val="18"/>
              </w:rPr>
            </w:pPr>
            <w:r w:rsidRPr="005E7F2E">
              <w:rPr>
                <w:sz w:val="18"/>
                <w:szCs w:val="18"/>
              </w:rPr>
              <w:t>18.1%</w:t>
            </w:r>
          </w:p>
        </w:tc>
      </w:tr>
      <w:tr w:rsidR="005E7F2E" w:rsidRPr="0072174E" w14:paraId="5D2D1D3F" w14:textId="77777777" w:rsidTr="005E7F2E">
        <w:trPr>
          <w:trHeight w:val="366"/>
        </w:trPr>
        <w:tc>
          <w:tcPr>
            <w:tcW w:w="1418" w:type="dxa"/>
          </w:tcPr>
          <w:p w14:paraId="7676DB45" w14:textId="4BE083E2" w:rsidR="005E7F2E" w:rsidRPr="0072174E" w:rsidRDefault="005E7F2E" w:rsidP="005E7F2E">
            <w:pPr>
              <w:rPr>
                <w:sz w:val="20"/>
                <w:szCs w:val="20"/>
              </w:rPr>
            </w:pPr>
            <w:r w:rsidRPr="00C546A6">
              <w:t>Australia</w:t>
            </w:r>
          </w:p>
        </w:tc>
        <w:tc>
          <w:tcPr>
            <w:tcW w:w="992" w:type="dxa"/>
            <w:vAlign w:val="center"/>
          </w:tcPr>
          <w:p w14:paraId="48C6D5C9" w14:textId="68BF18DE" w:rsidR="005E7F2E" w:rsidRPr="005E7F2E" w:rsidRDefault="005E7F2E" w:rsidP="00DC3505">
            <w:pPr>
              <w:jc w:val="center"/>
              <w:rPr>
                <w:sz w:val="18"/>
                <w:szCs w:val="18"/>
              </w:rPr>
            </w:pPr>
            <w:r w:rsidRPr="005E7F2E">
              <w:rPr>
                <w:sz w:val="18"/>
                <w:szCs w:val="18"/>
              </w:rPr>
              <w:t>14,363.3</w:t>
            </w:r>
          </w:p>
        </w:tc>
        <w:tc>
          <w:tcPr>
            <w:tcW w:w="956" w:type="dxa"/>
            <w:vAlign w:val="center"/>
          </w:tcPr>
          <w:p w14:paraId="0F0460E8" w14:textId="0629F463" w:rsidR="005E7F2E" w:rsidRPr="005E7F2E" w:rsidRDefault="005E7F2E" w:rsidP="00DC3505">
            <w:pPr>
              <w:jc w:val="center"/>
              <w:rPr>
                <w:sz w:val="18"/>
                <w:szCs w:val="18"/>
              </w:rPr>
            </w:pPr>
            <w:r w:rsidRPr="005E7F2E">
              <w:rPr>
                <w:sz w:val="18"/>
                <w:szCs w:val="18"/>
              </w:rPr>
              <w:t>15,310.7</w:t>
            </w:r>
          </w:p>
        </w:tc>
        <w:tc>
          <w:tcPr>
            <w:tcW w:w="1132" w:type="dxa"/>
            <w:vAlign w:val="center"/>
          </w:tcPr>
          <w:p w14:paraId="36065270" w14:textId="680A4864" w:rsidR="005E7F2E" w:rsidRPr="005E7F2E" w:rsidRDefault="005E7F2E" w:rsidP="00DC3505">
            <w:pPr>
              <w:jc w:val="center"/>
              <w:rPr>
                <w:sz w:val="18"/>
                <w:szCs w:val="18"/>
              </w:rPr>
            </w:pPr>
            <w:r w:rsidRPr="005E7F2E">
              <w:rPr>
                <w:sz w:val="18"/>
                <w:szCs w:val="18"/>
              </w:rPr>
              <w:t>947.4</w:t>
            </w:r>
          </w:p>
        </w:tc>
        <w:tc>
          <w:tcPr>
            <w:tcW w:w="1132" w:type="dxa"/>
            <w:vAlign w:val="center"/>
          </w:tcPr>
          <w:p w14:paraId="2B956855" w14:textId="2E8F8B1A" w:rsidR="005E7F2E" w:rsidRPr="005E7F2E" w:rsidRDefault="005E7F2E" w:rsidP="00DC3505">
            <w:pPr>
              <w:jc w:val="center"/>
              <w:rPr>
                <w:sz w:val="18"/>
                <w:szCs w:val="18"/>
              </w:rPr>
            </w:pPr>
            <w:r w:rsidRPr="005E7F2E">
              <w:rPr>
                <w:sz w:val="18"/>
                <w:szCs w:val="18"/>
              </w:rPr>
              <w:t>6.6%</w:t>
            </w:r>
          </w:p>
        </w:tc>
        <w:tc>
          <w:tcPr>
            <w:tcW w:w="1132" w:type="dxa"/>
            <w:vAlign w:val="center"/>
          </w:tcPr>
          <w:p w14:paraId="1DD04FF6" w14:textId="189861FB" w:rsidR="005E7F2E" w:rsidRPr="005E7F2E" w:rsidRDefault="005E7F2E" w:rsidP="00DC3505">
            <w:pPr>
              <w:jc w:val="center"/>
              <w:rPr>
                <w:sz w:val="18"/>
                <w:szCs w:val="18"/>
              </w:rPr>
            </w:pPr>
            <w:r w:rsidRPr="005E7F2E">
              <w:rPr>
                <w:sz w:val="18"/>
                <w:szCs w:val="18"/>
              </w:rPr>
              <w:t>16,325.5</w:t>
            </w:r>
          </w:p>
        </w:tc>
        <w:tc>
          <w:tcPr>
            <w:tcW w:w="1132" w:type="dxa"/>
            <w:vAlign w:val="center"/>
          </w:tcPr>
          <w:p w14:paraId="5B9843FE" w14:textId="247CC7D3" w:rsidR="005E7F2E" w:rsidRPr="005E7F2E" w:rsidRDefault="005E7F2E" w:rsidP="00DC3505">
            <w:pPr>
              <w:jc w:val="center"/>
              <w:rPr>
                <w:sz w:val="18"/>
                <w:szCs w:val="18"/>
              </w:rPr>
            </w:pPr>
            <w:r w:rsidRPr="005E7F2E">
              <w:rPr>
                <w:sz w:val="18"/>
                <w:szCs w:val="18"/>
              </w:rPr>
              <w:t>1,962.2</w:t>
            </w:r>
          </w:p>
        </w:tc>
        <w:tc>
          <w:tcPr>
            <w:tcW w:w="1132" w:type="dxa"/>
            <w:vAlign w:val="center"/>
          </w:tcPr>
          <w:p w14:paraId="7B7546E1" w14:textId="4215431C" w:rsidR="005E7F2E" w:rsidRPr="005E7F2E" w:rsidRDefault="005E7F2E" w:rsidP="00DC3505">
            <w:pPr>
              <w:jc w:val="center"/>
              <w:rPr>
                <w:sz w:val="18"/>
                <w:szCs w:val="18"/>
              </w:rPr>
            </w:pPr>
            <w:r w:rsidRPr="005E7F2E">
              <w:rPr>
                <w:sz w:val="18"/>
                <w:szCs w:val="18"/>
              </w:rPr>
              <w:t>13.7%</w:t>
            </w:r>
          </w:p>
        </w:tc>
      </w:tr>
    </w:tbl>
    <w:p w14:paraId="2D2703C3" w14:textId="0D2AD2B8" w:rsidR="00AC2606" w:rsidRPr="00081C05" w:rsidRDefault="00AC2606" w:rsidP="00A17C4D">
      <w:pPr>
        <w:pStyle w:val="Source"/>
      </w:pPr>
      <w:r w:rsidRPr="00081C05">
        <w:t>Source: 2024-2034 Employment Projections, produced by Victoria University for Jobs and Skills Australia</w:t>
      </w:r>
      <w:r w:rsidR="00AB782F">
        <w:t>.</w:t>
      </w:r>
    </w:p>
    <w:p w14:paraId="36B0884E" w14:textId="77777777" w:rsidR="00E3489A" w:rsidRDefault="00E3489A" w:rsidP="00E307AB">
      <w:pPr>
        <w:keepNext/>
        <w:keepLines/>
      </w:pPr>
      <w:r>
        <w:t>Analysing trends in industry employment across the states and territories over the 10 years to May 2034 shows some common themes.</w:t>
      </w:r>
    </w:p>
    <w:p w14:paraId="2D69DAF3" w14:textId="39056711" w:rsidR="00E3489A" w:rsidRDefault="00E3489A" w:rsidP="00E3489A">
      <w:pPr>
        <w:pStyle w:val="ListBullet"/>
      </w:pPr>
      <w:r>
        <w:t>Health Care and Social Assistance is the largest employing industry by share of employment in 2034 in all states and territories, except for the ACT. It is projected to be the highest contributing industry to employment growth across all states and territories over the next decade, except for the ACT, where it is the second largest contributor to employment growth.</w:t>
      </w:r>
    </w:p>
    <w:p w14:paraId="5101621C" w14:textId="2656E72E" w:rsidR="00E3489A" w:rsidRDefault="00E3489A" w:rsidP="00E3489A">
      <w:pPr>
        <w:pStyle w:val="ListBullet"/>
      </w:pPr>
      <w:r>
        <w:t>Professional, Scientific and Technical Services is projected to be the second largest employing industry in NSW, Victoria, and the ACT, contributing over 10.0% of employment in these jurisdictions. This industry is projected to be the second highest contributor to employment growth across all states and territories over the next decade, except in the ACT and NT.</w:t>
      </w:r>
    </w:p>
    <w:p w14:paraId="3D1DB11A" w14:textId="7A4D2E14" w:rsidR="00E3489A" w:rsidRDefault="00E3489A" w:rsidP="00E3489A">
      <w:pPr>
        <w:pStyle w:val="ListBullet"/>
      </w:pPr>
      <w:r>
        <w:t xml:space="preserve">Construction is projected to be the third largest employing industry in NSW, Victoria, South Australia, and Western Australia, and the second largest employer in Queensland and Tasmania. It is projected to be one of the highest contributors to employment growth across all states over the next decade, excluding the territories. </w:t>
      </w:r>
    </w:p>
    <w:p w14:paraId="7D270CFC" w14:textId="4517D170" w:rsidR="00AC2606" w:rsidRPr="00AC0957" w:rsidRDefault="00E3489A" w:rsidP="00E3489A">
      <w:r>
        <w:fldChar w:fldCharType="begin"/>
      </w:r>
      <w:r>
        <w:instrText xml:space="preserve"> REF _Ref179898079 \h </w:instrText>
      </w:r>
      <w:r>
        <w:fldChar w:fldCharType="separate"/>
      </w:r>
      <w:r w:rsidR="00C47A81">
        <w:t xml:space="preserve">Figure </w:t>
      </w:r>
      <w:r w:rsidR="00C47A81">
        <w:rPr>
          <w:noProof/>
        </w:rPr>
        <w:t>43</w:t>
      </w:r>
      <w:r>
        <w:fldChar w:fldCharType="end"/>
      </w:r>
      <w:r>
        <w:t xml:space="preserve"> shows growth in industry employment for each state and territory over the 10 years to May 2034</w:t>
      </w:r>
      <w:r w:rsidR="00AC2606" w:rsidRPr="00AC0957">
        <w:t>.</w:t>
      </w:r>
    </w:p>
    <w:p w14:paraId="2E6CF8B1" w14:textId="22A4594A" w:rsidR="001D0DC3" w:rsidRDefault="001D0DC3" w:rsidP="001D0DC3">
      <w:pPr>
        <w:pStyle w:val="Caption"/>
      </w:pPr>
      <w:bookmarkStart w:id="210" w:name="_Ref179898079"/>
      <w:bookmarkStart w:id="211" w:name="_Toc181370345"/>
      <w:r>
        <w:t xml:space="preserve">Figure </w:t>
      </w:r>
      <w:r>
        <w:fldChar w:fldCharType="begin"/>
      </w:r>
      <w:r>
        <w:instrText xml:space="preserve"> SEQ Figure \* ARABIC </w:instrText>
      </w:r>
      <w:r>
        <w:fldChar w:fldCharType="separate"/>
      </w:r>
      <w:r w:rsidR="00C47A81">
        <w:rPr>
          <w:noProof/>
        </w:rPr>
        <w:t>43</w:t>
      </w:r>
      <w:r>
        <w:fldChar w:fldCharType="end"/>
      </w:r>
      <w:bookmarkEnd w:id="210"/>
      <w:r>
        <w:t xml:space="preserve">: </w:t>
      </w:r>
      <w:r w:rsidR="00097F4D">
        <w:t>Change in i</w:t>
      </w:r>
      <w:r w:rsidRPr="00467EA0">
        <w:t>ndustry employment for each state and territory over the 10 years to May 2034</w:t>
      </w:r>
      <w:bookmarkEnd w:id="211"/>
    </w:p>
    <w:p w14:paraId="5E2A1FD3" w14:textId="3226421A" w:rsidR="00AC2606" w:rsidRDefault="00B76B10" w:rsidP="00AC2606">
      <w:pPr>
        <w:pStyle w:val="ListBullet"/>
        <w:numPr>
          <w:ilvl w:val="0"/>
          <w:numId w:val="0"/>
        </w:numPr>
        <w:rPr>
          <w:rFonts w:cs="Arial"/>
        </w:rPr>
      </w:pPr>
      <w:r>
        <w:rPr>
          <w:rFonts w:cs="Arial"/>
          <w:noProof/>
        </w:rPr>
        <w:drawing>
          <wp:inline distT="0" distB="0" distL="0" distR="0" wp14:anchorId="3CB1F1A8" wp14:editId="2C78E8EE">
            <wp:extent cx="5727600" cy="7646400"/>
            <wp:effectExtent l="0" t="0" r="6985" b="0"/>
            <wp:docPr id="227148292" name="Picture 23" descr="This shows projected growth in industry employment for each State and Territory over the next decade.&#10;&#10;Healthcare and Social Assistance is projected to be the highest contributing industry to employment growth across all states and territories over the next decade, except for the 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148292" name="Picture 23" descr="This shows projected growth in industry employment for each State and Territory over the next decade.&#10;&#10;Healthcare and Social Assistance is projected to be the highest contributing industry to employment growth across all states and territories over the next decade, except for the ACT."/>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27600" cy="7646400"/>
                    </a:xfrm>
                    <a:prstGeom prst="rect">
                      <a:avLst/>
                    </a:prstGeom>
                    <a:noFill/>
                  </pic:spPr>
                </pic:pic>
              </a:graphicData>
            </a:graphic>
          </wp:inline>
        </w:drawing>
      </w:r>
    </w:p>
    <w:p w14:paraId="3CDEA484" w14:textId="127516E6" w:rsidR="00AC2606" w:rsidRPr="00A17C4D" w:rsidRDefault="001D0DC3" w:rsidP="00A17C4D">
      <w:pPr>
        <w:pStyle w:val="Source"/>
      </w:pPr>
      <w:r w:rsidRPr="001D0DC3">
        <w:t>Source: 2024-2034 Employment Projections, produced by Victoria University for Jobs and Skills Australia</w:t>
      </w:r>
      <w:r w:rsidR="00AB782F">
        <w:t>.</w:t>
      </w:r>
    </w:p>
    <w:p w14:paraId="2BFA45BB" w14:textId="77777777" w:rsidR="00E307AB" w:rsidRDefault="00E307AB">
      <w:pPr>
        <w:spacing w:after="160" w:line="259" w:lineRule="auto"/>
        <w:rPr>
          <w:rFonts w:eastAsia="SimSun" w:cs="Arial"/>
          <w:spacing w:val="-1"/>
          <w:szCs w:val="20"/>
          <w:lang w:val="en-GB" w:eastAsia="en-GB"/>
        </w:rPr>
      </w:pPr>
      <w:r>
        <w:rPr>
          <w:rFonts w:cs="Arial"/>
        </w:rPr>
        <w:br w:type="page"/>
      </w:r>
    </w:p>
    <w:p w14:paraId="445A2A8E" w14:textId="64E9EC12" w:rsidR="00AC2606" w:rsidRPr="00AC0957" w:rsidRDefault="00AC2606" w:rsidP="0075309E">
      <w:pPr>
        <w:pStyle w:val="ListBullet"/>
        <w:numPr>
          <w:ilvl w:val="0"/>
          <w:numId w:val="0"/>
        </w:numPr>
        <w:rPr>
          <w:rFonts w:cs="Arial"/>
        </w:rPr>
      </w:pPr>
      <w:r w:rsidRPr="00AC0957">
        <w:rPr>
          <w:rFonts w:cs="Arial"/>
        </w:rPr>
        <w:t>Overall, the industry structure of the workforces across all jurisdictions remains largely unchanged over the 10 years to May 2034 (</w:t>
      </w:r>
      <w:r w:rsidR="00781E97">
        <w:fldChar w:fldCharType="begin"/>
      </w:r>
      <w:r w:rsidR="00781E97">
        <w:rPr>
          <w:rFonts w:cs="Arial"/>
        </w:rPr>
        <w:instrText xml:space="preserve"> REF _Ref180082220 \h </w:instrText>
      </w:r>
      <w:r w:rsidR="00781E97">
        <w:fldChar w:fldCharType="separate"/>
      </w:r>
      <w:r w:rsidR="00C47A81">
        <w:t xml:space="preserve">Table </w:t>
      </w:r>
      <w:r w:rsidR="00C47A81">
        <w:rPr>
          <w:noProof/>
        </w:rPr>
        <w:t>12</w:t>
      </w:r>
      <w:r w:rsidR="00781E97">
        <w:fldChar w:fldCharType="end"/>
      </w:r>
      <w:r w:rsidRPr="00CE6A27">
        <w:rPr>
          <w:rFonts w:cs="Arial"/>
        </w:rPr>
        <w:t>).</w:t>
      </w:r>
    </w:p>
    <w:p w14:paraId="0DC98B72" w14:textId="24444360" w:rsidR="001D0DC3" w:rsidRDefault="001D0DC3" w:rsidP="001D0DC3">
      <w:pPr>
        <w:pStyle w:val="Caption"/>
      </w:pPr>
      <w:bookmarkStart w:id="212" w:name="_Ref180082220"/>
      <w:bookmarkStart w:id="213" w:name="_Ref179898101"/>
      <w:r>
        <w:t xml:space="preserve">Table </w:t>
      </w:r>
      <w:r>
        <w:fldChar w:fldCharType="begin"/>
      </w:r>
      <w:r>
        <w:instrText xml:space="preserve"> SEQ Table \* ARABIC </w:instrText>
      </w:r>
      <w:r>
        <w:fldChar w:fldCharType="separate"/>
      </w:r>
      <w:r w:rsidR="00C47A81">
        <w:rPr>
          <w:noProof/>
        </w:rPr>
        <w:t>12</w:t>
      </w:r>
      <w:r>
        <w:fldChar w:fldCharType="end"/>
      </w:r>
      <w:bookmarkEnd w:id="212"/>
      <w:r>
        <w:t xml:space="preserve">: </w:t>
      </w:r>
      <w:r w:rsidRPr="00D01D32">
        <w:t xml:space="preserve">Projected industry shares of total employment, </w:t>
      </w:r>
      <w:r w:rsidR="00E02A65">
        <w:t>by state and territory</w:t>
      </w:r>
      <w:r w:rsidRPr="00D01D32">
        <w:t>, May 2034</w:t>
      </w:r>
      <w:bookmarkEnd w:id="213"/>
    </w:p>
    <w:tbl>
      <w:tblPr>
        <w:tblStyle w:val="JSATable1"/>
        <w:tblW w:w="9026" w:type="dxa"/>
        <w:tblLayout w:type="fixed"/>
        <w:tblLook w:val="0020" w:firstRow="1" w:lastRow="0" w:firstColumn="0" w:lastColumn="0" w:noHBand="0" w:noVBand="0"/>
        <w:tblCaption w:val="Projected industry shares of total employment, by state and territory, May 2034"/>
        <w:tblDescription w:val="This shows the projected industry shares of total employment in each State and Territory, in May 2034.&#10;Overall, the industry structure of the workforces across all jurisdictions remains largely unchanged over the 10 years to May 2034. Healthcare and Social Assistance is projected to be the largest employing industry in all jurisdictions except for the ACT."/>
      </w:tblPr>
      <w:tblGrid>
        <w:gridCol w:w="1985"/>
        <w:gridCol w:w="685"/>
        <w:gridCol w:w="908"/>
        <w:gridCol w:w="908"/>
        <w:gridCol w:w="908"/>
        <w:gridCol w:w="908"/>
        <w:gridCol w:w="908"/>
        <w:gridCol w:w="908"/>
        <w:gridCol w:w="908"/>
      </w:tblGrid>
      <w:tr w:rsidR="006F1FD4" w:rsidRPr="0072174E" w14:paraId="079968B0" w14:textId="233D9CE0" w:rsidTr="002133AF">
        <w:trPr>
          <w:cnfStyle w:val="100000000000" w:firstRow="1" w:lastRow="0" w:firstColumn="0" w:lastColumn="0" w:oddVBand="0" w:evenVBand="0" w:oddHBand="0" w:evenHBand="0" w:firstRowFirstColumn="0" w:firstRowLastColumn="0" w:lastRowFirstColumn="0" w:lastRowLastColumn="0"/>
          <w:trHeight w:val="381"/>
        </w:trPr>
        <w:tc>
          <w:tcPr>
            <w:tcW w:w="1985" w:type="dxa"/>
          </w:tcPr>
          <w:p w14:paraId="78C9394C" w14:textId="3E6E9B5F" w:rsidR="006F1FD4" w:rsidRPr="0068274C" w:rsidRDefault="006F1FD4" w:rsidP="006F1FD4">
            <w:pPr>
              <w:rPr>
                <w:sz w:val="20"/>
                <w:szCs w:val="20"/>
              </w:rPr>
            </w:pPr>
            <w:r w:rsidRPr="0068274C">
              <w:rPr>
                <w:sz w:val="20"/>
                <w:szCs w:val="20"/>
              </w:rPr>
              <w:t>Industry</w:t>
            </w:r>
          </w:p>
        </w:tc>
        <w:tc>
          <w:tcPr>
            <w:tcW w:w="685" w:type="dxa"/>
            <w:vAlign w:val="center"/>
          </w:tcPr>
          <w:p w14:paraId="5AA82420" w14:textId="2A236B6C" w:rsidR="006F1FD4" w:rsidRPr="0068274C" w:rsidRDefault="006F1FD4" w:rsidP="006F1FD4">
            <w:pPr>
              <w:jc w:val="center"/>
              <w:rPr>
                <w:rFonts w:asciiTheme="minorHAnsi" w:hAnsiTheme="minorHAnsi" w:cstheme="minorHAnsi"/>
                <w:sz w:val="20"/>
                <w:szCs w:val="20"/>
              </w:rPr>
            </w:pPr>
            <w:r w:rsidRPr="0068274C">
              <w:rPr>
                <w:rFonts w:asciiTheme="minorHAnsi" w:hAnsiTheme="minorHAnsi" w:cstheme="minorHAnsi"/>
                <w:sz w:val="20"/>
                <w:szCs w:val="20"/>
              </w:rPr>
              <w:t>NSW</w:t>
            </w:r>
          </w:p>
        </w:tc>
        <w:tc>
          <w:tcPr>
            <w:tcW w:w="908" w:type="dxa"/>
            <w:vAlign w:val="center"/>
          </w:tcPr>
          <w:p w14:paraId="7F7EC1DA" w14:textId="2BDCD9EA" w:rsidR="006F1FD4" w:rsidRPr="0068274C" w:rsidRDefault="006F1FD4" w:rsidP="006F1FD4">
            <w:pPr>
              <w:jc w:val="center"/>
              <w:rPr>
                <w:rFonts w:asciiTheme="minorHAnsi" w:hAnsiTheme="minorHAnsi" w:cstheme="minorHAnsi"/>
                <w:sz w:val="20"/>
                <w:szCs w:val="20"/>
              </w:rPr>
            </w:pPr>
            <w:r w:rsidRPr="0068274C">
              <w:rPr>
                <w:rFonts w:asciiTheme="minorHAnsi" w:hAnsiTheme="minorHAnsi" w:cstheme="minorHAnsi"/>
                <w:sz w:val="20"/>
                <w:szCs w:val="20"/>
              </w:rPr>
              <w:t>VIC</w:t>
            </w:r>
          </w:p>
        </w:tc>
        <w:tc>
          <w:tcPr>
            <w:tcW w:w="908" w:type="dxa"/>
            <w:vAlign w:val="center"/>
          </w:tcPr>
          <w:p w14:paraId="3CDFCD6B" w14:textId="52A0AB04" w:rsidR="006F1FD4" w:rsidRPr="0068274C" w:rsidRDefault="006F1FD4" w:rsidP="006F1FD4">
            <w:pPr>
              <w:jc w:val="center"/>
              <w:rPr>
                <w:rFonts w:asciiTheme="minorHAnsi" w:hAnsiTheme="minorHAnsi" w:cstheme="minorHAnsi"/>
                <w:sz w:val="20"/>
                <w:szCs w:val="20"/>
              </w:rPr>
            </w:pPr>
            <w:r w:rsidRPr="0068274C">
              <w:rPr>
                <w:rFonts w:asciiTheme="minorHAnsi" w:hAnsiTheme="minorHAnsi" w:cstheme="minorHAnsi"/>
                <w:sz w:val="20"/>
                <w:szCs w:val="20"/>
              </w:rPr>
              <w:t>QLD</w:t>
            </w:r>
          </w:p>
        </w:tc>
        <w:tc>
          <w:tcPr>
            <w:tcW w:w="908" w:type="dxa"/>
            <w:vAlign w:val="center"/>
          </w:tcPr>
          <w:p w14:paraId="70D85A35" w14:textId="78CD9D74" w:rsidR="006F1FD4" w:rsidRPr="0068274C" w:rsidRDefault="006F1FD4" w:rsidP="006F1FD4">
            <w:pPr>
              <w:jc w:val="center"/>
              <w:rPr>
                <w:rFonts w:asciiTheme="minorHAnsi" w:hAnsiTheme="minorHAnsi" w:cstheme="minorHAnsi"/>
                <w:sz w:val="20"/>
                <w:szCs w:val="20"/>
              </w:rPr>
            </w:pPr>
            <w:r w:rsidRPr="0068274C">
              <w:rPr>
                <w:rFonts w:asciiTheme="minorHAnsi" w:hAnsiTheme="minorHAnsi" w:cstheme="minorHAnsi"/>
                <w:sz w:val="20"/>
                <w:szCs w:val="20"/>
              </w:rPr>
              <w:t>SA</w:t>
            </w:r>
          </w:p>
        </w:tc>
        <w:tc>
          <w:tcPr>
            <w:tcW w:w="908" w:type="dxa"/>
            <w:vAlign w:val="center"/>
          </w:tcPr>
          <w:p w14:paraId="3709A960" w14:textId="031E65A7" w:rsidR="006F1FD4" w:rsidRPr="0068274C" w:rsidRDefault="006F1FD4" w:rsidP="006F1FD4">
            <w:pPr>
              <w:jc w:val="center"/>
              <w:rPr>
                <w:rFonts w:asciiTheme="minorHAnsi" w:hAnsiTheme="minorHAnsi" w:cstheme="minorHAnsi"/>
                <w:sz w:val="20"/>
                <w:szCs w:val="20"/>
              </w:rPr>
            </w:pPr>
            <w:r w:rsidRPr="0068274C">
              <w:rPr>
                <w:rFonts w:asciiTheme="minorHAnsi" w:hAnsiTheme="minorHAnsi" w:cstheme="minorHAnsi"/>
                <w:sz w:val="20"/>
                <w:szCs w:val="20"/>
              </w:rPr>
              <w:t>WA</w:t>
            </w:r>
          </w:p>
        </w:tc>
        <w:tc>
          <w:tcPr>
            <w:tcW w:w="908" w:type="dxa"/>
            <w:vAlign w:val="center"/>
          </w:tcPr>
          <w:p w14:paraId="08B3A71D" w14:textId="402E6A8B" w:rsidR="006F1FD4" w:rsidRPr="0068274C" w:rsidRDefault="006F1FD4" w:rsidP="006F1FD4">
            <w:pPr>
              <w:jc w:val="center"/>
              <w:rPr>
                <w:rFonts w:asciiTheme="minorHAnsi" w:hAnsiTheme="minorHAnsi" w:cstheme="minorHAnsi"/>
                <w:sz w:val="20"/>
                <w:szCs w:val="20"/>
              </w:rPr>
            </w:pPr>
            <w:r w:rsidRPr="0068274C">
              <w:rPr>
                <w:rFonts w:asciiTheme="minorHAnsi" w:hAnsiTheme="minorHAnsi" w:cstheme="minorHAnsi"/>
                <w:sz w:val="20"/>
                <w:szCs w:val="20"/>
              </w:rPr>
              <w:t>TAS</w:t>
            </w:r>
          </w:p>
        </w:tc>
        <w:tc>
          <w:tcPr>
            <w:tcW w:w="908" w:type="dxa"/>
            <w:vAlign w:val="center"/>
          </w:tcPr>
          <w:p w14:paraId="6F1EB1D7" w14:textId="4FBA3D26" w:rsidR="006F1FD4" w:rsidRPr="0068274C" w:rsidRDefault="006F1FD4" w:rsidP="006F1FD4">
            <w:pPr>
              <w:jc w:val="center"/>
              <w:rPr>
                <w:rFonts w:asciiTheme="minorHAnsi" w:hAnsiTheme="minorHAnsi" w:cstheme="minorHAnsi"/>
                <w:sz w:val="20"/>
                <w:szCs w:val="20"/>
              </w:rPr>
            </w:pPr>
            <w:r w:rsidRPr="0068274C">
              <w:rPr>
                <w:rFonts w:asciiTheme="minorHAnsi" w:hAnsiTheme="minorHAnsi" w:cstheme="minorHAnsi"/>
                <w:sz w:val="20"/>
                <w:szCs w:val="20"/>
              </w:rPr>
              <w:t>NT</w:t>
            </w:r>
          </w:p>
        </w:tc>
        <w:tc>
          <w:tcPr>
            <w:tcW w:w="908" w:type="dxa"/>
            <w:vAlign w:val="center"/>
          </w:tcPr>
          <w:p w14:paraId="0DB7F5F3" w14:textId="36C8C5CE" w:rsidR="006F1FD4" w:rsidRPr="0068274C" w:rsidRDefault="006F1FD4" w:rsidP="006F1FD4">
            <w:pPr>
              <w:jc w:val="center"/>
              <w:rPr>
                <w:rFonts w:asciiTheme="minorHAnsi" w:hAnsiTheme="minorHAnsi" w:cstheme="minorHAnsi"/>
                <w:sz w:val="20"/>
                <w:szCs w:val="20"/>
              </w:rPr>
            </w:pPr>
            <w:r w:rsidRPr="0068274C">
              <w:rPr>
                <w:rFonts w:asciiTheme="minorHAnsi" w:hAnsiTheme="minorHAnsi" w:cstheme="minorHAnsi"/>
                <w:sz w:val="20"/>
                <w:szCs w:val="20"/>
              </w:rPr>
              <w:t>ACT</w:t>
            </w:r>
          </w:p>
        </w:tc>
      </w:tr>
      <w:tr w:rsidR="006F1FD4" w:rsidRPr="0072174E" w14:paraId="68B4B4DD" w14:textId="6AE28DA5" w:rsidTr="002133AF">
        <w:trPr>
          <w:trHeight w:val="381"/>
        </w:trPr>
        <w:tc>
          <w:tcPr>
            <w:tcW w:w="1985" w:type="dxa"/>
          </w:tcPr>
          <w:p w14:paraId="76564980" w14:textId="344B52C5" w:rsidR="006F1FD4" w:rsidRPr="00F4395D" w:rsidRDefault="006F1FD4" w:rsidP="006F1FD4">
            <w:pPr>
              <w:rPr>
                <w:sz w:val="18"/>
                <w:szCs w:val="18"/>
              </w:rPr>
            </w:pPr>
            <w:r w:rsidRPr="00F4395D">
              <w:rPr>
                <w:sz w:val="18"/>
                <w:szCs w:val="18"/>
              </w:rPr>
              <w:t>Agriculture, Forestry and Fishing</w:t>
            </w:r>
          </w:p>
        </w:tc>
        <w:tc>
          <w:tcPr>
            <w:tcW w:w="685" w:type="dxa"/>
            <w:vAlign w:val="center"/>
          </w:tcPr>
          <w:p w14:paraId="674EB234" w14:textId="4F5931FF"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1.7%</w:t>
            </w:r>
          </w:p>
        </w:tc>
        <w:tc>
          <w:tcPr>
            <w:tcW w:w="908" w:type="dxa"/>
            <w:vAlign w:val="center"/>
          </w:tcPr>
          <w:p w14:paraId="511754B9" w14:textId="2BDFEC63"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2.1%</w:t>
            </w:r>
          </w:p>
        </w:tc>
        <w:tc>
          <w:tcPr>
            <w:tcW w:w="908" w:type="dxa"/>
            <w:vAlign w:val="center"/>
          </w:tcPr>
          <w:p w14:paraId="071A2343" w14:textId="487C6942"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2.3%</w:t>
            </w:r>
          </w:p>
        </w:tc>
        <w:tc>
          <w:tcPr>
            <w:tcW w:w="908" w:type="dxa"/>
            <w:vAlign w:val="center"/>
          </w:tcPr>
          <w:p w14:paraId="10C783F4" w14:textId="67DED3E7"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4.0%</w:t>
            </w:r>
          </w:p>
        </w:tc>
        <w:tc>
          <w:tcPr>
            <w:tcW w:w="908" w:type="dxa"/>
            <w:vAlign w:val="center"/>
          </w:tcPr>
          <w:p w14:paraId="511DED79" w14:textId="6A743755"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1.8%</w:t>
            </w:r>
          </w:p>
        </w:tc>
        <w:tc>
          <w:tcPr>
            <w:tcW w:w="908" w:type="dxa"/>
            <w:vAlign w:val="center"/>
          </w:tcPr>
          <w:p w14:paraId="042C1FE4" w14:textId="077B9FBC"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5.4%</w:t>
            </w:r>
          </w:p>
        </w:tc>
        <w:tc>
          <w:tcPr>
            <w:tcW w:w="908" w:type="dxa"/>
            <w:vAlign w:val="center"/>
          </w:tcPr>
          <w:p w14:paraId="2BD014A4" w14:textId="2CAB9955"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2.3%</w:t>
            </w:r>
          </w:p>
        </w:tc>
        <w:tc>
          <w:tcPr>
            <w:tcW w:w="908" w:type="dxa"/>
            <w:vAlign w:val="center"/>
          </w:tcPr>
          <w:p w14:paraId="1060DBC5" w14:textId="4E2627E5"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0.3%</w:t>
            </w:r>
          </w:p>
        </w:tc>
      </w:tr>
      <w:tr w:rsidR="006F1FD4" w:rsidRPr="0072174E" w14:paraId="0A694C27" w14:textId="72CA8E19" w:rsidTr="002133AF">
        <w:trPr>
          <w:cnfStyle w:val="000000010000" w:firstRow="0" w:lastRow="0" w:firstColumn="0" w:lastColumn="0" w:oddVBand="0" w:evenVBand="0" w:oddHBand="0" w:evenHBand="1" w:firstRowFirstColumn="0" w:firstRowLastColumn="0" w:lastRowFirstColumn="0" w:lastRowLastColumn="0"/>
          <w:trHeight w:val="366"/>
        </w:trPr>
        <w:tc>
          <w:tcPr>
            <w:tcW w:w="1985" w:type="dxa"/>
          </w:tcPr>
          <w:p w14:paraId="778B6197" w14:textId="48B31F71" w:rsidR="006F1FD4" w:rsidRPr="00F4395D" w:rsidRDefault="006F1FD4" w:rsidP="006F1FD4">
            <w:pPr>
              <w:rPr>
                <w:sz w:val="18"/>
                <w:szCs w:val="18"/>
              </w:rPr>
            </w:pPr>
            <w:r w:rsidRPr="00F4395D">
              <w:rPr>
                <w:sz w:val="18"/>
                <w:szCs w:val="18"/>
              </w:rPr>
              <w:t>Mining</w:t>
            </w:r>
          </w:p>
        </w:tc>
        <w:tc>
          <w:tcPr>
            <w:tcW w:w="685" w:type="dxa"/>
            <w:vAlign w:val="center"/>
          </w:tcPr>
          <w:p w14:paraId="392BDFDB" w14:textId="28D56A1D"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0.7%</w:t>
            </w:r>
          </w:p>
        </w:tc>
        <w:tc>
          <w:tcPr>
            <w:tcW w:w="908" w:type="dxa"/>
            <w:vAlign w:val="center"/>
          </w:tcPr>
          <w:p w14:paraId="6337B417" w14:textId="1E549FEC"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0.3%</w:t>
            </w:r>
          </w:p>
        </w:tc>
        <w:tc>
          <w:tcPr>
            <w:tcW w:w="908" w:type="dxa"/>
            <w:vAlign w:val="center"/>
          </w:tcPr>
          <w:p w14:paraId="6B04C6E5" w14:textId="2F87DBDB"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2.5%</w:t>
            </w:r>
          </w:p>
        </w:tc>
        <w:tc>
          <w:tcPr>
            <w:tcW w:w="908" w:type="dxa"/>
            <w:vAlign w:val="center"/>
          </w:tcPr>
          <w:p w14:paraId="314F38A7" w14:textId="0A0A201A"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1.6%</w:t>
            </w:r>
          </w:p>
        </w:tc>
        <w:tc>
          <w:tcPr>
            <w:tcW w:w="908" w:type="dxa"/>
            <w:vAlign w:val="center"/>
          </w:tcPr>
          <w:p w14:paraId="473D2314" w14:textId="417E3A1F"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9.3%</w:t>
            </w:r>
          </w:p>
        </w:tc>
        <w:tc>
          <w:tcPr>
            <w:tcW w:w="908" w:type="dxa"/>
            <w:vAlign w:val="center"/>
          </w:tcPr>
          <w:p w14:paraId="0F7789E4" w14:textId="22888557"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1.2%</w:t>
            </w:r>
          </w:p>
        </w:tc>
        <w:tc>
          <w:tcPr>
            <w:tcW w:w="908" w:type="dxa"/>
            <w:vAlign w:val="center"/>
          </w:tcPr>
          <w:p w14:paraId="77F19836" w14:textId="6A70186B"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2.7%</w:t>
            </w:r>
          </w:p>
        </w:tc>
        <w:tc>
          <w:tcPr>
            <w:tcW w:w="908" w:type="dxa"/>
            <w:vAlign w:val="center"/>
          </w:tcPr>
          <w:p w14:paraId="5FBA47B9" w14:textId="6965BB74"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0.0%</w:t>
            </w:r>
          </w:p>
        </w:tc>
      </w:tr>
      <w:tr w:rsidR="006F1FD4" w:rsidRPr="0072174E" w14:paraId="2C1CA684" w14:textId="0003EC7E" w:rsidTr="002133AF">
        <w:trPr>
          <w:trHeight w:val="366"/>
        </w:trPr>
        <w:tc>
          <w:tcPr>
            <w:tcW w:w="1985" w:type="dxa"/>
          </w:tcPr>
          <w:p w14:paraId="049B2374" w14:textId="1AC9FDA8" w:rsidR="006F1FD4" w:rsidRPr="00F4395D" w:rsidRDefault="006F1FD4" w:rsidP="006F1FD4">
            <w:pPr>
              <w:rPr>
                <w:sz w:val="18"/>
                <w:szCs w:val="18"/>
              </w:rPr>
            </w:pPr>
            <w:r w:rsidRPr="00F4395D">
              <w:rPr>
                <w:sz w:val="18"/>
                <w:szCs w:val="18"/>
              </w:rPr>
              <w:t>Manufacturing</w:t>
            </w:r>
          </w:p>
        </w:tc>
        <w:tc>
          <w:tcPr>
            <w:tcW w:w="685" w:type="dxa"/>
            <w:vAlign w:val="center"/>
          </w:tcPr>
          <w:p w14:paraId="4EABBDDB" w14:textId="7ED53145"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5.6%</w:t>
            </w:r>
          </w:p>
        </w:tc>
        <w:tc>
          <w:tcPr>
            <w:tcW w:w="908" w:type="dxa"/>
            <w:vAlign w:val="center"/>
          </w:tcPr>
          <w:p w14:paraId="2D9F548D" w14:textId="53D025FE"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6.7%</w:t>
            </w:r>
          </w:p>
        </w:tc>
        <w:tc>
          <w:tcPr>
            <w:tcW w:w="908" w:type="dxa"/>
            <w:vAlign w:val="center"/>
          </w:tcPr>
          <w:p w14:paraId="547B5E78" w14:textId="734E59E9"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6.0%</w:t>
            </w:r>
          </w:p>
        </w:tc>
        <w:tc>
          <w:tcPr>
            <w:tcW w:w="908" w:type="dxa"/>
            <w:vAlign w:val="center"/>
          </w:tcPr>
          <w:p w14:paraId="1BE3F2BE" w14:textId="1FDC3B47"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6.8%</w:t>
            </w:r>
          </w:p>
        </w:tc>
        <w:tc>
          <w:tcPr>
            <w:tcW w:w="908" w:type="dxa"/>
            <w:vAlign w:val="center"/>
          </w:tcPr>
          <w:p w14:paraId="12E43200" w14:textId="5EDAE18B"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4.9%</w:t>
            </w:r>
          </w:p>
        </w:tc>
        <w:tc>
          <w:tcPr>
            <w:tcW w:w="908" w:type="dxa"/>
            <w:vAlign w:val="center"/>
          </w:tcPr>
          <w:p w14:paraId="575EEEB5" w14:textId="0E0B67AB"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6.5%</w:t>
            </w:r>
          </w:p>
        </w:tc>
        <w:tc>
          <w:tcPr>
            <w:tcW w:w="908" w:type="dxa"/>
            <w:vAlign w:val="center"/>
          </w:tcPr>
          <w:p w14:paraId="6FF8853F" w14:textId="6694BA40"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2.1%</w:t>
            </w:r>
          </w:p>
        </w:tc>
        <w:tc>
          <w:tcPr>
            <w:tcW w:w="908" w:type="dxa"/>
            <w:vAlign w:val="center"/>
          </w:tcPr>
          <w:p w14:paraId="319447BC" w14:textId="72BA0CC1"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1.7%</w:t>
            </w:r>
          </w:p>
        </w:tc>
      </w:tr>
      <w:tr w:rsidR="006F1FD4" w:rsidRPr="0072174E" w14:paraId="2770FBA9" w14:textId="0483603E" w:rsidTr="002133AF">
        <w:trPr>
          <w:cnfStyle w:val="000000010000" w:firstRow="0" w:lastRow="0" w:firstColumn="0" w:lastColumn="0" w:oddVBand="0" w:evenVBand="0" w:oddHBand="0" w:evenHBand="1" w:firstRowFirstColumn="0" w:firstRowLastColumn="0" w:lastRowFirstColumn="0" w:lastRowLastColumn="0"/>
          <w:trHeight w:val="366"/>
        </w:trPr>
        <w:tc>
          <w:tcPr>
            <w:tcW w:w="1985" w:type="dxa"/>
          </w:tcPr>
          <w:p w14:paraId="622CEDB1" w14:textId="5214D412" w:rsidR="006F1FD4" w:rsidRPr="00F4395D" w:rsidRDefault="006F1FD4" w:rsidP="006F1FD4">
            <w:pPr>
              <w:rPr>
                <w:sz w:val="18"/>
                <w:szCs w:val="18"/>
              </w:rPr>
            </w:pPr>
            <w:r w:rsidRPr="00F4395D">
              <w:rPr>
                <w:sz w:val="18"/>
                <w:szCs w:val="18"/>
              </w:rPr>
              <w:t>Electricity, Gas, Water and Waste Services</w:t>
            </w:r>
          </w:p>
        </w:tc>
        <w:tc>
          <w:tcPr>
            <w:tcW w:w="685" w:type="dxa"/>
            <w:vAlign w:val="center"/>
          </w:tcPr>
          <w:p w14:paraId="70A79409" w14:textId="66882A58"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1.1%</w:t>
            </w:r>
          </w:p>
        </w:tc>
        <w:tc>
          <w:tcPr>
            <w:tcW w:w="908" w:type="dxa"/>
            <w:vAlign w:val="center"/>
          </w:tcPr>
          <w:p w14:paraId="67E71D52" w14:textId="10CD50E8"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1.3%</w:t>
            </w:r>
          </w:p>
        </w:tc>
        <w:tc>
          <w:tcPr>
            <w:tcW w:w="908" w:type="dxa"/>
            <w:vAlign w:val="center"/>
          </w:tcPr>
          <w:p w14:paraId="285CBCF7" w14:textId="2FA58D14"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1.4%</w:t>
            </w:r>
          </w:p>
        </w:tc>
        <w:tc>
          <w:tcPr>
            <w:tcW w:w="908" w:type="dxa"/>
            <w:vAlign w:val="center"/>
          </w:tcPr>
          <w:p w14:paraId="08CA11F9" w14:textId="7D2205F6"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1.5%</w:t>
            </w:r>
          </w:p>
        </w:tc>
        <w:tc>
          <w:tcPr>
            <w:tcW w:w="908" w:type="dxa"/>
            <w:vAlign w:val="center"/>
          </w:tcPr>
          <w:p w14:paraId="4B202073" w14:textId="1D4BBC6F"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1.3%</w:t>
            </w:r>
          </w:p>
        </w:tc>
        <w:tc>
          <w:tcPr>
            <w:tcW w:w="908" w:type="dxa"/>
            <w:vAlign w:val="center"/>
          </w:tcPr>
          <w:p w14:paraId="2A89AEF3" w14:textId="7D88B0C8"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2.1%</w:t>
            </w:r>
          </w:p>
        </w:tc>
        <w:tc>
          <w:tcPr>
            <w:tcW w:w="908" w:type="dxa"/>
            <w:vAlign w:val="center"/>
          </w:tcPr>
          <w:p w14:paraId="7F096B94" w14:textId="7FF2ED47"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1.8%</w:t>
            </w:r>
          </w:p>
        </w:tc>
        <w:tc>
          <w:tcPr>
            <w:tcW w:w="908" w:type="dxa"/>
            <w:vAlign w:val="center"/>
          </w:tcPr>
          <w:p w14:paraId="3F0FDCF3" w14:textId="2585AA1E"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0.9%</w:t>
            </w:r>
          </w:p>
        </w:tc>
      </w:tr>
      <w:tr w:rsidR="006F1FD4" w:rsidRPr="0072174E" w14:paraId="355767F3" w14:textId="42C02EC3" w:rsidTr="002133AF">
        <w:trPr>
          <w:trHeight w:val="366"/>
        </w:trPr>
        <w:tc>
          <w:tcPr>
            <w:tcW w:w="1985" w:type="dxa"/>
          </w:tcPr>
          <w:p w14:paraId="347355A4" w14:textId="04189FAB" w:rsidR="006F1FD4" w:rsidRPr="00F4395D" w:rsidRDefault="006F1FD4" w:rsidP="006F1FD4">
            <w:pPr>
              <w:rPr>
                <w:sz w:val="18"/>
                <w:szCs w:val="18"/>
              </w:rPr>
            </w:pPr>
            <w:r w:rsidRPr="00F4395D">
              <w:rPr>
                <w:sz w:val="18"/>
                <w:szCs w:val="18"/>
              </w:rPr>
              <w:t>Construction</w:t>
            </w:r>
          </w:p>
        </w:tc>
        <w:tc>
          <w:tcPr>
            <w:tcW w:w="685" w:type="dxa"/>
            <w:vAlign w:val="center"/>
          </w:tcPr>
          <w:p w14:paraId="47A946D9" w14:textId="13DBF4FA"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9.3%</w:t>
            </w:r>
          </w:p>
        </w:tc>
        <w:tc>
          <w:tcPr>
            <w:tcW w:w="908" w:type="dxa"/>
            <w:vAlign w:val="center"/>
          </w:tcPr>
          <w:p w14:paraId="440FDD9B" w14:textId="7851D782"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9.7%</w:t>
            </w:r>
          </w:p>
        </w:tc>
        <w:tc>
          <w:tcPr>
            <w:tcW w:w="908" w:type="dxa"/>
            <w:vAlign w:val="center"/>
          </w:tcPr>
          <w:p w14:paraId="2FB556EE" w14:textId="76C59B5F"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9.5%</w:t>
            </w:r>
          </w:p>
        </w:tc>
        <w:tc>
          <w:tcPr>
            <w:tcW w:w="908" w:type="dxa"/>
            <w:vAlign w:val="center"/>
          </w:tcPr>
          <w:p w14:paraId="5AD4B736" w14:textId="15E6832D"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8.7%</w:t>
            </w:r>
          </w:p>
        </w:tc>
        <w:tc>
          <w:tcPr>
            <w:tcW w:w="908" w:type="dxa"/>
            <w:vAlign w:val="center"/>
          </w:tcPr>
          <w:p w14:paraId="2D8568C9" w14:textId="47430BF8"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9.3%</w:t>
            </w:r>
          </w:p>
        </w:tc>
        <w:tc>
          <w:tcPr>
            <w:tcW w:w="908" w:type="dxa"/>
            <w:vAlign w:val="center"/>
          </w:tcPr>
          <w:p w14:paraId="7211BC83" w14:textId="722F12E4"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9.3%</w:t>
            </w:r>
          </w:p>
        </w:tc>
        <w:tc>
          <w:tcPr>
            <w:tcW w:w="908" w:type="dxa"/>
            <w:vAlign w:val="center"/>
          </w:tcPr>
          <w:p w14:paraId="2D79D119" w14:textId="12F4A0F4"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7.3%</w:t>
            </w:r>
          </w:p>
        </w:tc>
        <w:tc>
          <w:tcPr>
            <w:tcW w:w="908" w:type="dxa"/>
            <w:vAlign w:val="center"/>
          </w:tcPr>
          <w:p w14:paraId="61CEC588" w14:textId="4DCF6850"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5.7%</w:t>
            </w:r>
          </w:p>
        </w:tc>
      </w:tr>
      <w:tr w:rsidR="006F1FD4" w:rsidRPr="0072174E" w14:paraId="63281AE6" w14:textId="50E3EE7B" w:rsidTr="002133AF">
        <w:trPr>
          <w:cnfStyle w:val="000000010000" w:firstRow="0" w:lastRow="0" w:firstColumn="0" w:lastColumn="0" w:oddVBand="0" w:evenVBand="0" w:oddHBand="0" w:evenHBand="1" w:firstRowFirstColumn="0" w:firstRowLastColumn="0" w:lastRowFirstColumn="0" w:lastRowLastColumn="0"/>
          <w:trHeight w:val="366"/>
        </w:trPr>
        <w:tc>
          <w:tcPr>
            <w:tcW w:w="1985" w:type="dxa"/>
          </w:tcPr>
          <w:p w14:paraId="753BB422" w14:textId="3FB21087" w:rsidR="006F1FD4" w:rsidRPr="00F4395D" w:rsidRDefault="006F1FD4" w:rsidP="006F1FD4">
            <w:pPr>
              <w:rPr>
                <w:sz w:val="18"/>
                <w:szCs w:val="18"/>
              </w:rPr>
            </w:pPr>
            <w:r w:rsidRPr="00F4395D">
              <w:rPr>
                <w:sz w:val="18"/>
                <w:szCs w:val="18"/>
              </w:rPr>
              <w:t>Wholesale Trade</w:t>
            </w:r>
          </w:p>
        </w:tc>
        <w:tc>
          <w:tcPr>
            <w:tcW w:w="685" w:type="dxa"/>
            <w:vAlign w:val="center"/>
          </w:tcPr>
          <w:p w14:paraId="0E7A7AE9" w14:textId="28E19D54"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2.7%</w:t>
            </w:r>
          </w:p>
        </w:tc>
        <w:tc>
          <w:tcPr>
            <w:tcW w:w="908" w:type="dxa"/>
            <w:vAlign w:val="center"/>
          </w:tcPr>
          <w:p w14:paraId="0BC9E82E" w14:textId="725D784E"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2.9%</w:t>
            </w:r>
          </w:p>
        </w:tc>
        <w:tc>
          <w:tcPr>
            <w:tcW w:w="908" w:type="dxa"/>
            <w:vAlign w:val="center"/>
          </w:tcPr>
          <w:p w14:paraId="5BDCF4A4" w14:textId="06DD2B8B"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2.5%</w:t>
            </w:r>
          </w:p>
        </w:tc>
        <w:tc>
          <w:tcPr>
            <w:tcW w:w="908" w:type="dxa"/>
            <w:vAlign w:val="center"/>
          </w:tcPr>
          <w:p w14:paraId="46A21FCE" w14:textId="6DDC39DA"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2.9%</w:t>
            </w:r>
          </w:p>
        </w:tc>
        <w:tc>
          <w:tcPr>
            <w:tcW w:w="908" w:type="dxa"/>
            <w:vAlign w:val="center"/>
          </w:tcPr>
          <w:p w14:paraId="54AAEEB6" w14:textId="34A44F8A"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2.8%</w:t>
            </w:r>
          </w:p>
        </w:tc>
        <w:tc>
          <w:tcPr>
            <w:tcW w:w="908" w:type="dxa"/>
            <w:vAlign w:val="center"/>
          </w:tcPr>
          <w:p w14:paraId="3C94A3E5" w14:textId="1E8C37FA"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1.9%</w:t>
            </w:r>
          </w:p>
        </w:tc>
        <w:tc>
          <w:tcPr>
            <w:tcW w:w="908" w:type="dxa"/>
            <w:vAlign w:val="center"/>
          </w:tcPr>
          <w:p w14:paraId="2D60519F" w14:textId="044C394E"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1.5%</w:t>
            </w:r>
          </w:p>
        </w:tc>
        <w:tc>
          <w:tcPr>
            <w:tcW w:w="908" w:type="dxa"/>
            <w:vAlign w:val="center"/>
          </w:tcPr>
          <w:p w14:paraId="5340D141" w14:textId="7B3F23BF"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0.9%</w:t>
            </w:r>
          </w:p>
        </w:tc>
      </w:tr>
      <w:tr w:rsidR="006F1FD4" w:rsidRPr="0072174E" w14:paraId="48525DAA" w14:textId="1441F6FD" w:rsidTr="002133AF">
        <w:trPr>
          <w:trHeight w:val="366"/>
        </w:trPr>
        <w:tc>
          <w:tcPr>
            <w:tcW w:w="1985" w:type="dxa"/>
          </w:tcPr>
          <w:p w14:paraId="149CD71A" w14:textId="2D30E7BB" w:rsidR="006F1FD4" w:rsidRPr="00F4395D" w:rsidRDefault="006F1FD4" w:rsidP="006F1FD4">
            <w:pPr>
              <w:rPr>
                <w:sz w:val="18"/>
                <w:szCs w:val="18"/>
              </w:rPr>
            </w:pPr>
            <w:r w:rsidRPr="00F4395D">
              <w:rPr>
                <w:sz w:val="18"/>
                <w:szCs w:val="18"/>
              </w:rPr>
              <w:t>Retail trade</w:t>
            </w:r>
          </w:p>
        </w:tc>
        <w:tc>
          <w:tcPr>
            <w:tcW w:w="685" w:type="dxa"/>
            <w:vAlign w:val="center"/>
          </w:tcPr>
          <w:p w14:paraId="5FF4C959" w14:textId="404B625A"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8.8%</w:t>
            </w:r>
          </w:p>
        </w:tc>
        <w:tc>
          <w:tcPr>
            <w:tcW w:w="908" w:type="dxa"/>
            <w:vAlign w:val="center"/>
          </w:tcPr>
          <w:p w14:paraId="4CDD516B" w14:textId="2708FC3A"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8.8%</w:t>
            </w:r>
          </w:p>
        </w:tc>
        <w:tc>
          <w:tcPr>
            <w:tcW w:w="908" w:type="dxa"/>
            <w:vAlign w:val="center"/>
          </w:tcPr>
          <w:p w14:paraId="618959E6" w14:textId="1EC0F545"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9.0%</w:t>
            </w:r>
          </w:p>
        </w:tc>
        <w:tc>
          <w:tcPr>
            <w:tcW w:w="908" w:type="dxa"/>
            <w:vAlign w:val="center"/>
          </w:tcPr>
          <w:p w14:paraId="6D4AB933" w14:textId="6B8E1462"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8.9%</w:t>
            </w:r>
          </w:p>
        </w:tc>
        <w:tc>
          <w:tcPr>
            <w:tcW w:w="908" w:type="dxa"/>
            <w:vAlign w:val="center"/>
          </w:tcPr>
          <w:p w14:paraId="66AFC1E7" w14:textId="44B0D5E8"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8.0%</w:t>
            </w:r>
          </w:p>
        </w:tc>
        <w:tc>
          <w:tcPr>
            <w:tcW w:w="908" w:type="dxa"/>
            <w:vAlign w:val="center"/>
          </w:tcPr>
          <w:p w14:paraId="7FAE95CD" w14:textId="4F0B0B1C"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8.6%</w:t>
            </w:r>
          </w:p>
        </w:tc>
        <w:tc>
          <w:tcPr>
            <w:tcW w:w="908" w:type="dxa"/>
            <w:vAlign w:val="center"/>
          </w:tcPr>
          <w:p w14:paraId="67B5E656" w14:textId="75B6053D"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7.1%</w:t>
            </w:r>
          </w:p>
        </w:tc>
        <w:tc>
          <w:tcPr>
            <w:tcW w:w="908" w:type="dxa"/>
            <w:vAlign w:val="center"/>
          </w:tcPr>
          <w:p w14:paraId="41ACF64A" w14:textId="62F3EDB8"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5.9%</w:t>
            </w:r>
          </w:p>
        </w:tc>
      </w:tr>
      <w:tr w:rsidR="006F1FD4" w:rsidRPr="0072174E" w14:paraId="4E768BD5" w14:textId="39472EBF" w:rsidTr="002133AF">
        <w:trPr>
          <w:cnfStyle w:val="000000010000" w:firstRow="0" w:lastRow="0" w:firstColumn="0" w:lastColumn="0" w:oddVBand="0" w:evenVBand="0" w:oddHBand="0" w:evenHBand="1" w:firstRowFirstColumn="0" w:firstRowLastColumn="0" w:lastRowFirstColumn="0" w:lastRowLastColumn="0"/>
          <w:trHeight w:val="366"/>
        </w:trPr>
        <w:tc>
          <w:tcPr>
            <w:tcW w:w="1985" w:type="dxa"/>
          </w:tcPr>
          <w:p w14:paraId="1AE0163B" w14:textId="4836BEDC" w:rsidR="006F1FD4" w:rsidRPr="00F4395D" w:rsidRDefault="006F1FD4" w:rsidP="006F1FD4">
            <w:pPr>
              <w:rPr>
                <w:sz w:val="18"/>
                <w:szCs w:val="18"/>
              </w:rPr>
            </w:pPr>
            <w:r w:rsidRPr="00F4395D">
              <w:rPr>
                <w:sz w:val="18"/>
                <w:szCs w:val="18"/>
              </w:rPr>
              <w:t>Accommodation and Food Services</w:t>
            </w:r>
          </w:p>
        </w:tc>
        <w:tc>
          <w:tcPr>
            <w:tcW w:w="685" w:type="dxa"/>
            <w:vAlign w:val="center"/>
          </w:tcPr>
          <w:p w14:paraId="21C19640" w14:textId="42F38FB9"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6.5%</w:t>
            </w:r>
          </w:p>
        </w:tc>
        <w:tc>
          <w:tcPr>
            <w:tcW w:w="908" w:type="dxa"/>
            <w:vAlign w:val="center"/>
          </w:tcPr>
          <w:p w14:paraId="1AADCD4D" w14:textId="14DD8AEB"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5.9%</w:t>
            </w:r>
          </w:p>
        </w:tc>
        <w:tc>
          <w:tcPr>
            <w:tcW w:w="908" w:type="dxa"/>
            <w:vAlign w:val="center"/>
          </w:tcPr>
          <w:p w14:paraId="18A9B15B" w14:textId="122723A1"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6.9%</w:t>
            </w:r>
          </w:p>
        </w:tc>
        <w:tc>
          <w:tcPr>
            <w:tcW w:w="908" w:type="dxa"/>
            <w:vAlign w:val="center"/>
          </w:tcPr>
          <w:p w14:paraId="4105B43E" w14:textId="028E8B31"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5.8%</w:t>
            </w:r>
          </w:p>
        </w:tc>
        <w:tc>
          <w:tcPr>
            <w:tcW w:w="908" w:type="dxa"/>
            <w:vAlign w:val="center"/>
          </w:tcPr>
          <w:p w14:paraId="12E0939B" w14:textId="317E9704"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6.2%</w:t>
            </w:r>
          </w:p>
        </w:tc>
        <w:tc>
          <w:tcPr>
            <w:tcW w:w="908" w:type="dxa"/>
            <w:vAlign w:val="center"/>
          </w:tcPr>
          <w:p w14:paraId="4C8B560F" w14:textId="6074417B"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7.4%</w:t>
            </w:r>
          </w:p>
        </w:tc>
        <w:tc>
          <w:tcPr>
            <w:tcW w:w="908" w:type="dxa"/>
            <w:vAlign w:val="center"/>
          </w:tcPr>
          <w:p w14:paraId="1871527F" w14:textId="6700F209"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6.7%</w:t>
            </w:r>
          </w:p>
        </w:tc>
        <w:tc>
          <w:tcPr>
            <w:tcW w:w="908" w:type="dxa"/>
            <w:vAlign w:val="center"/>
          </w:tcPr>
          <w:p w14:paraId="7AD92A6D" w14:textId="2A5221C1"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5.7%</w:t>
            </w:r>
          </w:p>
        </w:tc>
      </w:tr>
      <w:tr w:rsidR="006F1FD4" w:rsidRPr="0072174E" w14:paraId="2E7B58B4" w14:textId="3B102A93" w:rsidTr="002133AF">
        <w:trPr>
          <w:trHeight w:val="366"/>
        </w:trPr>
        <w:tc>
          <w:tcPr>
            <w:tcW w:w="1985" w:type="dxa"/>
          </w:tcPr>
          <w:p w14:paraId="34DF3EF9" w14:textId="7744D429" w:rsidR="006F1FD4" w:rsidRPr="00F4395D" w:rsidRDefault="006F1FD4" w:rsidP="006F1FD4">
            <w:pPr>
              <w:rPr>
                <w:sz w:val="18"/>
                <w:szCs w:val="18"/>
              </w:rPr>
            </w:pPr>
            <w:r w:rsidRPr="00F4395D">
              <w:rPr>
                <w:sz w:val="18"/>
                <w:szCs w:val="18"/>
              </w:rPr>
              <w:t>Transport, Postal and Warehousing</w:t>
            </w:r>
          </w:p>
        </w:tc>
        <w:tc>
          <w:tcPr>
            <w:tcW w:w="685" w:type="dxa"/>
            <w:vAlign w:val="center"/>
          </w:tcPr>
          <w:p w14:paraId="737FB311" w14:textId="2BE5C4D4"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5.2%</w:t>
            </w:r>
          </w:p>
        </w:tc>
        <w:tc>
          <w:tcPr>
            <w:tcW w:w="908" w:type="dxa"/>
            <w:vAlign w:val="center"/>
          </w:tcPr>
          <w:p w14:paraId="05058080" w14:textId="28BCB915"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4.9%</w:t>
            </w:r>
          </w:p>
        </w:tc>
        <w:tc>
          <w:tcPr>
            <w:tcW w:w="908" w:type="dxa"/>
            <w:vAlign w:val="center"/>
          </w:tcPr>
          <w:p w14:paraId="3F1F6293" w14:textId="6B1519B7"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5.3%</w:t>
            </w:r>
          </w:p>
        </w:tc>
        <w:tc>
          <w:tcPr>
            <w:tcW w:w="908" w:type="dxa"/>
            <w:vAlign w:val="center"/>
          </w:tcPr>
          <w:p w14:paraId="32158475" w14:textId="23887F70"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4.3%</w:t>
            </w:r>
          </w:p>
        </w:tc>
        <w:tc>
          <w:tcPr>
            <w:tcW w:w="908" w:type="dxa"/>
            <w:vAlign w:val="center"/>
          </w:tcPr>
          <w:p w14:paraId="7E875B49" w14:textId="468DAC33"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5.0%</w:t>
            </w:r>
          </w:p>
        </w:tc>
        <w:tc>
          <w:tcPr>
            <w:tcW w:w="908" w:type="dxa"/>
            <w:vAlign w:val="center"/>
          </w:tcPr>
          <w:p w14:paraId="29C5F71B" w14:textId="4414096D"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4.1%</w:t>
            </w:r>
          </w:p>
        </w:tc>
        <w:tc>
          <w:tcPr>
            <w:tcW w:w="908" w:type="dxa"/>
            <w:vAlign w:val="center"/>
          </w:tcPr>
          <w:p w14:paraId="2AA59CC1" w14:textId="4FBA7FD3"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4.6%</w:t>
            </w:r>
          </w:p>
        </w:tc>
        <w:tc>
          <w:tcPr>
            <w:tcW w:w="908" w:type="dxa"/>
            <w:vAlign w:val="center"/>
          </w:tcPr>
          <w:p w14:paraId="763E0F28" w14:textId="40C6AAB4"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2.1%</w:t>
            </w:r>
          </w:p>
        </w:tc>
      </w:tr>
      <w:tr w:rsidR="006F1FD4" w:rsidRPr="0072174E" w14:paraId="6EB59C5C" w14:textId="31282536" w:rsidTr="002133AF">
        <w:trPr>
          <w:cnfStyle w:val="000000010000" w:firstRow="0" w:lastRow="0" w:firstColumn="0" w:lastColumn="0" w:oddVBand="0" w:evenVBand="0" w:oddHBand="0" w:evenHBand="1" w:firstRowFirstColumn="0" w:firstRowLastColumn="0" w:lastRowFirstColumn="0" w:lastRowLastColumn="0"/>
          <w:trHeight w:val="366"/>
        </w:trPr>
        <w:tc>
          <w:tcPr>
            <w:tcW w:w="1985" w:type="dxa"/>
          </w:tcPr>
          <w:p w14:paraId="3C745009" w14:textId="268C2BB9" w:rsidR="006F1FD4" w:rsidRPr="00F4395D" w:rsidRDefault="006F1FD4" w:rsidP="006F1FD4">
            <w:pPr>
              <w:rPr>
                <w:sz w:val="18"/>
                <w:szCs w:val="18"/>
              </w:rPr>
            </w:pPr>
            <w:r w:rsidRPr="00F4395D">
              <w:rPr>
                <w:sz w:val="18"/>
                <w:szCs w:val="18"/>
              </w:rPr>
              <w:t>Information Media and Telecommunications</w:t>
            </w:r>
          </w:p>
        </w:tc>
        <w:tc>
          <w:tcPr>
            <w:tcW w:w="685" w:type="dxa"/>
            <w:vAlign w:val="center"/>
          </w:tcPr>
          <w:p w14:paraId="552F3984" w14:textId="208F8832"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1.6%</w:t>
            </w:r>
          </w:p>
        </w:tc>
        <w:tc>
          <w:tcPr>
            <w:tcW w:w="908" w:type="dxa"/>
            <w:vAlign w:val="center"/>
          </w:tcPr>
          <w:p w14:paraId="0FBE6B67" w14:textId="3D68A09C"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1.6%</w:t>
            </w:r>
          </w:p>
        </w:tc>
        <w:tc>
          <w:tcPr>
            <w:tcW w:w="908" w:type="dxa"/>
            <w:vAlign w:val="center"/>
          </w:tcPr>
          <w:p w14:paraId="172AF7DB" w14:textId="71E64E38"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1.0%</w:t>
            </w:r>
          </w:p>
        </w:tc>
        <w:tc>
          <w:tcPr>
            <w:tcW w:w="908" w:type="dxa"/>
            <w:vAlign w:val="center"/>
          </w:tcPr>
          <w:p w14:paraId="66735131" w14:textId="2B53BA79"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1.0%</w:t>
            </w:r>
          </w:p>
        </w:tc>
        <w:tc>
          <w:tcPr>
            <w:tcW w:w="908" w:type="dxa"/>
            <w:vAlign w:val="center"/>
          </w:tcPr>
          <w:p w14:paraId="70FEAD53" w14:textId="46257ECF"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0.9%</w:t>
            </w:r>
          </w:p>
        </w:tc>
        <w:tc>
          <w:tcPr>
            <w:tcW w:w="908" w:type="dxa"/>
            <w:vAlign w:val="center"/>
          </w:tcPr>
          <w:p w14:paraId="754C31E6" w14:textId="277EB6A6"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1.1%</w:t>
            </w:r>
          </w:p>
        </w:tc>
        <w:tc>
          <w:tcPr>
            <w:tcW w:w="908" w:type="dxa"/>
            <w:vAlign w:val="center"/>
          </w:tcPr>
          <w:p w14:paraId="0723425D" w14:textId="4331C3EA"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0.8%</w:t>
            </w:r>
          </w:p>
        </w:tc>
        <w:tc>
          <w:tcPr>
            <w:tcW w:w="908" w:type="dxa"/>
            <w:vAlign w:val="center"/>
          </w:tcPr>
          <w:p w14:paraId="6C286334" w14:textId="6735B807"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1.5%</w:t>
            </w:r>
          </w:p>
        </w:tc>
      </w:tr>
      <w:tr w:rsidR="006F1FD4" w:rsidRPr="0072174E" w14:paraId="1FC261C6" w14:textId="434CB1EA" w:rsidTr="002133AF">
        <w:trPr>
          <w:trHeight w:val="366"/>
        </w:trPr>
        <w:tc>
          <w:tcPr>
            <w:tcW w:w="1985" w:type="dxa"/>
          </w:tcPr>
          <w:p w14:paraId="483C6690" w14:textId="6A761160" w:rsidR="006F1FD4" w:rsidRPr="00F4395D" w:rsidRDefault="006F1FD4" w:rsidP="006F1FD4">
            <w:pPr>
              <w:rPr>
                <w:sz w:val="18"/>
                <w:szCs w:val="18"/>
              </w:rPr>
            </w:pPr>
            <w:r w:rsidRPr="00F4395D">
              <w:rPr>
                <w:sz w:val="18"/>
                <w:szCs w:val="18"/>
              </w:rPr>
              <w:t>Financial and Insurance Services</w:t>
            </w:r>
          </w:p>
        </w:tc>
        <w:tc>
          <w:tcPr>
            <w:tcW w:w="685" w:type="dxa"/>
            <w:vAlign w:val="center"/>
          </w:tcPr>
          <w:p w14:paraId="503786F1" w14:textId="12E1E473"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5.2%</w:t>
            </w:r>
          </w:p>
        </w:tc>
        <w:tc>
          <w:tcPr>
            <w:tcW w:w="908" w:type="dxa"/>
            <w:vAlign w:val="center"/>
          </w:tcPr>
          <w:p w14:paraId="7D40A337" w14:textId="7F05C593"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4.3%</w:t>
            </w:r>
          </w:p>
        </w:tc>
        <w:tc>
          <w:tcPr>
            <w:tcW w:w="908" w:type="dxa"/>
            <w:vAlign w:val="center"/>
          </w:tcPr>
          <w:p w14:paraId="33C262C0" w14:textId="1B798247"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2.5%</w:t>
            </w:r>
          </w:p>
        </w:tc>
        <w:tc>
          <w:tcPr>
            <w:tcW w:w="908" w:type="dxa"/>
            <w:vAlign w:val="center"/>
          </w:tcPr>
          <w:p w14:paraId="43533DA3" w14:textId="1F87AA99"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2.7%</w:t>
            </w:r>
          </w:p>
        </w:tc>
        <w:tc>
          <w:tcPr>
            <w:tcW w:w="908" w:type="dxa"/>
            <w:vAlign w:val="center"/>
          </w:tcPr>
          <w:p w14:paraId="6B70608B" w14:textId="32A86A07"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2.1%</w:t>
            </w:r>
          </w:p>
        </w:tc>
        <w:tc>
          <w:tcPr>
            <w:tcW w:w="908" w:type="dxa"/>
            <w:vAlign w:val="center"/>
          </w:tcPr>
          <w:p w14:paraId="51349587" w14:textId="01F85C19"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1.9%</w:t>
            </w:r>
          </w:p>
        </w:tc>
        <w:tc>
          <w:tcPr>
            <w:tcW w:w="908" w:type="dxa"/>
            <w:vAlign w:val="center"/>
          </w:tcPr>
          <w:p w14:paraId="69593E92" w14:textId="2FF1DE7C"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0.9%</w:t>
            </w:r>
          </w:p>
        </w:tc>
        <w:tc>
          <w:tcPr>
            <w:tcW w:w="908" w:type="dxa"/>
            <w:vAlign w:val="center"/>
          </w:tcPr>
          <w:p w14:paraId="70522CE8" w14:textId="6CF105C0"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1.6%</w:t>
            </w:r>
          </w:p>
        </w:tc>
      </w:tr>
      <w:tr w:rsidR="006F1FD4" w:rsidRPr="0072174E" w14:paraId="0FD43F3F" w14:textId="15BF1D3D" w:rsidTr="002133AF">
        <w:trPr>
          <w:cnfStyle w:val="000000010000" w:firstRow="0" w:lastRow="0" w:firstColumn="0" w:lastColumn="0" w:oddVBand="0" w:evenVBand="0" w:oddHBand="0" w:evenHBand="1" w:firstRowFirstColumn="0" w:firstRowLastColumn="0" w:lastRowFirstColumn="0" w:lastRowLastColumn="0"/>
          <w:trHeight w:val="366"/>
        </w:trPr>
        <w:tc>
          <w:tcPr>
            <w:tcW w:w="1985" w:type="dxa"/>
          </w:tcPr>
          <w:p w14:paraId="7F2DB0A2" w14:textId="4E85806B" w:rsidR="006F1FD4" w:rsidRPr="00F4395D" w:rsidRDefault="006F1FD4" w:rsidP="006F1FD4">
            <w:pPr>
              <w:rPr>
                <w:sz w:val="18"/>
                <w:szCs w:val="18"/>
              </w:rPr>
            </w:pPr>
            <w:r w:rsidRPr="00F4395D">
              <w:rPr>
                <w:sz w:val="18"/>
                <w:szCs w:val="18"/>
              </w:rPr>
              <w:t>Rental, Hiring and Real Estate Services</w:t>
            </w:r>
          </w:p>
        </w:tc>
        <w:tc>
          <w:tcPr>
            <w:tcW w:w="685" w:type="dxa"/>
            <w:vAlign w:val="center"/>
          </w:tcPr>
          <w:p w14:paraId="16DE308A" w14:textId="75768B43"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1.7%</w:t>
            </w:r>
          </w:p>
        </w:tc>
        <w:tc>
          <w:tcPr>
            <w:tcW w:w="908" w:type="dxa"/>
            <w:vAlign w:val="center"/>
          </w:tcPr>
          <w:p w14:paraId="64F8D102" w14:textId="5FC97490"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1.6%</w:t>
            </w:r>
          </w:p>
        </w:tc>
        <w:tc>
          <w:tcPr>
            <w:tcW w:w="908" w:type="dxa"/>
            <w:vAlign w:val="center"/>
          </w:tcPr>
          <w:p w14:paraId="38772061" w14:textId="4E898F74"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1.7%</w:t>
            </w:r>
          </w:p>
        </w:tc>
        <w:tc>
          <w:tcPr>
            <w:tcW w:w="908" w:type="dxa"/>
            <w:vAlign w:val="center"/>
          </w:tcPr>
          <w:p w14:paraId="4D21FD3B" w14:textId="0E513880"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1.2%</w:t>
            </w:r>
          </w:p>
        </w:tc>
        <w:tc>
          <w:tcPr>
            <w:tcW w:w="908" w:type="dxa"/>
            <w:vAlign w:val="center"/>
          </w:tcPr>
          <w:p w14:paraId="2BFCB207" w14:textId="5CF1346E"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1.4%</w:t>
            </w:r>
          </w:p>
        </w:tc>
        <w:tc>
          <w:tcPr>
            <w:tcW w:w="908" w:type="dxa"/>
            <w:vAlign w:val="center"/>
          </w:tcPr>
          <w:p w14:paraId="1846781C" w14:textId="2C754710"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1.5%</w:t>
            </w:r>
          </w:p>
        </w:tc>
        <w:tc>
          <w:tcPr>
            <w:tcW w:w="908" w:type="dxa"/>
            <w:vAlign w:val="center"/>
          </w:tcPr>
          <w:p w14:paraId="627A7B2C" w14:textId="2A340841"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1.4%</w:t>
            </w:r>
          </w:p>
        </w:tc>
        <w:tc>
          <w:tcPr>
            <w:tcW w:w="908" w:type="dxa"/>
            <w:vAlign w:val="center"/>
          </w:tcPr>
          <w:p w14:paraId="5FD161FC" w14:textId="292D7E7B"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1.2%</w:t>
            </w:r>
          </w:p>
        </w:tc>
      </w:tr>
      <w:tr w:rsidR="006F1FD4" w:rsidRPr="0072174E" w14:paraId="3ED198CE" w14:textId="4E7A1A82" w:rsidTr="002133AF">
        <w:trPr>
          <w:trHeight w:val="366"/>
        </w:trPr>
        <w:tc>
          <w:tcPr>
            <w:tcW w:w="1985" w:type="dxa"/>
          </w:tcPr>
          <w:p w14:paraId="5C8B1BD1" w14:textId="729C5BF7" w:rsidR="006F1FD4" w:rsidRPr="00F4395D" w:rsidRDefault="006F1FD4" w:rsidP="006F1FD4">
            <w:pPr>
              <w:rPr>
                <w:sz w:val="18"/>
                <w:szCs w:val="18"/>
              </w:rPr>
            </w:pPr>
            <w:r w:rsidRPr="00F4395D">
              <w:rPr>
                <w:sz w:val="18"/>
                <w:szCs w:val="18"/>
              </w:rPr>
              <w:t>Professional, Scientific and Technical Services</w:t>
            </w:r>
          </w:p>
        </w:tc>
        <w:tc>
          <w:tcPr>
            <w:tcW w:w="685" w:type="dxa"/>
            <w:vAlign w:val="center"/>
          </w:tcPr>
          <w:p w14:paraId="5FB70926" w14:textId="5159F87E"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11.0%</w:t>
            </w:r>
          </w:p>
        </w:tc>
        <w:tc>
          <w:tcPr>
            <w:tcW w:w="908" w:type="dxa"/>
            <w:vAlign w:val="center"/>
          </w:tcPr>
          <w:p w14:paraId="0BE6EA0C" w14:textId="039EE261"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10.2%</w:t>
            </w:r>
          </w:p>
        </w:tc>
        <w:tc>
          <w:tcPr>
            <w:tcW w:w="908" w:type="dxa"/>
            <w:vAlign w:val="center"/>
          </w:tcPr>
          <w:p w14:paraId="34AD8FC6" w14:textId="015F463C"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8.3%</w:t>
            </w:r>
          </w:p>
        </w:tc>
        <w:tc>
          <w:tcPr>
            <w:tcW w:w="908" w:type="dxa"/>
            <w:vAlign w:val="center"/>
          </w:tcPr>
          <w:p w14:paraId="0171685D" w14:textId="3F16189B"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7.8%</w:t>
            </w:r>
          </w:p>
        </w:tc>
        <w:tc>
          <w:tcPr>
            <w:tcW w:w="908" w:type="dxa"/>
            <w:vAlign w:val="center"/>
          </w:tcPr>
          <w:p w14:paraId="76BD6B8F" w14:textId="4DBABD9D"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8.3%</w:t>
            </w:r>
          </w:p>
        </w:tc>
        <w:tc>
          <w:tcPr>
            <w:tcW w:w="908" w:type="dxa"/>
            <w:vAlign w:val="center"/>
          </w:tcPr>
          <w:p w14:paraId="5BD43A7F" w14:textId="10090408"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6.7%</w:t>
            </w:r>
          </w:p>
        </w:tc>
        <w:tc>
          <w:tcPr>
            <w:tcW w:w="908" w:type="dxa"/>
            <w:vAlign w:val="center"/>
          </w:tcPr>
          <w:p w14:paraId="77D4EE94" w14:textId="44EC7222"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6.0%</w:t>
            </w:r>
          </w:p>
        </w:tc>
        <w:tc>
          <w:tcPr>
            <w:tcW w:w="908" w:type="dxa"/>
            <w:vAlign w:val="center"/>
          </w:tcPr>
          <w:p w14:paraId="3D57CD49" w14:textId="3DE36A47"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14.3%</w:t>
            </w:r>
          </w:p>
        </w:tc>
      </w:tr>
      <w:tr w:rsidR="006F1FD4" w:rsidRPr="0072174E" w14:paraId="2BB0B070" w14:textId="0D2A67C4" w:rsidTr="002133AF">
        <w:trPr>
          <w:cnfStyle w:val="000000010000" w:firstRow="0" w:lastRow="0" w:firstColumn="0" w:lastColumn="0" w:oddVBand="0" w:evenVBand="0" w:oddHBand="0" w:evenHBand="1" w:firstRowFirstColumn="0" w:firstRowLastColumn="0" w:lastRowFirstColumn="0" w:lastRowLastColumn="0"/>
          <w:trHeight w:val="366"/>
        </w:trPr>
        <w:tc>
          <w:tcPr>
            <w:tcW w:w="1985" w:type="dxa"/>
          </w:tcPr>
          <w:p w14:paraId="09DFE630" w14:textId="7380FD6D" w:rsidR="006F1FD4" w:rsidRPr="00F4395D" w:rsidRDefault="006F1FD4" w:rsidP="006F1FD4">
            <w:pPr>
              <w:rPr>
                <w:sz w:val="18"/>
                <w:szCs w:val="18"/>
              </w:rPr>
            </w:pPr>
            <w:r w:rsidRPr="00F4395D">
              <w:rPr>
                <w:sz w:val="18"/>
                <w:szCs w:val="18"/>
              </w:rPr>
              <w:t>Administrative and Support Services</w:t>
            </w:r>
          </w:p>
        </w:tc>
        <w:tc>
          <w:tcPr>
            <w:tcW w:w="685" w:type="dxa"/>
            <w:vAlign w:val="center"/>
          </w:tcPr>
          <w:p w14:paraId="6D8E809F" w14:textId="5870FD28"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2.9%</w:t>
            </w:r>
          </w:p>
        </w:tc>
        <w:tc>
          <w:tcPr>
            <w:tcW w:w="908" w:type="dxa"/>
            <w:vAlign w:val="center"/>
          </w:tcPr>
          <w:p w14:paraId="0EE95504" w14:textId="01ACDFCC"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2.7%</w:t>
            </w:r>
          </w:p>
        </w:tc>
        <w:tc>
          <w:tcPr>
            <w:tcW w:w="908" w:type="dxa"/>
            <w:vAlign w:val="center"/>
          </w:tcPr>
          <w:p w14:paraId="286F3AAB" w14:textId="601236AD"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3.2%</w:t>
            </w:r>
          </w:p>
        </w:tc>
        <w:tc>
          <w:tcPr>
            <w:tcW w:w="908" w:type="dxa"/>
            <w:vAlign w:val="center"/>
          </w:tcPr>
          <w:p w14:paraId="4E2A7F26" w14:textId="35C87314"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3.3%</w:t>
            </w:r>
          </w:p>
        </w:tc>
        <w:tc>
          <w:tcPr>
            <w:tcW w:w="908" w:type="dxa"/>
            <w:vAlign w:val="center"/>
          </w:tcPr>
          <w:p w14:paraId="4F5CA427" w14:textId="65F383C8"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2.8%</w:t>
            </w:r>
          </w:p>
        </w:tc>
        <w:tc>
          <w:tcPr>
            <w:tcW w:w="908" w:type="dxa"/>
            <w:vAlign w:val="center"/>
          </w:tcPr>
          <w:p w14:paraId="301253B8" w14:textId="4A136E5E"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2.7%</w:t>
            </w:r>
          </w:p>
        </w:tc>
        <w:tc>
          <w:tcPr>
            <w:tcW w:w="908" w:type="dxa"/>
            <w:vAlign w:val="center"/>
          </w:tcPr>
          <w:p w14:paraId="4A2294BB" w14:textId="667DD666"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2.9%</w:t>
            </w:r>
          </w:p>
        </w:tc>
        <w:tc>
          <w:tcPr>
            <w:tcW w:w="908" w:type="dxa"/>
            <w:vAlign w:val="center"/>
          </w:tcPr>
          <w:p w14:paraId="2EDB7E34" w14:textId="0497077C"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2.4%</w:t>
            </w:r>
          </w:p>
        </w:tc>
      </w:tr>
      <w:tr w:rsidR="006F1FD4" w:rsidRPr="0072174E" w14:paraId="04B7D8B4" w14:textId="1026D16C" w:rsidTr="002133AF">
        <w:trPr>
          <w:trHeight w:val="366"/>
        </w:trPr>
        <w:tc>
          <w:tcPr>
            <w:tcW w:w="1985" w:type="dxa"/>
          </w:tcPr>
          <w:p w14:paraId="346D7EBF" w14:textId="3687319D" w:rsidR="006F1FD4" w:rsidRPr="00F4395D" w:rsidRDefault="006F1FD4" w:rsidP="006F1FD4">
            <w:pPr>
              <w:rPr>
                <w:sz w:val="18"/>
                <w:szCs w:val="18"/>
              </w:rPr>
            </w:pPr>
            <w:r w:rsidRPr="00F4395D">
              <w:rPr>
                <w:sz w:val="18"/>
                <w:szCs w:val="18"/>
              </w:rPr>
              <w:t>Public Administration and Safety</w:t>
            </w:r>
          </w:p>
        </w:tc>
        <w:tc>
          <w:tcPr>
            <w:tcW w:w="685" w:type="dxa"/>
            <w:vAlign w:val="center"/>
          </w:tcPr>
          <w:p w14:paraId="67A438DB" w14:textId="3106E043"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6.0%</w:t>
            </w:r>
          </w:p>
        </w:tc>
        <w:tc>
          <w:tcPr>
            <w:tcW w:w="908" w:type="dxa"/>
            <w:vAlign w:val="center"/>
          </w:tcPr>
          <w:p w14:paraId="222610BD" w14:textId="6FD6375D"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5.0%</w:t>
            </w:r>
          </w:p>
        </w:tc>
        <w:tc>
          <w:tcPr>
            <w:tcW w:w="908" w:type="dxa"/>
            <w:vAlign w:val="center"/>
          </w:tcPr>
          <w:p w14:paraId="295CDAB5" w14:textId="0816E080"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6.4%</w:t>
            </w:r>
          </w:p>
        </w:tc>
        <w:tc>
          <w:tcPr>
            <w:tcW w:w="908" w:type="dxa"/>
            <w:vAlign w:val="center"/>
          </w:tcPr>
          <w:p w14:paraId="6A3F267F" w14:textId="70AF4FC3"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6.1%</w:t>
            </w:r>
          </w:p>
        </w:tc>
        <w:tc>
          <w:tcPr>
            <w:tcW w:w="908" w:type="dxa"/>
            <w:vAlign w:val="center"/>
          </w:tcPr>
          <w:p w14:paraId="13B4C0B0" w14:textId="1093CDB3"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5.4%</w:t>
            </w:r>
          </w:p>
        </w:tc>
        <w:tc>
          <w:tcPr>
            <w:tcW w:w="908" w:type="dxa"/>
            <w:vAlign w:val="center"/>
          </w:tcPr>
          <w:p w14:paraId="1850DEA8" w14:textId="11470833"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7.6%</w:t>
            </w:r>
          </w:p>
        </w:tc>
        <w:tc>
          <w:tcPr>
            <w:tcW w:w="908" w:type="dxa"/>
            <w:vAlign w:val="center"/>
          </w:tcPr>
          <w:p w14:paraId="717A87C7" w14:textId="6D123A88"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15.0%</w:t>
            </w:r>
          </w:p>
        </w:tc>
        <w:tc>
          <w:tcPr>
            <w:tcW w:w="908" w:type="dxa"/>
            <w:vAlign w:val="center"/>
          </w:tcPr>
          <w:p w14:paraId="3C3CCF56" w14:textId="6F5C6179"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29.0%</w:t>
            </w:r>
          </w:p>
        </w:tc>
      </w:tr>
      <w:tr w:rsidR="006F1FD4" w:rsidRPr="0072174E" w14:paraId="6A3457DB" w14:textId="3027E924" w:rsidTr="002133AF">
        <w:trPr>
          <w:cnfStyle w:val="000000010000" w:firstRow="0" w:lastRow="0" w:firstColumn="0" w:lastColumn="0" w:oddVBand="0" w:evenVBand="0" w:oddHBand="0" w:evenHBand="1" w:firstRowFirstColumn="0" w:firstRowLastColumn="0" w:lastRowFirstColumn="0" w:lastRowLastColumn="0"/>
          <w:trHeight w:val="366"/>
        </w:trPr>
        <w:tc>
          <w:tcPr>
            <w:tcW w:w="1985" w:type="dxa"/>
          </w:tcPr>
          <w:p w14:paraId="1C012B2A" w14:textId="7B8726FA" w:rsidR="006F1FD4" w:rsidRPr="00F4395D" w:rsidRDefault="006F1FD4" w:rsidP="006F1FD4">
            <w:pPr>
              <w:rPr>
                <w:sz w:val="18"/>
                <w:szCs w:val="18"/>
              </w:rPr>
            </w:pPr>
            <w:r w:rsidRPr="00F4395D">
              <w:rPr>
                <w:sz w:val="18"/>
                <w:szCs w:val="18"/>
              </w:rPr>
              <w:t>Education and Training</w:t>
            </w:r>
          </w:p>
        </w:tc>
        <w:tc>
          <w:tcPr>
            <w:tcW w:w="685" w:type="dxa"/>
            <w:vAlign w:val="center"/>
          </w:tcPr>
          <w:p w14:paraId="73E19F74" w14:textId="461458B7"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8.0%</w:t>
            </w:r>
          </w:p>
        </w:tc>
        <w:tc>
          <w:tcPr>
            <w:tcW w:w="908" w:type="dxa"/>
            <w:vAlign w:val="center"/>
          </w:tcPr>
          <w:p w14:paraId="31AF23FF" w14:textId="159C44C4"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8.8%</w:t>
            </w:r>
          </w:p>
        </w:tc>
        <w:tc>
          <w:tcPr>
            <w:tcW w:w="908" w:type="dxa"/>
            <w:vAlign w:val="center"/>
          </w:tcPr>
          <w:p w14:paraId="2704B50C" w14:textId="2706D657"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8.4%</w:t>
            </w:r>
          </w:p>
        </w:tc>
        <w:tc>
          <w:tcPr>
            <w:tcW w:w="908" w:type="dxa"/>
            <w:vAlign w:val="center"/>
          </w:tcPr>
          <w:p w14:paraId="7AA244CE" w14:textId="4C5997DA"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7.6%</w:t>
            </w:r>
          </w:p>
        </w:tc>
        <w:tc>
          <w:tcPr>
            <w:tcW w:w="908" w:type="dxa"/>
            <w:vAlign w:val="center"/>
          </w:tcPr>
          <w:p w14:paraId="3E367C8F" w14:textId="242374A4"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8.1%</w:t>
            </w:r>
          </w:p>
        </w:tc>
        <w:tc>
          <w:tcPr>
            <w:tcW w:w="908" w:type="dxa"/>
            <w:vAlign w:val="center"/>
          </w:tcPr>
          <w:p w14:paraId="4B555F2D" w14:textId="7F3E8760"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8.4%</w:t>
            </w:r>
          </w:p>
        </w:tc>
        <w:tc>
          <w:tcPr>
            <w:tcW w:w="908" w:type="dxa"/>
            <w:vAlign w:val="center"/>
          </w:tcPr>
          <w:p w14:paraId="25312A66" w14:textId="1CDC58E0"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9.7%</w:t>
            </w:r>
          </w:p>
        </w:tc>
        <w:tc>
          <w:tcPr>
            <w:tcW w:w="908" w:type="dxa"/>
            <w:vAlign w:val="center"/>
          </w:tcPr>
          <w:p w14:paraId="0627E771" w14:textId="4C4A4B89"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9.1%</w:t>
            </w:r>
          </w:p>
        </w:tc>
      </w:tr>
      <w:tr w:rsidR="006F1FD4" w:rsidRPr="0072174E" w14:paraId="507054DE" w14:textId="18B800B9" w:rsidTr="002133AF">
        <w:trPr>
          <w:trHeight w:val="366"/>
        </w:trPr>
        <w:tc>
          <w:tcPr>
            <w:tcW w:w="1985" w:type="dxa"/>
          </w:tcPr>
          <w:p w14:paraId="751B4D5D" w14:textId="0AEF47F3" w:rsidR="006F1FD4" w:rsidRPr="00F4395D" w:rsidRDefault="006F1FD4" w:rsidP="006F1FD4">
            <w:pPr>
              <w:rPr>
                <w:sz w:val="18"/>
                <w:szCs w:val="18"/>
              </w:rPr>
            </w:pPr>
            <w:r w:rsidRPr="00F4395D">
              <w:rPr>
                <w:sz w:val="18"/>
                <w:szCs w:val="18"/>
              </w:rPr>
              <w:t>Healthcare and Social Assistance</w:t>
            </w:r>
          </w:p>
        </w:tc>
        <w:tc>
          <w:tcPr>
            <w:tcW w:w="685" w:type="dxa"/>
            <w:vAlign w:val="center"/>
          </w:tcPr>
          <w:p w14:paraId="3373DCB3" w14:textId="5940AF85"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16.5%</w:t>
            </w:r>
          </w:p>
        </w:tc>
        <w:tc>
          <w:tcPr>
            <w:tcW w:w="908" w:type="dxa"/>
            <w:vAlign w:val="center"/>
          </w:tcPr>
          <w:p w14:paraId="7EE698DD" w14:textId="219A589C"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17.9%</w:t>
            </w:r>
          </w:p>
        </w:tc>
        <w:tc>
          <w:tcPr>
            <w:tcW w:w="908" w:type="dxa"/>
            <w:vAlign w:val="center"/>
          </w:tcPr>
          <w:p w14:paraId="6F834E51" w14:textId="3946239A"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17.9%</w:t>
            </w:r>
          </w:p>
        </w:tc>
        <w:tc>
          <w:tcPr>
            <w:tcW w:w="908" w:type="dxa"/>
            <w:vAlign w:val="center"/>
          </w:tcPr>
          <w:p w14:paraId="1B607955" w14:textId="52D096FF"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20.2%</w:t>
            </w:r>
          </w:p>
        </w:tc>
        <w:tc>
          <w:tcPr>
            <w:tcW w:w="908" w:type="dxa"/>
            <w:vAlign w:val="center"/>
          </w:tcPr>
          <w:p w14:paraId="5F1B67C0" w14:textId="273D9C7D"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16.8%</w:t>
            </w:r>
          </w:p>
        </w:tc>
        <w:tc>
          <w:tcPr>
            <w:tcW w:w="908" w:type="dxa"/>
            <w:vAlign w:val="center"/>
          </w:tcPr>
          <w:p w14:paraId="39682198" w14:textId="01A937D0"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18.8%</w:t>
            </w:r>
          </w:p>
        </w:tc>
        <w:tc>
          <w:tcPr>
            <w:tcW w:w="908" w:type="dxa"/>
            <w:vAlign w:val="center"/>
          </w:tcPr>
          <w:p w14:paraId="6ADD8CD2" w14:textId="53CED637"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19.7%</w:t>
            </w:r>
          </w:p>
        </w:tc>
        <w:tc>
          <w:tcPr>
            <w:tcW w:w="908" w:type="dxa"/>
            <w:vAlign w:val="center"/>
          </w:tcPr>
          <w:p w14:paraId="660078E5" w14:textId="40FCE9E7"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13.1%</w:t>
            </w:r>
          </w:p>
        </w:tc>
      </w:tr>
      <w:tr w:rsidR="006F1FD4" w:rsidRPr="0072174E" w14:paraId="4E581708" w14:textId="2A261239" w:rsidTr="002133AF">
        <w:trPr>
          <w:cnfStyle w:val="000000010000" w:firstRow="0" w:lastRow="0" w:firstColumn="0" w:lastColumn="0" w:oddVBand="0" w:evenVBand="0" w:oddHBand="0" w:evenHBand="1" w:firstRowFirstColumn="0" w:firstRowLastColumn="0" w:lastRowFirstColumn="0" w:lastRowLastColumn="0"/>
          <w:trHeight w:val="366"/>
        </w:trPr>
        <w:tc>
          <w:tcPr>
            <w:tcW w:w="1985" w:type="dxa"/>
          </w:tcPr>
          <w:p w14:paraId="007496CE" w14:textId="18A7E3F6" w:rsidR="006F1FD4" w:rsidRPr="00F4395D" w:rsidRDefault="006F1FD4" w:rsidP="006F1FD4">
            <w:pPr>
              <w:rPr>
                <w:sz w:val="18"/>
                <w:szCs w:val="18"/>
              </w:rPr>
            </w:pPr>
            <w:r w:rsidRPr="00F4395D">
              <w:rPr>
                <w:sz w:val="18"/>
                <w:szCs w:val="18"/>
              </w:rPr>
              <w:t>Arts and Recreation Services</w:t>
            </w:r>
          </w:p>
        </w:tc>
        <w:tc>
          <w:tcPr>
            <w:tcW w:w="685" w:type="dxa"/>
            <w:vAlign w:val="center"/>
          </w:tcPr>
          <w:p w14:paraId="13C9FB43" w14:textId="41A613C4"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1.9%</w:t>
            </w:r>
          </w:p>
        </w:tc>
        <w:tc>
          <w:tcPr>
            <w:tcW w:w="908" w:type="dxa"/>
            <w:vAlign w:val="center"/>
          </w:tcPr>
          <w:p w14:paraId="46B8E313" w14:textId="1B511FAC"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2.1%</w:t>
            </w:r>
          </w:p>
        </w:tc>
        <w:tc>
          <w:tcPr>
            <w:tcW w:w="908" w:type="dxa"/>
            <w:vAlign w:val="center"/>
          </w:tcPr>
          <w:p w14:paraId="3DEC3BE9" w14:textId="1238B851"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1.6%</w:t>
            </w:r>
          </w:p>
        </w:tc>
        <w:tc>
          <w:tcPr>
            <w:tcW w:w="908" w:type="dxa"/>
            <w:vAlign w:val="center"/>
          </w:tcPr>
          <w:p w14:paraId="2AC3404C" w14:textId="2503C30F"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1.6%</w:t>
            </w:r>
          </w:p>
        </w:tc>
        <w:tc>
          <w:tcPr>
            <w:tcW w:w="908" w:type="dxa"/>
            <w:vAlign w:val="center"/>
          </w:tcPr>
          <w:p w14:paraId="1F86779B" w14:textId="1C5EE2CE"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1.8%</w:t>
            </w:r>
          </w:p>
        </w:tc>
        <w:tc>
          <w:tcPr>
            <w:tcW w:w="908" w:type="dxa"/>
            <w:vAlign w:val="center"/>
          </w:tcPr>
          <w:p w14:paraId="04A7408A" w14:textId="7F2FAFD4"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1.5%</w:t>
            </w:r>
          </w:p>
        </w:tc>
        <w:tc>
          <w:tcPr>
            <w:tcW w:w="908" w:type="dxa"/>
            <w:vAlign w:val="center"/>
          </w:tcPr>
          <w:p w14:paraId="1F63AFB3" w14:textId="637964A7"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3.2%</w:t>
            </w:r>
          </w:p>
        </w:tc>
        <w:tc>
          <w:tcPr>
            <w:tcW w:w="908" w:type="dxa"/>
            <w:vAlign w:val="center"/>
          </w:tcPr>
          <w:p w14:paraId="1195DFDD" w14:textId="4317589F"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2.1%</w:t>
            </w:r>
          </w:p>
        </w:tc>
      </w:tr>
      <w:tr w:rsidR="006F1FD4" w:rsidRPr="0072174E" w14:paraId="078FC9E0" w14:textId="776EDC97" w:rsidTr="002133AF">
        <w:trPr>
          <w:trHeight w:val="366"/>
        </w:trPr>
        <w:tc>
          <w:tcPr>
            <w:tcW w:w="1985" w:type="dxa"/>
          </w:tcPr>
          <w:p w14:paraId="1991A92A" w14:textId="41971E45" w:rsidR="006F1FD4" w:rsidRPr="00F4395D" w:rsidRDefault="006F1FD4" w:rsidP="006F1FD4">
            <w:pPr>
              <w:rPr>
                <w:sz w:val="18"/>
                <w:szCs w:val="18"/>
              </w:rPr>
            </w:pPr>
            <w:r w:rsidRPr="00F4395D">
              <w:rPr>
                <w:sz w:val="18"/>
                <w:szCs w:val="18"/>
              </w:rPr>
              <w:t>Other Services</w:t>
            </w:r>
          </w:p>
        </w:tc>
        <w:tc>
          <w:tcPr>
            <w:tcW w:w="685" w:type="dxa"/>
            <w:vAlign w:val="center"/>
          </w:tcPr>
          <w:p w14:paraId="04137C9D" w14:textId="71AFB290"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3.5%</w:t>
            </w:r>
          </w:p>
        </w:tc>
        <w:tc>
          <w:tcPr>
            <w:tcW w:w="908" w:type="dxa"/>
            <w:vAlign w:val="center"/>
          </w:tcPr>
          <w:p w14:paraId="7AA04A07" w14:textId="7C62203E"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3.2%</w:t>
            </w:r>
          </w:p>
        </w:tc>
        <w:tc>
          <w:tcPr>
            <w:tcW w:w="908" w:type="dxa"/>
            <w:vAlign w:val="center"/>
          </w:tcPr>
          <w:p w14:paraId="7244FB2E" w14:textId="5B7BD3F2"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3.7%</w:t>
            </w:r>
          </w:p>
        </w:tc>
        <w:tc>
          <w:tcPr>
            <w:tcW w:w="908" w:type="dxa"/>
            <w:vAlign w:val="center"/>
          </w:tcPr>
          <w:p w14:paraId="5B6511AA" w14:textId="387EDAA2"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3.9%</w:t>
            </w:r>
          </w:p>
        </w:tc>
        <w:tc>
          <w:tcPr>
            <w:tcW w:w="908" w:type="dxa"/>
            <w:vAlign w:val="center"/>
          </w:tcPr>
          <w:p w14:paraId="4F638DA2" w14:textId="75964C05"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3.9%</w:t>
            </w:r>
          </w:p>
        </w:tc>
        <w:tc>
          <w:tcPr>
            <w:tcW w:w="908" w:type="dxa"/>
            <w:vAlign w:val="center"/>
          </w:tcPr>
          <w:p w14:paraId="393D68C0" w14:textId="21EF4D7C"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3.5%</w:t>
            </w:r>
          </w:p>
        </w:tc>
        <w:tc>
          <w:tcPr>
            <w:tcW w:w="908" w:type="dxa"/>
            <w:vAlign w:val="center"/>
          </w:tcPr>
          <w:p w14:paraId="03E872FB" w14:textId="747C56A6"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4.3%</w:t>
            </w:r>
          </w:p>
        </w:tc>
        <w:tc>
          <w:tcPr>
            <w:tcW w:w="908" w:type="dxa"/>
            <w:vAlign w:val="center"/>
          </w:tcPr>
          <w:p w14:paraId="73117EAB" w14:textId="61151EE1" w:rsidR="006F1FD4" w:rsidRPr="006F1FD4" w:rsidRDefault="006F1FD4" w:rsidP="006F1FD4">
            <w:pPr>
              <w:jc w:val="center"/>
              <w:rPr>
                <w:rFonts w:asciiTheme="minorHAnsi" w:hAnsiTheme="minorHAnsi" w:cstheme="minorHAnsi"/>
                <w:sz w:val="18"/>
                <w:szCs w:val="18"/>
              </w:rPr>
            </w:pPr>
            <w:r w:rsidRPr="006F1FD4">
              <w:rPr>
                <w:rFonts w:asciiTheme="minorHAnsi" w:hAnsiTheme="minorHAnsi" w:cstheme="minorHAnsi"/>
                <w:sz w:val="18"/>
                <w:szCs w:val="18"/>
              </w:rPr>
              <w:t>2.6%</w:t>
            </w:r>
          </w:p>
        </w:tc>
      </w:tr>
    </w:tbl>
    <w:p w14:paraId="16929CAA" w14:textId="17E12707" w:rsidR="00AC2606" w:rsidRPr="001D0DC3" w:rsidRDefault="00AC2606" w:rsidP="00A17C4D">
      <w:pPr>
        <w:pStyle w:val="Source"/>
        <w:rPr>
          <w:sz w:val="20"/>
          <w:szCs w:val="20"/>
        </w:rPr>
      </w:pPr>
      <w:r w:rsidRPr="001D0DC3">
        <w:t>Source: 2024-2034 Employment Projections, produced by Victoria University for Jobs and Skills Australia</w:t>
      </w:r>
      <w:r w:rsidR="00AB782F">
        <w:t>.</w:t>
      </w:r>
    </w:p>
    <w:p w14:paraId="54D951C9" w14:textId="77777777" w:rsidR="00E307AB" w:rsidRPr="00E307AB" w:rsidRDefault="00E307AB" w:rsidP="00E307AB">
      <w:bookmarkStart w:id="214" w:name="_Toc179887402"/>
      <w:r w:rsidRPr="00E307AB">
        <w:br w:type="page"/>
      </w:r>
    </w:p>
    <w:p w14:paraId="1190E227" w14:textId="6138A330" w:rsidR="00AC2606" w:rsidRPr="00AC0957" w:rsidRDefault="00AC2606" w:rsidP="00AC2606">
      <w:pPr>
        <w:pStyle w:val="Heading3"/>
        <w:rPr>
          <w:rFonts w:cs="Arial"/>
        </w:rPr>
      </w:pPr>
      <w:bookmarkStart w:id="215" w:name="_Toc181371597"/>
      <w:r w:rsidRPr="00AC0957">
        <w:rPr>
          <w:rFonts w:cs="Arial"/>
        </w:rPr>
        <w:t xml:space="preserve">Employment </w:t>
      </w:r>
      <w:r w:rsidR="00206277">
        <w:rPr>
          <w:rFonts w:cs="Arial"/>
        </w:rPr>
        <w:t>outlook by skills level</w:t>
      </w:r>
      <w:bookmarkEnd w:id="214"/>
      <w:bookmarkEnd w:id="215"/>
    </w:p>
    <w:p w14:paraId="7E40B513" w14:textId="7EC3FC64" w:rsidR="00AC2606" w:rsidRPr="00AC0957" w:rsidRDefault="0064145C" w:rsidP="00AC2606">
      <w:pPr>
        <w:rPr>
          <w:rFonts w:cs="Arial"/>
        </w:rPr>
      </w:pPr>
      <w:r w:rsidRPr="0064145C">
        <w:rPr>
          <w:rFonts w:cs="Arial"/>
        </w:rPr>
        <w:t>It is estimated that over 90% of the employment growth over the next 10 years, will be in occupations commensurate with post-secondary qualifications (skill levels 1 to 4) – with over half (51.0%) of the projected growth being in occupations related to a bachelor’s degree or higher as the primary education pathway (skill level 1), and 42.6% in occupations with VET as the primary pathway (skill levels 2 to 4) (</w:t>
      </w:r>
      <w:r>
        <w:rPr>
          <w:rFonts w:cs="Arial"/>
        </w:rPr>
        <w:fldChar w:fldCharType="begin"/>
      </w:r>
      <w:r>
        <w:rPr>
          <w:rFonts w:cs="Arial"/>
        </w:rPr>
        <w:instrText xml:space="preserve"> REF _Ref179898120 \h </w:instrText>
      </w:r>
      <w:r>
        <w:rPr>
          <w:rFonts w:cs="Arial"/>
        </w:rPr>
      </w:r>
      <w:r>
        <w:rPr>
          <w:rFonts w:cs="Arial"/>
        </w:rPr>
        <w:fldChar w:fldCharType="separate"/>
      </w:r>
      <w:r w:rsidR="00C47A81">
        <w:t xml:space="preserve">Figure </w:t>
      </w:r>
      <w:r w:rsidR="00C47A81">
        <w:rPr>
          <w:noProof/>
        </w:rPr>
        <w:t>44</w:t>
      </w:r>
      <w:r>
        <w:rPr>
          <w:rFonts w:cs="Arial"/>
        </w:rPr>
        <w:fldChar w:fldCharType="end"/>
      </w:r>
      <w:r w:rsidRPr="0064145C">
        <w:rPr>
          <w:rFonts w:cs="Arial"/>
        </w:rPr>
        <w:t>). While the overall trend is consistent with last year’s projections, the proportion of higher education qualified roles is slightly higher, and the proportion with VET pathways is slightly lower than in last year’s Jobs and Skills Report</w:t>
      </w:r>
      <w:r w:rsidR="00226EBA">
        <w:rPr>
          <w:rFonts w:cs="Arial"/>
        </w:rPr>
        <w:t>.</w:t>
      </w:r>
    </w:p>
    <w:p w14:paraId="596E8709" w14:textId="4222437E" w:rsidR="001D0DC3" w:rsidRDefault="001D0DC3" w:rsidP="001D0DC3">
      <w:pPr>
        <w:pStyle w:val="Caption"/>
      </w:pPr>
      <w:bookmarkStart w:id="216" w:name="_Ref179898120"/>
      <w:bookmarkStart w:id="217" w:name="_Toc181370346"/>
      <w:r>
        <w:t xml:space="preserve">Figure </w:t>
      </w:r>
      <w:r>
        <w:fldChar w:fldCharType="begin"/>
      </w:r>
      <w:r>
        <w:instrText xml:space="preserve"> SEQ Figure \* ARABIC </w:instrText>
      </w:r>
      <w:r>
        <w:fldChar w:fldCharType="separate"/>
      </w:r>
      <w:r w:rsidR="00C47A81">
        <w:rPr>
          <w:noProof/>
        </w:rPr>
        <w:t>44</w:t>
      </w:r>
      <w:r>
        <w:fldChar w:fldCharType="end"/>
      </w:r>
      <w:bookmarkEnd w:id="216"/>
      <w:r>
        <w:t>:</w:t>
      </w:r>
      <w:r w:rsidRPr="00C8423A">
        <w:t xml:space="preserve"> </w:t>
      </w:r>
      <w:r w:rsidR="003A49BF" w:rsidRPr="003A49BF">
        <w:t>5 and 10-year employment outlook, by skill level of occupation, persons, Australia</w:t>
      </w:r>
      <w:bookmarkEnd w:id="217"/>
    </w:p>
    <w:p w14:paraId="3CA5A1E7" w14:textId="002F586B" w:rsidR="00AC2606" w:rsidRPr="00AC0957" w:rsidRDefault="00C2185D" w:rsidP="001D0DC3">
      <w:pPr>
        <w:jc w:val="center"/>
        <w:rPr>
          <w:rFonts w:cs="Arial"/>
          <w:sz w:val="20"/>
          <w:szCs w:val="20"/>
        </w:rPr>
      </w:pPr>
      <w:r>
        <w:rPr>
          <w:rFonts w:cs="Arial"/>
          <w:noProof/>
          <w:sz w:val="20"/>
          <w:szCs w:val="20"/>
        </w:rPr>
        <w:drawing>
          <wp:inline distT="0" distB="0" distL="0" distR="0" wp14:anchorId="1CA68E64" wp14:editId="437FE6DB">
            <wp:extent cx="4364990" cy="2755900"/>
            <wp:effectExtent l="0" t="0" r="0" b="6350"/>
            <wp:docPr id="350283281" name="Picture 61" descr="This shows the projected employment levels in Australia by skill levels, over the 5 years to May 2029 and 10 years to May 2034.&#10;Over the next decade, the largest increase in employment in Australia is projected for skill level 1 occupations.&#10;Note: Skill level 1 relates to bachelor degree or higher qualification; Skill level 2 relates to advanced diploma or diploma; Skill level 3 relates to Certificate IV or III (including at least 2 years’ on-the-job training); Skill level 4 relates to Certificate II or III; Skill Level 5 relates to Certificate I or secondary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283281" name="Picture 61" descr="This shows the projected employment levels in Australia by skill levels, over the 5 years to May 2029 and 10 years to May 2034.&#10;Over the next decade, the largest increase in employment in Australia is projected for skill level 1 occupations.&#10;Note: Skill level 1 relates to bachelor degree or higher qualification; Skill level 2 relates to advanced diploma or diploma; Skill level 3 relates to Certificate IV or III (including at least 2 years’ on-the-job training); Skill level 4 relates to Certificate II or III; Skill Level 5 relates to Certificate I or secondary education."/>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364990" cy="2755900"/>
                    </a:xfrm>
                    <a:prstGeom prst="rect">
                      <a:avLst/>
                    </a:prstGeom>
                    <a:noFill/>
                  </pic:spPr>
                </pic:pic>
              </a:graphicData>
            </a:graphic>
          </wp:inline>
        </w:drawing>
      </w:r>
    </w:p>
    <w:p w14:paraId="3940E998" w14:textId="46AAA2E8" w:rsidR="00AC2606" w:rsidRDefault="00AC2606" w:rsidP="00A17C4D">
      <w:pPr>
        <w:pStyle w:val="Source"/>
      </w:pPr>
      <w:r w:rsidRPr="001D0DC3">
        <w:t>Source: 2024-2034 Employment Projections, produced by Victoria University for Jobs and Skills Australia</w:t>
      </w:r>
      <w:r w:rsidR="00AB782F">
        <w:t>.</w:t>
      </w:r>
    </w:p>
    <w:p w14:paraId="7F187ED2" w14:textId="4C444DE7" w:rsidR="00AB12A0" w:rsidRPr="00AB12A0" w:rsidRDefault="00AB12A0" w:rsidP="00AB12A0">
      <w:pPr>
        <w:pStyle w:val="ChartorTableNote"/>
      </w:pPr>
      <w:r w:rsidRPr="00AB12A0">
        <w:t>Note: Skill level 1 relates to bachelor</w:t>
      </w:r>
      <w:r>
        <w:t>’s</w:t>
      </w:r>
      <w:r w:rsidRPr="00AB12A0">
        <w:t xml:space="preserve"> degree or higher qualification; Skill level 2 relates to advanced diploma or diploma; Skill level 3 relates to Certificate IV or III (including at least 2 years’ on-the-job training); Skill level 4 relates to Certificate II or III; Skill Level 5 relates to Certificate I or secondary education.</w:t>
      </w:r>
    </w:p>
    <w:p w14:paraId="0A4E3B6C" w14:textId="06F4A1D7" w:rsidR="00AC2606" w:rsidRDefault="00AB3856" w:rsidP="00A17E1E">
      <w:pPr>
        <w:spacing w:after="160" w:line="259" w:lineRule="auto"/>
        <w:rPr>
          <w:rFonts w:cs="Arial"/>
        </w:rPr>
      </w:pPr>
      <w:r w:rsidRPr="00AB3856">
        <w:rPr>
          <w:rFonts w:cs="Arial"/>
        </w:rPr>
        <w:t xml:space="preserve">Based on current educational attainment patterns, it is expected that the proportion of people employed in jobs commensurate with post-secondary qualifications (skill levels 1 to 4) will increase slightly from 85.5% in May 2024 to 86.4% in May 2034. On the other hand, employment in low skill jobs (where a formal post school qualification is not required) will decline from 13.8% in 2024 to 12.8% in 2034 </w:t>
      </w:r>
      <w:r w:rsidR="00AC2606" w:rsidRPr="00AC0957">
        <w:rPr>
          <w:rFonts w:cs="Arial"/>
        </w:rPr>
        <w:t>(</w:t>
      </w:r>
      <w:r w:rsidR="00863EEA">
        <w:rPr>
          <w:rFonts w:cs="Arial"/>
        </w:rPr>
        <w:fldChar w:fldCharType="begin"/>
      </w:r>
      <w:r w:rsidR="00863EEA">
        <w:rPr>
          <w:rFonts w:cs="Arial"/>
        </w:rPr>
        <w:instrText xml:space="preserve"> REF _Ref181277605 \h </w:instrText>
      </w:r>
      <w:r w:rsidR="00863EEA">
        <w:rPr>
          <w:rFonts w:cs="Arial"/>
        </w:rPr>
      </w:r>
      <w:r w:rsidR="00863EEA">
        <w:rPr>
          <w:rFonts w:cs="Arial"/>
        </w:rPr>
        <w:fldChar w:fldCharType="separate"/>
      </w:r>
      <w:r w:rsidR="00C47A81">
        <w:t xml:space="preserve">Table </w:t>
      </w:r>
      <w:r w:rsidR="00C47A81">
        <w:rPr>
          <w:noProof/>
        </w:rPr>
        <w:t>13</w:t>
      </w:r>
      <w:r w:rsidR="00863EEA">
        <w:rPr>
          <w:rFonts w:cs="Arial"/>
        </w:rPr>
        <w:fldChar w:fldCharType="end"/>
      </w:r>
      <w:r w:rsidR="00AC2606" w:rsidRPr="00AC0957">
        <w:rPr>
          <w:rFonts w:cs="Arial"/>
        </w:rPr>
        <w:t>).</w:t>
      </w:r>
    </w:p>
    <w:p w14:paraId="67D1E560" w14:textId="77777777" w:rsidR="0068274C" w:rsidRDefault="0068274C">
      <w:pPr>
        <w:spacing w:after="160" w:line="259" w:lineRule="auto"/>
        <w:rPr>
          <w:b/>
          <w:bCs/>
          <w:sz w:val="18"/>
          <w:szCs w:val="18"/>
        </w:rPr>
      </w:pPr>
      <w:bookmarkStart w:id="218" w:name="_Ref179898132"/>
      <w:r>
        <w:br w:type="page"/>
      </w:r>
    </w:p>
    <w:p w14:paraId="21E8E6E5" w14:textId="7BBA2A24" w:rsidR="001D0DC3" w:rsidRDefault="001D0DC3" w:rsidP="001D0DC3">
      <w:pPr>
        <w:pStyle w:val="Caption"/>
      </w:pPr>
      <w:bookmarkStart w:id="219" w:name="_Ref181277605"/>
      <w:r>
        <w:t xml:space="preserve">Table </w:t>
      </w:r>
      <w:r>
        <w:fldChar w:fldCharType="begin"/>
      </w:r>
      <w:r>
        <w:instrText xml:space="preserve"> SEQ Table \* ARABIC </w:instrText>
      </w:r>
      <w:r>
        <w:fldChar w:fldCharType="separate"/>
      </w:r>
      <w:r w:rsidR="00C47A81">
        <w:rPr>
          <w:noProof/>
        </w:rPr>
        <w:t>13</w:t>
      </w:r>
      <w:r>
        <w:fldChar w:fldCharType="end"/>
      </w:r>
      <w:bookmarkEnd w:id="218"/>
      <w:bookmarkEnd w:id="219"/>
      <w:r>
        <w:t xml:space="preserve">: </w:t>
      </w:r>
      <w:r w:rsidRPr="005821C5">
        <w:t>Projected employment growth over the next 5 and 10 years, by skill level</w:t>
      </w:r>
      <w:r w:rsidR="00473321">
        <w:rPr>
          <w:rStyle w:val="FootnoteReference"/>
        </w:rPr>
        <w:footnoteReference w:id="26"/>
      </w:r>
      <w:r w:rsidR="00AB3856">
        <w:t>, Australia</w:t>
      </w:r>
    </w:p>
    <w:tbl>
      <w:tblPr>
        <w:tblStyle w:val="JSATable1"/>
        <w:tblW w:w="9026" w:type="dxa"/>
        <w:tblLayout w:type="fixed"/>
        <w:tblLook w:val="0020" w:firstRow="1" w:lastRow="0" w:firstColumn="0" w:lastColumn="0" w:noHBand="0" w:noVBand="0"/>
        <w:tblCaption w:val="Projected employment growth over the next 5 and 10 years, by skill level, Australia"/>
        <w:tblDescription w:val="This shows current and projected employment levels in Australia by skill level of occupation. It also shows shares of total employment by skill level, and how that is projected to change over the next 5 and 10 years.&#10;Employment is projected to increase strongly over the next decade for skill level 1 occupations (commensurate with bachelor degree and above), with the employment share of skill level 1 occupations in Australia increasing from 34.4% in May 2024 to 36.4% in May 2034. The employment shares of all other skill levels are projected to decline slightly over the next decade."/>
      </w:tblPr>
      <w:tblGrid>
        <w:gridCol w:w="1427"/>
        <w:gridCol w:w="759"/>
        <w:gridCol w:w="760"/>
        <w:gridCol w:w="760"/>
        <w:gridCol w:w="760"/>
        <w:gridCol w:w="760"/>
        <w:gridCol w:w="760"/>
        <w:gridCol w:w="760"/>
        <w:gridCol w:w="760"/>
        <w:gridCol w:w="760"/>
        <w:gridCol w:w="760"/>
      </w:tblGrid>
      <w:tr w:rsidR="00543C03" w:rsidRPr="006F1FD4" w14:paraId="42EB1E44" w14:textId="77777777" w:rsidTr="000D3C4B">
        <w:trPr>
          <w:cnfStyle w:val="100000000000" w:firstRow="1" w:lastRow="0" w:firstColumn="0" w:lastColumn="0" w:oddVBand="0" w:evenVBand="0" w:oddHBand="0" w:evenHBand="0" w:firstRowFirstColumn="0" w:firstRowLastColumn="0" w:lastRowFirstColumn="0" w:lastRowLastColumn="0"/>
          <w:trHeight w:val="381"/>
        </w:trPr>
        <w:tc>
          <w:tcPr>
            <w:tcW w:w="1427" w:type="dxa"/>
            <w:vMerge w:val="restart"/>
          </w:tcPr>
          <w:p w14:paraId="0BFD0EB3" w14:textId="5A42A20A" w:rsidR="00543C03" w:rsidRPr="00345F22" w:rsidRDefault="00543C03" w:rsidP="000D3C4B">
            <w:pPr>
              <w:jc w:val="center"/>
              <w:rPr>
                <w:vertAlign w:val="subscript"/>
              </w:rPr>
            </w:pPr>
            <w:r>
              <w:rPr>
                <w:sz w:val="20"/>
                <w:szCs w:val="20"/>
              </w:rPr>
              <w:t>Skill level</w:t>
            </w:r>
          </w:p>
        </w:tc>
        <w:tc>
          <w:tcPr>
            <w:tcW w:w="1519" w:type="dxa"/>
            <w:gridSpan w:val="2"/>
            <w:shd w:val="clear" w:color="auto" w:fill="E0D1F5" w:themeFill="accent1" w:themeFillTint="33"/>
            <w:vAlign w:val="center"/>
          </w:tcPr>
          <w:p w14:paraId="06299B15" w14:textId="77777777" w:rsidR="00543C03" w:rsidRPr="006F1FD4" w:rsidRDefault="00543C03" w:rsidP="000D3C4B">
            <w:pPr>
              <w:jc w:val="center"/>
              <w:rPr>
                <w:rFonts w:asciiTheme="minorHAnsi" w:hAnsiTheme="minorHAnsi" w:cstheme="minorHAnsi"/>
                <w:sz w:val="18"/>
                <w:szCs w:val="18"/>
              </w:rPr>
            </w:pPr>
            <w:r>
              <w:rPr>
                <w:rFonts w:asciiTheme="minorHAnsi" w:hAnsiTheme="minorHAnsi" w:cstheme="minorHAnsi"/>
                <w:sz w:val="18"/>
                <w:szCs w:val="18"/>
              </w:rPr>
              <w:t>Baseline</w:t>
            </w:r>
          </w:p>
        </w:tc>
        <w:tc>
          <w:tcPr>
            <w:tcW w:w="3040" w:type="dxa"/>
            <w:gridSpan w:val="4"/>
            <w:shd w:val="clear" w:color="auto" w:fill="F5F8DD" w:themeFill="background2" w:themeFillTint="33"/>
            <w:vAlign w:val="center"/>
          </w:tcPr>
          <w:p w14:paraId="052F34FF" w14:textId="77777777" w:rsidR="00543C03" w:rsidRPr="006F1FD4" w:rsidRDefault="00543C03" w:rsidP="000D3C4B">
            <w:pPr>
              <w:jc w:val="center"/>
              <w:rPr>
                <w:rFonts w:asciiTheme="minorHAnsi" w:hAnsiTheme="minorHAnsi" w:cstheme="minorHAnsi"/>
                <w:sz w:val="18"/>
                <w:szCs w:val="18"/>
              </w:rPr>
            </w:pPr>
            <w:r>
              <w:rPr>
                <w:rFonts w:asciiTheme="minorHAnsi" w:hAnsiTheme="minorHAnsi" w:cstheme="minorHAnsi"/>
                <w:sz w:val="18"/>
                <w:szCs w:val="18"/>
              </w:rPr>
              <w:t>5-year outlook</w:t>
            </w:r>
          </w:p>
        </w:tc>
        <w:tc>
          <w:tcPr>
            <w:tcW w:w="3040" w:type="dxa"/>
            <w:gridSpan w:val="4"/>
            <w:shd w:val="clear" w:color="auto" w:fill="CEE9FB" w:themeFill="accent5" w:themeFillTint="33"/>
            <w:vAlign w:val="center"/>
          </w:tcPr>
          <w:p w14:paraId="7F10CF3C" w14:textId="77777777" w:rsidR="00543C03" w:rsidRPr="006F1FD4" w:rsidRDefault="00543C03" w:rsidP="000D3C4B">
            <w:pPr>
              <w:jc w:val="center"/>
              <w:rPr>
                <w:rFonts w:asciiTheme="minorHAnsi" w:hAnsiTheme="minorHAnsi" w:cstheme="minorHAnsi"/>
                <w:sz w:val="18"/>
                <w:szCs w:val="18"/>
              </w:rPr>
            </w:pPr>
            <w:r>
              <w:rPr>
                <w:rFonts w:asciiTheme="minorHAnsi" w:hAnsiTheme="minorHAnsi" w:cstheme="minorHAnsi"/>
                <w:sz w:val="18"/>
                <w:szCs w:val="18"/>
              </w:rPr>
              <w:t>10-year outlook</w:t>
            </w:r>
          </w:p>
        </w:tc>
      </w:tr>
      <w:tr w:rsidR="00543C03" w:rsidRPr="006F1FD4" w14:paraId="1320CA98" w14:textId="77777777" w:rsidTr="000D3C4B">
        <w:trPr>
          <w:trHeight w:val="381"/>
        </w:trPr>
        <w:tc>
          <w:tcPr>
            <w:tcW w:w="1427" w:type="dxa"/>
            <w:vMerge/>
          </w:tcPr>
          <w:p w14:paraId="50F4FF14" w14:textId="77777777" w:rsidR="00543C03" w:rsidRPr="002E6E36" w:rsidRDefault="00543C03" w:rsidP="000D3C4B"/>
        </w:tc>
        <w:tc>
          <w:tcPr>
            <w:tcW w:w="759" w:type="dxa"/>
            <w:vMerge w:val="restart"/>
            <w:shd w:val="clear" w:color="auto" w:fill="2F005F"/>
            <w:vAlign w:val="center"/>
          </w:tcPr>
          <w:p w14:paraId="61EA7D14" w14:textId="77777777" w:rsidR="00543C03" w:rsidRPr="006F1FD4" w:rsidRDefault="00543C03" w:rsidP="000D3C4B">
            <w:pPr>
              <w:jc w:val="center"/>
              <w:rPr>
                <w:rFonts w:asciiTheme="minorHAnsi" w:hAnsiTheme="minorHAnsi" w:cstheme="minorHAnsi"/>
                <w:sz w:val="18"/>
                <w:szCs w:val="18"/>
              </w:rPr>
            </w:pPr>
            <w:r>
              <w:rPr>
                <w:rFonts w:asciiTheme="minorHAnsi" w:hAnsiTheme="minorHAnsi" w:cstheme="minorHAnsi"/>
                <w:sz w:val="18"/>
                <w:szCs w:val="18"/>
              </w:rPr>
              <w:t>Empl. (‘000) May 2024</w:t>
            </w:r>
          </w:p>
        </w:tc>
        <w:tc>
          <w:tcPr>
            <w:tcW w:w="760" w:type="dxa"/>
            <w:vMerge w:val="restart"/>
            <w:shd w:val="clear" w:color="auto" w:fill="2F005F"/>
            <w:vAlign w:val="center"/>
          </w:tcPr>
          <w:p w14:paraId="7BCD47CC" w14:textId="77777777" w:rsidR="00543C03" w:rsidRPr="006F1FD4" w:rsidRDefault="00543C03" w:rsidP="000D3C4B">
            <w:pPr>
              <w:jc w:val="center"/>
              <w:rPr>
                <w:rFonts w:asciiTheme="minorHAnsi" w:hAnsiTheme="minorHAnsi" w:cstheme="minorHAnsi"/>
                <w:sz w:val="18"/>
                <w:szCs w:val="18"/>
              </w:rPr>
            </w:pPr>
            <w:r>
              <w:rPr>
                <w:rFonts w:asciiTheme="minorHAnsi" w:hAnsiTheme="minorHAnsi" w:cstheme="minorHAnsi"/>
                <w:sz w:val="18"/>
                <w:szCs w:val="18"/>
              </w:rPr>
              <w:t>Share of total empl.</w:t>
            </w:r>
          </w:p>
        </w:tc>
        <w:tc>
          <w:tcPr>
            <w:tcW w:w="760" w:type="dxa"/>
            <w:vMerge w:val="restart"/>
            <w:shd w:val="clear" w:color="auto" w:fill="2F005F"/>
            <w:vAlign w:val="center"/>
          </w:tcPr>
          <w:p w14:paraId="0D484DA8" w14:textId="77777777" w:rsidR="00543C03" w:rsidRPr="006F1FD4" w:rsidRDefault="00543C03" w:rsidP="000D3C4B">
            <w:pPr>
              <w:jc w:val="center"/>
              <w:rPr>
                <w:rFonts w:asciiTheme="minorHAnsi" w:hAnsiTheme="minorHAnsi" w:cstheme="minorHAnsi"/>
                <w:sz w:val="18"/>
                <w:szCs w:val="18"/>
              </w:rPr>
            </w:pPr>
            <w:r>
              <w:rPr>
                <w:rFonts w:asciiTheme="minorHAnsi" w:hAnsiTheme="minorHAnsi" w:cstheme="minorHAnsi"/>
                <w:sz w:val="18"/>
                <w:szCs w:val="18"/>
              </w:rPr>
              <w:t>Empl. (‘000) May 2029</w:t>
            </w:r>
          </w:p>
        </w:tc>
        <w:tc>
          <w:tcPr>
            <w:tcW w:w="760" w:type="dxa"/>
            <w:vMerge w:val="restart"/>
            <w:shd w:val="clear" w:color="auto" w:fill="2F005F"/>
            <w:vAlign w:val="center"/>
          </w:tcPr>
          <w:p w14:paraId="29D7D2EA" w14:textId="77777777" w:rsidR="00543C03" w:rsidRPr="006F1FD4" w:rsidRDefault="00543C03" w:rsidP="000D3C4B">
            <w:pPr>
              <w:jc w:val="center"/>
              <w:rPr>
                <w:rFonts w:asciiTheme="minorHAnsi" w:hAnsiTheme="minorHAnsi" w:cstheme="minorHAnsi"/>
                <w:sz w:val="18"/>
                <w:szCs w:val="18"/>
              </w:rPr>
            </w:pPr>
            <w:r>
              <w:rPr>
                <w:rFonts w:asciiTheme="minorHAnsi" w:hAnsiTheme="minorHAnsi" w:cstheme="minorHAnsi"/>
                <w:sz w:val="18"/>
                <w:szCs w:val="18"/>
              </w:rPr>
              <w:t>Share of total empl.</w:t>
            </w:r>
          </w:p>
        </w:tc>
        <w:tc>
          <w:tcPr>
            <w:tcW w:w="1520" w:type="dxa"/>
            <w:gridSpan w:val="2"/>
            <w:shd w:val="clear" w:color="auto" w:fill="F2F2F2" w:themeFill="background1" w:themeFillShade="F2"/>
            <w:vAlign w:val="center"/>
          </w:tcPr>
          <w:p w14:paraId="57C32D47" w14:textId="77777777" w:rsidR="00543C03" w:rsidRPr="006F1FD4" w:rsidRDefault="00543C03" w:rsidP="000D3C4B">
            <w:pPr>
              <w:jc w:val="center"/>
              <w:rPr>
                <w:rFonts w:asciiTheme="minorHAnsi" w:hAnsiTheme="minorHAnsi" w:cstheme="minorHAnsi"/>
                <w:sz w:val="18"/>
                <w:szCs w:val="18"/>
              </w:rPr>
            </w:pPr>
            <w:r>
              <w:rPr>
                <w:rFonts w:asciiTheme="minorHAnsi" w:hAnsiTheme="minorHAnsi" w:cstheme="minorHAnsi"/>
                <w:sz w:val="18"/>
                <w:szCs w:val="18"/>
              </w:rPr>
              <w:t>Change</w:t>
            </w:r>
          </w:p>
        </w:tc>
        <w:tc>
          <w:tcPr>
            <w:tcW w:w="760" w:type="dxa"/>
            <w:vMerge w:val="restart"/>
            <w:shd w:val="clear" w:color="auto" w:fill="2F005F"/>
            <w:vAlign w:val="center"/>
          </w:tcPr>
          <w:p w14:paraId="75ACE790" w14:textId="77777777" w:rsidR="00543C03" w:rsidRPr="006F1FD4" w:rsidRDefault="00543C03" w:rsidP="000D3C4B">
            <w:pPr>
              <w:jc w:val="center"/>
              <w:rPr>
                <w:rFonts w:asciiTheme="minorHAnsi" w:hAnsiTheme="minorHAnsi" w:cstheme="minorHAnsi"/>
                <w:sz w:val="18"/>
                <w:szCs w:val="18"/>
              </w:rPr>
            </w:pPr>
            <w:r>
              <w:rPr>
                <w:rFonts w:asciiTheme="minorHAnsi" w:hAnsiTheme="minorHAnsi" w:cstheme="minorHAnsi"/>
                <w:sz w:val="18"/>
                <w:szCs w:val="18"/>
              </w:rPr>
              <w:t>Empl. (‘000) May 2034</w:t>
            </w:r>
          </w:p>
        </w:tc>
        <w:tc>
          <w:tcPr>
            <w:tcW w:w="760" w:type="dxa"/>
            <w:vMerge w:val="restart"/>
            <w:shd w:val="clear" w:color="auto" w:fill="2F005F"/>
            <w:vAlign w:val="center"/>
          </w:tcPr>
          <w:p w14:paraId="053C794D" w14:textId="77777777" w:rsidR="00543C03" w:rsidRPr="006F1FD4" w:rsidRDefault="00543C03" w:rsidP="000D3C4B">
            <w:pPr>
              <w:jc w:val="center"/>
              <w:rPr>
                <w:rFonts w:asciiTheme="minorHAnsi" w:hAnsiTheme="minorHAnsi" w:cstheme="minorHAnsi"/>
                <w:sz w:val="18"/>
                <w:szCs w:val="18"/>
              </w:rPr>
            </w:pPr>
            <w:r>
              <w:rPr>
                <w:rFonts w:asciiTheme="minorHAnsi" w:hAnsiTheme="minorHAnsi" w:cstheme="minorHAnsi"/>
                <w:sz w:val="18"/>
                <w:szCs w:val="18"/>
              </w:rPr>
              <w:t>Share of total empl.</w:t>
            </w:r>
          </w:p>
        </w:tc>
        <w:tc>
          <w:tcPr>
            <w:tcW w:w="1520" w:type="dxa"/>
            <w:gridSpan w:val="2"/>
            <w:shd w:val="clear" w:color="auto" w:fill="F2F2F2" w:themeFill="background1" w:themeFillShade="F2"/>
          </w:tcPr>
          <w:p w14:paraId="7C06275B" w14:textId="77777777" w:rsidR="00543C03" w:rsidRPr="006F1FD4" w:rsidRDefault="00543C03" w:rsidP="000D3C4B">
            <w:pPr>
              <w:jc w:val="center"/>
              <w:rPr>
                <w:rFonts w:asciiTheme="minorHAnsi" w:hAnsiTheme="minorHAnsi" w:cstheme="minorHAnsi"/>
                <w:sz w:val="18"/>
                <w:szCs w:val="18"/>
              </w:rPr>
            </w:pPr>
            <w:r>
              <w:rPr>
                <w:rFonts w:asciiTheme="minorHAnsi" w:hAnsiTheme="minorHAnsi" w:cstheme="minorHAnsi"/>
                <w:sz w:val="18"/>
                <w:szCs w:val="18"/>
              </w:rPr>
              <w:t>Change</w:t>
            </w:r>
          </w:p>
        </w:tc>
      </w:tr>
      <w:tr w:rsidR="00543C03" w:rsidRPr="006F1FD4" w14:paraId="7CA30826" w14:textId="77777777" w:rsidTr="000D3C4B">
        <w:trPr>
          <w:cnfStyle w:val="000000010000" w:firstRow="0" w:lastRow="0" w:firstColumn="0" w:lastColumn="0" w:oddVBand="0" w:evenVBand="0" w:oddHBand="0" w:evenHBand="1" w:firstRowFirstColumn="0" w:firstRowLastColumn="0" w:lastRowFirstColumn="0" w:lastRowLastColumn="0"/>
          <w:trHeight w:val="381"/>
        </w:trPr>
        <w:tc>
          <w:tcPr>
            <w:tcW w:w="1427" w:type="dxa"/>
            <w:vMerge/>
          </w:tcPr>
          <w:p w14:paraId="6C08D87F" w14:textId="77777777" w:rsidR="00543C03" w:rsidRPr="00C546A6" w:rsidRDefault="00543C03" w:rsidP="000D3C4B"/>
        </w:tc>
        <w:tc>
          <w:tcPr>
            <w:tcW w:w="759" w:type="dxa"/>
            <w:vMerge/>
            <w:shd w:val="clear" w:color="auto" w:fill="2F005F"/>
            <w:vAlign w:val="center"/>
          </w:tcPr>
          <w:p w14:paraId="2A667194" w14:textId="77777777" w:rsidR="00543C03" w:rsidRPr="006F1FD4" w:rsidRDefault="00543C03" w:rsidP="000D3C4B">
            <w:pPr>
              <w:jc w:val="center"/>
              <w:rPr>
                <w:rFonts w:asciiTheme="minorHAnsi" w:hAnsiTheme="minorHAnsi" w:cstheme="minorHAnsi"/>
                <w:sz w:val="18"/>
                <w:szCs w:val="18"/>
              </w:rPr>
            </w:pPr>
          </w:p>
        </w:tc>
        <w:tc>
          <w:tcPr>
            <w:tcW w:w="760" w:type="dxa"/>
            <w:vMerge/>
            <w:shd w:val="clear" w:color="auto" w:fill="2F005F"/>
            <w:vAlign w:val="center"/>
          </w:tcPr>
          <w:p w14:paraId="372014E8" w14:textId="77777777" w:rsidR="00543C03" w:rsidRPr="006F1FD4" w:rsidRDefault="00543C03" w:rsidP="000D3C4B">
            <w:pPr>
              <w:jc w:val="center"/>
              <w:rPr>
                <w:rFonts w:asciiTheme="minorHAnsi" w:hAnsiTheme="minorHAnsi" w:cstheme="minorHAnsi"/>
                <w:sz w:val="18"/>
                <w:szCs w:val="18"/>
              </w:rPr>
            </w:pPr>
          </w:p>
        </w:tc>
        <w:tc>
          <w:tcPr>
            <w:tcW w:w="760" w:type="dxa"/>
            <w:vMerge/>
            <w:shd w:val="clear" w:color="auto" w:fill="2F005F"/>
            <w:vAlign w:val="center"/>
          </w:tcPr>
          <w:p w14:paraId="64CECF76" w14:textId="77777777" w:rsidR="00543C03" w:rsidRPr="006F1FD4" w:rsidRDefault="00543C03" w:rsidP="000D3C4B">
            <w:pPr>
              <w:jc w:val="center"/>
              <w:rPr>
                <w:rFonts w:asciiTheme="minorHAnsi" w:hAnsiTheme="minorHAnsi" w:cstheme="minorHAnsi"/>
                <w:sz w:val="18"/>
                <w:szCs w:val="18"/>
              </w:rPr>
            </w:pPr>
          </w:p>
        </w:tc>
        <w:tc>
          <w:tcPr>
            <w:tcW w:w="760" w:type="dxa"/>
            <w:vMerge/>
            <w:shd w:val="clear" w:color="auto" w:fill="2F005F"/>
            <w:vAlign w:val="center"/>
          </w:tcPr>
          <w:p w14:paraId="6CF9D122" w14:textId="77777777" w:rsidR="00543C03" w:rsidRPr="006F1FD4" w:rsidRDefault="00543C03" w:rsidP="000D3C4B">
            <w:pPr>
              <w:jc w:val="center"/>
              <w:rPr>
                <w:rFonts w:asciiTheme="minorHAnsi" w:hAnsiTheme="minorHAnsi" w:cstheme="minorHAnsi"/>
                <w:sz w:val="18"/>
                <w:szCs w:val="18"/>
              </w:rPr>
            </w:pPr>
          </w:p>
        </w:tc>
        <w:tc>
          <w:tcPr>
            <w:tcW w:w="760" w:type="dxa"/>
            <w:shd w:val="clear" w:color="auto" w:fill="2F005F"/>
            <w:vAlign w:val="center"/>
          </w:tcPr>
          <w:p w14:paraId="46D8FB70" w14:textId="77777777" w:rsidR="00543C03" w:rsidRPr="006F1FD4" w:rsidRDefault="00543C03" w:rsidP="000D3C4B">
            <w:pPr>
              <w:jc w:val="center"/>
              <w:rPr>
                <w:rFonts w:asciiTheme="minorHAnsi" w:hAnsiTheme="minorHAnsi" w:cstheme="minorHAnsi"/>
                <w:sz w:val="18"/>
                <w:szCs w:val="18"/>
              </w:rPr>
            </w:pPr>
            <w:r>
              <w:rPr>
                <w:rFonts w:asciiTheme="minorHAnsi" w:hAnsiTheme="minorHAnsi" w:cstheme="minorHAnsi"/>
                <w:sz w:val="18"/>
                <w:szCs w:val="18"/>
              </w:rPr>
              <w:t>Level (‘000)</w:t>
            </w:r>
          </w:p>
        </w:tc>
        <w:tc>
          <w:tcPr>
            <w:tcW w:w="760" w:type="dxa"/>
            <w:shd w:val="clear" w:color="auto" w:fill="2F005F"/>
            <w:vAlign w:val="center"/>
          </w:tcPr>
          <w:p w14:paraId="0D32DBB8" w14:textId="77777777" w:rsidR="00543C03" w:rsidRPr="006F1FD4" w:rsidRDefault="00543C03" w:rsidP="000D3C4B">
            <w:pPr>
              <w:jc w:val="center"/>
              <w:rPr>
                <w:rFonts w:asciiTheme="minorHAnsi" w:hAnsiTheme="minorHAnsi" w:cstheme="minorHAnsi"/>
                <w:sz w:val="18"/>
                <w:szCs w:val="18"/>
              </w:rPr>
            </w:pPr>
            <w:r>
              <w:rPr>
                <w:rFonts w:asciiTheme="minorHAnsi" w:hAnsiTheme="minorHAnsi" w:cstheme="minorHAnsi"/>
                <w:sz w:val="18"/>
                <w:szCs w:val="18"/>
              </w:rPr>
              <w:t>%</w:t>
            </w:r>
          </w:p>
        </w:tc>
        <w:tc>
          <w:tcPr>
            <w:tcW w:w="760" w:type="dxa"/>
            <w:vMerge/>
            <w:shd w:val="clear" w:color="auto" w:fill="2F005F"/>
            <w:vAlign w:val="center"/>
          </w:tcPr>
          <w:p w14:paraId="7323E820" w14:textId="77777777" w:rsidR="00543C03" w:rsidRPr="006F1FD4" w:rsidRDefault="00543C03" w:rsidP="000D3C4B">
            <w:pPr>
              <w:jc w:val="center"/>
              <w:rPr>
                <w:rFonts w:asciiTheme="minorHAnsi" w:hAnsiTheme="minorHAnsi" w:cstheme="minorHAnsi"/>
                <w:sz w:val="18"/>
                <w:szCs w:val="18"/>
              </w:rPr>
            </w:pPr>
          </w:p>
        </w:tc>
        <w:tc>
          <w:tcPr>
            <w:tcW w:w="760" w:type="dxa"/>
            <w:vMerge/>
            <w:shd w:val="clear" w:color="auto" w:fill="2F005F"/>
            <w:vAlign w:val="center"/>
          </w:tcPr>
          <w:p w14:paraId="438CFC00" w14:textId="77777777" w:rsidR="00543C03" w:rsidRPr="006F1FD4" w:rsidRDefault="00543C03" w:rsidP="000D3C4B">
            <w:pPr>
              <w:jc w:val="center"/>
              <w:rPr>
                <w:rFonts w:asciiTheme="minorHAnsi" w:hAnsiTheme="minorHAnsi" w:cstheme="minorHAnsi"/>
                <w:sz w:val="18"/>
                <w:szCs w:val="18"/>
              </w:rPr>
            </w:pPr>
          </w:p>
        </w:tc>
        <w:tc>
          <w:tcPr>
            <w:tcW w:w="760" w:type="dxa"/>
            <w:shd w:val="clear" w:color="auto" w:fill="2F005F"/>
            <w:vAlign w:val="center"/>
          </w:tcPr>
          <w:p w14:paraId="12AC66E4" w14:textId="77777777" w:rsidR="00543C03" w:rsidRPr="006F1FD4" w:rsidRDefault="00543C03" w:rsidP="000D3C4B">
            <w:pPr>
              <w:jc w:val="center"/>
              <w:rPr>
                <w:rFonts w:asciiTheme="minorHAnsi" w:hAnsiTheme="minorHAnsi" w:cstheme="minorHAnsi"/>
                <w:sz w:val="18"/>
                <w:szCs w:val="18"/>
              </w:rPr>
            </w:pPr>
            <w:r>
              <w:rPr>
                <w:rFonts w:asciiTheme="minorHAnsi" w:hAnsiTheme="minorHAnsi" w:cstheme="minorHAnsi"/>
                <w:sz w:val="18"/>
                <w:szCs w:val="18"/>
              </w:rPr>
              <w:t>Level (‘000)</w:t>
            </w:r>
          </w:p>
        </w:tc>
        <w:tc>
          <w:tcPr>
            <w:tcW w:w="760" w:type="dxa"/>
            <w:shd w:val="clear" w:color="auto" w:fill="2F005F"/>
            <w:vAlign w:val="center"/>
          </w:tcPr>
          <w:p w14:paraId="7AF3F8F7" w14:textId="77777777" w:rsidR="00543C03" w:rsidRPr="006F1FD4" w:rsidRDefault="00543C03" w:rsidP="000D3C4B">
            <w:pPr>
              <w:jc w:val="center"/>
              <w:rPr>
                <w:rFonts w:asciiTheme="minorHAnsi" w:hAnsiTheme="minorHAnsi" w:cstheme="minorHAnsi"/>
                <w:sz w:val="18"/>
                <w:szCs w:val="18"/>
              </w:rPr>
            </w:pPr>
            <w:r>
              <w:rPr>
                <w:rFonts w:asciiTheme="minorHAnsi" w:hAnsiTheme="minorHAnsi" w:cstheme="minorHAnsi"/>
                <w:sz w:val="18"/>
                <w:szCs w:val="18"/>
              </w:rPr>
              <w:t>%</w:t>
            </w:r>
          </w:p>
        </w:tc>
      </w:tr>
      <w:tr w:rsidR="00FC3B84" w:rsidRPr="00B11180" w14:paraId="699F8346" w14:textId="77777777" w:rsidTr="00FC3B84">
        <w:trPr>
          <w:trHeight w:val="381"/>
        </w:trPr>
        <w:tc>
          <w:tcPr>
            <w:tcW w:w="1427" w:type="dxa"/>
            <w:vAlign w:val="center"/>
          </w:tcPr>
          <w:p w14:paraId="157C93B7" w14:textId="6A435090" w:rsidR="00FC3B84" w:rsidRPr="00FC3B84" w:rsidRDefault="00FC3B84" w:rsidP="00FC3B84">
            <w:pPr>
              <w:jc w:val="center"/>
              <w:rPr>
                <w:rFonts w:asciiTheme="minorHAnsi" w:hAnsiTheme="minorHAnsi" w:cstheme="minorHAnsi"/>
                <w:sz w:val="18"/>
                <w:szCs w:val="18"/>
              </w:rPr>
            </w:pPr>
            <w:r w:rsidRPr="00FC3B84">
              <w:rPr>
                <w:sz w:val="18"/>
                <w:szCs w:val="18"/>
              </w:rPr>
              <w:t>Skill level 1</w:t>
            </w:r>
          </w:p>
        </w:tc>
        <w:tc>
          <w:tcPr>
            <w:tcW w:w="759" w:type="dxa"/>
            <w:vAlign w:val="center"/>
          </w:tcPr>
          <w:p w14:paraId="673B9B56" w14:textId="24AB5C91" w:rsidR="00FC3B84" w:rsidRPr="00FC3B84" w:rsidRDefault="00FC3B84" w:rsidP="00FC3B84">
            <w:pPr>
              <w:jc w:val="center"/>
              <w:rPr>
                <w:rFonts w:asciiTheme="minorHAnsi" w:hAnsiTheme="minorHAnsi" w:cstheme="minorHAnsi"/>
                <w:sz w:val="16"/>
                <w:szCs w:val="16"/>
              </w:rPr>
            </w:pPr>
            <w:r w:rsidRPr="00FC3B84">
              <w:rPr>
                <w:sz w:val="16"/>
                <w:szCs w:val="16"/>
              </w:rPr>
              <w:t>4,940.4</w:t>
            </w:r>
          </w:p>
        </w:tc>
        <w:tc>
          <w:tcPr>
            <w:tcW w:w="760" w:type="dxa"/>
            <w:vAlign w:val="center"/>
          </w:tcPr>
          <w:p w14:paraId="74C3137F" w14:textId="6443FAC4" w:rsidR="00FC3B84" w:rsidRPr="00FC3B84" w:rsidRDefault="00FC3B84" w:rsidP="00FC3B84">
            <w:pPr>
              <w:jc w:val="center"/>
              <w:rPr>
                <w:rFonts w:asciiTheme="minorHAnsi" w:hAnsiTheme="minorHAnsi" w:cstheme="minorHAnsi"/>
                <w:sz w:val="18"/>
                <w:szCs w:val="18"/>
              </w:rPr>
            </w:pPr>
            <w:r w:rsidRPr="00FC3B84">
              <w:rPr>
                <w:sz w:val="18"/>
                <w:szCs w:val="18"/>
              </w:rPr>
              <w:t>34.4%</w:t>
            </w:r>
          </w:p>
        </w:tc>
        <w:tc>
          <w:tcPr>
            <w:tcW w:w="760" w:type="dxa"/>
            <w:vAlign w:val="center"/>
          </w:tcPr>
          <w:p w14:paraId="7ACFE67F" w14:textId="0659C515" w:rsidR="00FC3B84" w:rsidRPr="00FC3B84" w:rsidRDefault="00FC3B84" w:rsidP="00FC3B84">
            <w:pPr>
              <w:jc w:val="center"/>
              <w:rPr>
                <w:rFonts w:asciiTheme="minorHAnsi" w:hAnsiTheme="minorHAnsi" w:cstheme="minorHAnsi"/>
                <w:sz w:val="16"/>
                <w:szCs w:val="16"/>
              </w:rPr>
            </w:pPr>
            <w:r w:rsidRPr="00FC3B84">
              <w:rPr>
                <w:sz w:val="16"/>
                <w:szCs w:val="16"/>
              </w:rPr>
              <w:t>5,465.5</w:t>
            </w:r>
          </w:p>
        </w:tc>
        <w:tc>
          <w:tcPr>
            <w:tcW w:w="760" w:type="dxa"/>
            <w:vAlign w:val="center"/>
          </w:tcPr>
          <w:p w14:paraId="14CA7D9E" w14:textId="319ABF51" w:rsidR="00FC3B84" w:rsidRPr="00FC3B84" w:rsidRDefault="00FC3B84" w:rsidP="00FC3B84">
            <w:pPr>
              <w:jc w:val="center"/>
              <w:rPr>
                <w:rFonts w:asciiTheme="minorHAnsi" w:hAnsiTheme="minorHAnsi" w:cstheme="minorHAnsi"/>
                <w:sz w:val="18"/>
                <w:szCs w:val="18"/>
              </w:rPr>
            </w:pPr>
            <w:r w:rsidRPr="00FC3B84">
              <w:rPr>
                <w:sz w:val="18"/>
                <w:szCs w:val="18"/>
              </w:rPr>
              <w:t>35.7%</w:t>
            </w:r>
          </w:p>
        </w:tc>
        <w:tc>
          <w:tcPr>
            <w:tcW w:w="760" w:type="dxa"/>
            <w:vAlign w:val="center"/>
          </w:tcPr>
          <w:p w14:paraId="3741C408" w14:textId="086E1A0D" w:rsidR="00FC3B84" w:rsidRPr="00FC3B84" w:rsidRDefault="00FC3B84" w:rsidP="00FC3B84">
            <w:pPr>
              <w:jc w:val="center"/>
              <w:rPr>
                <w:rFonts w:asciiTheme="minorHAnsi" w:hAnsiTheme="minorHAnsi" w:cstheme="minorHAnsi"/>
                <w:sz w:val="18"/>
                <w:szCs w:val="18"/>
              </w:rPr>
            </w:pPr>
            <w:r w:rsidRPr="00FC3B84">
              <w:rPr>
                <w:sz w:val="18"/>
                <w:szCs w:val="18"/>
              </w:rPr>
              <w:t>525.1</w:t>
            </w:r>
          </w:p>
        </w:tc>
        <w:tc>
          <w:tcPr>
            <w:tcW w:w="760" w:type="dxa"/>
            <w:vAlign w:val="center"/>
          </w:tcPr>
          <w:p w14:paraId="710A3222" w14:textId="5B4D2199" w:rsidR="00FC3B84" w:rsidRPr="00FC3B84" w:rsidRDefault="00FC3B84" w:rsidP="00FC3B84">
            <w:pPr>
              <w:jc w:val="center"/>
              <w:rPr>
                <w:rFonts w:asciiTheme="minorHAnsi" w:hAnsiTheme="minorHAnsi" w:cstheme="minorHAnsi"/>
                <w:sz w:val="18"/>
                <w:szCs w:val="18"/>
              </w:rPr>
            </w:pPr>
            <w:r w:rsidRPr="00FC3B84">
              <w:rPr>
                <w:sz w:val="18"/>
                <w:szCs w:val="18"/>
              </w:rPr>
              <w:t>10.6%</w:t>
            </w:r>
          </w:p>
        </w:tc>
        <w:tc>
          <w:tcPr>
            <w:tcW w:w="760" w:type="dxa"/>
            <w:vAlign w:val="center"/>
          </w:tcPr>
          <w:p w14:paraId="2F322A47" w14:textId="6C6C8EA4" w:rsidR="00FC3B84" w:rsidRPr="00FC3B84" w:rsidRDefault="00FC3B84" w:rsidP="00FC3B84">
            <w:pPr>
              <w:jc w:val="center"/>
              <w:rPr>
                <w:rFonts w:asciiTheme="minorHAnsi" w:hAnsiTheme="minorHAnsi" w:cstheme="minorHAnsi"/>
                <w:sz w:val="16"/>
                <w:szCs w:val="16"/>
              </w:rPr>
            </w:pPr>
            <w:r w:rsidRPr="00FC3B84">
              <w:rPr>
                <w:sz w:val="16"/>
                <w:szCs w:val="16"/>
              </w:rPr>
              <w:t>5,940.5</w:t>
            </w:r>
          </w:p>
        </w:tc>
        <w:tc>
          <w:tcPr>
            <w:tcW w:w="760" w:type="dxa"/>
            <w:vAlign w:val="center"/>
          </w:tcPr>
          <w:p w14:paraId="328CBD3C" w14:textId="088C1E26" w:rsidR="00FC3B84" w:rsidRPr="00FC3B84" w:rsidRDefault="00FC3B84" w:rsidP="00FC3B84">
            <w:pPr>
              <w:jc w:val="center"/>
              <w:rPr>
                <w:rFonts w:asciiTheme="minorHAnsi" w:hAnsiTheme="minorHAnsi" w:cstheme="minorHAnsi"/>
                <w:sz w:val="18"/>
                <w:szCs w:val="18"/>
              </w:rPr>
            </w:pPr>
            <w:r w:rsidRPr="00FC3B84">
              <w:rPr>
                <w:sz w:val="18"/>
                <w:szCs w:val="18"/>
              </w:rPr>
              <w:t>36.4%</w:t>
            </w:r>
          </w:p>
        </w:tc>
        <w:tc>
          <w:tcPr>
            <w:tcW w:w="760" w:type="dxa"/>
            <w:vAlign w:val="center"/>
          </w:tcPr>
          <w:p w14:paraId="5C447FA9" w14:textId="426D1513" w:rsidR="00FC3B84" w:rsidRPr="00FC3B84" w:rsidRDefault="00FC3B84" w:rsidP="00FC3B84">
            <w:pPr>
              <w:jc w:val="center"/>
              <w:rPr>
                <w:rFonts w:asciiTheme="minorHAnsi" w:hAnsiTheme="minorHAnsi" w:cstheme="minorHAnsi"/>
                <w:sz w:val="18"/>
                <w:szCs w:val="18"/>
              </w:rPr>
            </w:pPr>
            <w:r w:rsidRPr="00FC3B84">
              <w:rPr>
                <w:sz w:val="16"/>
                <w:szCs w:val="16"/>
              </w:rPr>
              <w:t>1,000.1</w:t>
            </w:r>
          </w:p>
        </w:tc>
        <w:tc>
          <w:tcPr>
            <w:tcW w:w="760" w:type="dxa"/>
            <w:vAlign w:val="center"/>
          </w:tcPr>
          <w:p w14:paraId="4AE26091" w14:textId="36669566" w:rsidR="00FC3B84" w:rsidRPr="00FC3B84" w:rsidRDefault="00FC3B84" w:rsidP="00FC3B84">
            <w:pPr>
              <w:jc w:val="center"/>
              <w:rPr>
                <w:rFonts w:asciiTheme="minorHAnsi" w:hAnsiTheme="minorHAnsi" w:cstheme="minorHAnsi"/>
                <w:sz w:val="18"/>
                <w:szCs w:val="18"/>
              </w:rPr>
            </w:pPr>
            <w:r w:rsidRPr="00FC3B84">
              <w:rPr>
                <w:sz w:val="18"/>
                <w:szCs w:val="18"/>
              </w:rPr>
              <w:t>20.2%</w:t>
            </w:r>
          </w:p>
        </w:tc>
      </w:tr>
      <w:tr w:rsidR="00FC3B84" w:rsidRPr="00B11180" w14:paraId="4583AA56" w14:textId="77777777" w:rsidTr="00FC3B84">
        <w:trPr>
          <w:cnfStyle w:val="000000010000" w:firstRow="0" w:lastRow="0" w:firstColumn="0" w:lastColumn="0" w:oddVBand="0" w:evenVBand="0" w:oddHBand="0" w:evenHBand="1" w:firstRowFirstColumn="0" w:firstRowLastColumn="0" w:lastRowFirstColumn="0" w:lastRowLastColumn="0"/>
          <w:trHeight w:val="366"/>
        </w:trPr>
        <w:tc>
          <w:tcPr>
            <w:tcW w:w="1427" w:type="dxa"/>
            <w:vAlign w:val="center"/>
          </w:tcPr>
          <w:p w14:paraId="277C0426" w14:textId="187E2FD1" w:rsidR="00FC3B84" w:rsidRPr="00FC3B84" w:rsidRDefault="00FC3B84" w:rsidP="00FC3B84">
            <w:pPr>
              <w:jc w:val="center"/>
              <w:rPr>
                <w:rFonts w:asciiTheme="minorHAnsi" w:hAnsiTheme="minorHAnsi" w:cstheme="minorHAnsi"/>
                <w:sz w:val="18"/>
                <w:szCs w:val="18"/>
              </w:rPr>
            </w:pPr>
            <w:r w:rsidRPr="00FC3B84">
              <w:rPr>
                <w:sz w:val="18"/>
                <w:szCs w:val="18"/>
              </w:rPr>
              <w:t>Skill level 2</w:t>
            </w:r>
          </w:p>
        </w:tc>
        <w:tc>
          <w:tcPr>
            <w:tcW w:w="759" w:type="dxa"/>
            <w:vAlign w:val="center"/>
          </w:tcPr>
          <w:p w14:paraId="5BB7F8F9" w14:textId="1F6C91D4" w:rsidR="00FC3B84" w:rsidRPr="00FC3B84" w:rsidRDefault="00FC3B84" w:rsidP="00FC3B84">
            <w:pPr>
              <w:jc w:val="center"/>
              <w:rPr>
                <w:rFonts w:asciiTheme="minorHAnsi" w:hAnsiTheme="minorHAnsi" w:cstheme="minorHAnsi"/>
                <w:sz w:val="16"/>
                <w:szCs w:val="16"/>
              </w:rPr>
            </w:pPr>
            <w:r w:rsidRPr="00FC3B84">
              <w:rPr>
                <w:sz w:val="16"/>
                <w:szCs w:val="16"/>
              </w:rPr>
              <w:t>1,753.9</w:t>
            </w:r>
          </w:p>
        </w:tc>
        <w:tc>
          <w:tcPr>
            <w:tcW w:w="760" w:type="dxa"/>
            <w:vAlign w:val="center"/>
          </w:tcPr>
          <w:p w14:paraId="3BD75A20" w14:textId="7BAE8A45" w:rsidR="00FC3B84" w:rsidRPr="00FC3B84" w:rsidRDefault="00FC3B84" w:rsidP="00FC3B84">
            <w:pPr>
              <w:jc w:val="center"/>
              <w:rPr>
                <w:rFonts w:asciiTheme="minorHAnsi" w:hAnsiTheme="minorHAnsi" w:cstheme="minorHAnsi"/>
                <w:sz w:val="18"/>
                <w:szCs w:val="18"/>
              </w:rPr>
            </w:pPr>
            <w:r w:rsidRPr="00FC3B84">
              <w:rPr>
                <w:sz w:val="18"/>
                <w:szCs w:val="18"/>
              </w:rPr>
              <w:t>12.2%</w:t>
            </w:r>
          </w:p>
        </w:tc>
        <w:tc>
          <w:tcPr>
            <w:tcW w:w="760" w:type="dxa"/>
            <w:vAlign w:val="center"/>
          </w:tcPr>
          <w:p w14:paraId="4FA94628" w14:textId="16F1DDFB" w:rsidR="00FC3B84" w:rsidRPr="00FC3B84" w:rsidRDefault="00FC3B84" w:rsidP="00FC3B84">
            <w:pPr>
              <w:jc w:val="center"/>
              <w:rPr>
                <w:rFonts w:asciiTheme="minorHAnsi" w:hAnsiTheme="minorHAnsi" w:cstheme="minorHAnsi"/>
                <w:sz w:val="16"/>
                <w:szCs w:val="16"/>
              </w:rPr>
            </w:pPr>
            <w:r w:rsidRPr="00FC3B84">
              <w:rPr>
                <w:sz w:val="16"/>
                <w:szCs w:val="16"/>
              </w:rPr>
              <w:t>1,846.9</w:t>
            </w:r>
          </w:p>
        </w:tc>
        <w:tc>
          <w:tcPr>
            <w:tcW w:w="760" w:type="dxa"/>
            <w:vAlign w:val="center"/>
          </w:tcPr>
          <w:p w14:paraId="2BF53FC7" w14:textId="57FD9716" w:rsidR="00FC3B84" w:rsidRPr="00FC3B84" w:rsidRDefault="00FC3B84" w:rsidP="00FC3B84">
            <w:pPr>
              <w:jc w:val="center"/>
              <w:rPr>
                <w:rFonts w:asciiTheme="minorHAnsi" w:hAnsiTheme="minorHAnsi" w:cstheme="minorHAnsi"/>
                <w:sz w:val="18"/>
                <w:szCs w:val="18"/>
              </w:rPr>
            </w:pPr>
            <w:r w:rsidRPr="00FC3B84">
              <w:rPr>
                <w:sz w:val="18"/>
                <w:szCs w:val="18"/>
              </w:rPr>
              <w:t>12.1%</w:t>
            </w:r>
          </w:p>
        </w:tc>
        <w:tc>
          <w:tcPr>
            <w:tcW w:w="760" w:type="dxa"/>
            <w:vAlign w:val="center"/>
          </w:tcPr>
          <w:p w14:paraId="7A9C8790" w14:textId="6EE91132" w:rsidR="00FC3B84" w:rsidRPr="00FC3B84" w:rsidRDefault="00FC3B84" w:rsidP="00FC3B84">
            <w:pPr>
              <w:jc w:val="center"/>
              <w:rPr>
                <w:rFonts w:asciiTheme="minorHAnsi" w:hAnsiTheme="minorHAnsi" w:cstheme="minorHAnsi"/>
                <w:sz w:val="18"/>
                <w:szCs w:val="18"/>
              </w:rPr>
            </w:pPr>
            <w:r w:rsidRPr="00FC3B84">
              <w:rPr>
                <w:sz w:val="18"/>
                <w:szCs w:val="18"/>
              </w:rPr>
              <w:t>93.0</w:t>
            </w:r>
          </w:p>
        </w:tc>
        <w:tc>
          <w:tcPr>
            <w:tcW w:w="760" w:type="dxa"/>
            <w:vAlign w:val="center"/>
          </w:tcPr>
          <w:p w14:paraId="62098A15" w14:textId="507D1641" w:rsidR="00FC3B84" w:rsidRPr="00FC3B84" w:rsidRDefault="00FC3B84" w:rsidP="00FC3B84">
            <w:pPr>
              <w:jc w:val="center"/>
              <w:rPr>
                <w:rFonts w:asciiTheme="minorHAnsi" w:hAnsiTheme="minorHAnsi" w:cstheme="minorHAnsi"/>
                <w:sz w:val="18"/>
                <w:szCs w:val="18"/>
              </w:rPr>
            </w:pPr>
            <w:r w:rsidRPr="00FC3B84">
              <w:rPr>
                <w:sz w:val="18"/>
                <w:szCs w:val="18"/>
              </w:rPr>
              <w:t>5.3%</w:t>
            </w:r>
          </w:p>
        </w:tc>
        <w:tc>
          <w:tcPr>
            <w:tcW w:w="760" w:type="dxa"/>
            <w:vAlign w:val="center"/>
          </w:tcPr>
          <w:p w14:paraId="230341B0" w14:textId="520B440D" w:rsidR="00FC3B84" w:rsidRPr="00FC3B84" w:rsidRDefault="00FC3B84" w:rsidP="00FC3B84">
            <w:pPr>
              <w:jc w:val="center"/>
              <w:rPr>
                <w:rFonts w:asciiTheme="minorHAnsi" w:hAnsiTheme="minorHAnsi" w:cstheme="minorHAnsi"/>
                <w:sz w:val="16"/>
                <w:szCs w:val="16"/>
              </w:rPr>
            </w:pPr>
            <w:r w:rsidRPr="00FC3B84">
              <w:rPr>
                <w:sz w:val="16"/>
                <w:szCs w:val="16"/>
              </w:rPr>
              <w:t>1,960.3</w:t>
            </w:r>
          </w:p>
        </w:tc>
        <w:tc>
          <w:tcPr>
            <w:tcW w:w="760" w:type="dxa"/>
            <w:vAlign w:val="center"/>
          </w:tcPr>
          <w:p w14:paraId="4EFBD2A8" w14:textId="40D2A497" w:rsidR="00FC3B84" w:rsidRPr="00FC3B84" w:rsidRDefault="00FC3B84" w:rsidP="00FC3B84">
            <w:pPr>
              <w:jc w:val="center"/>
              <w:rPr>
                <w:rFonts w:asciiTheme="minorHAnsi" w:hAnsiTheme="minorHAnsi" w:cstheme="minorHAnsi"/>
                <w:sz w:val="18"/>
                <w:szCs w:val="18"/>
              </w:rPr>
            </w:pPr>
            <w:r w:rsidRPr="00FC3B84">
              <w:rPr>
                <w:sz w:val="18"/>
                <w:szCs w:val="18"/>
              </w:rPr>
              <w:t>12.0%</w:t>
            </w:r>
          </w:p>
        </w:tc>
        <w:tc>
          <w:tcPr>
            <w:tcW w:w="760" w:type="dxa"/>
            <w:vAlign w:val="center"/>
          </w:tcPr>
          <w:p w14:paraId="2DCD4914" w14:textId="18BD32A9" w:rsidR="00FC3B84" w:rsidRPr="00FC3B84" w:rsidRDefault="00FC3B84" w:rsidP="00FC3B84">
            <w:pPr>
              <w:jc w:val="center"/>
              <w:rPr>
                <w:rFonts w:asciiTheme="minorHAnsi" w:hAnsiTheme="minorHAnsi" w:cstheme="minorHAnsi"/>
                <w:sz w:val="18"/>
                <w:szCs w:val="18"/>
              </w:rPr>
            </w:pPr>
            <w:r w:rsidRPr="00FC3B84">
              <w:rPr>
                <w:sz w:val="18"/>
                <w:szCs w:val="18"/>
              </w:rPr>
              <w:t>206.3</w:t>
            </w:r>
          </w:p>
        </w:tc>
        <w:tc>
          <w:tcPr>
            <w:tcW w:w="760" w:type="dxa"/>
            <w:vAlign w:val="center"/>
          </w:tcPr>
          <w:p w14:paraId="37795A22" w14:textId="00278E22" w:rsidR="00FC3B84" w:rsidRPr="00FC3B84" w:rsidRDefault="00FC3B84" w:rsidP="00FC3B84">
            <w:pPr>
              <w:jc w:val="center"/>
              <w:rPr>
                <w:rFonts w:asciiTheme="minorHAnsi" w:hAnsiTheme="minorHAnsi" w:cstheme="minorHAnsi"/>
                <w:sz w:val="18"/>
                <w:szCs w:val="18"/>
              </w:rPr>
            </w:pPr>
            <w:r w:rsidRPr="00FC3B84">
              <w:rPr>
                <w:sz w:val="18"/>
                <w:szCs w:val="18"/>
              </w:rPr>
              <w:t>11.8%</w:t>
            </w:r>
          </w:p>
        </w:tc>
      </w:tr>
      <w:tr w:rsidR="00FC3B84" w:rsidRPr="00B11180" w14:paraId="01A2E9AD" w14:textId="77777777" w:rsidTr="00FC3B84">
        <w:trPr>
          <w:trHeight w:val="366"/>
        </w:trPr>
        <w:tc>
          <w:tcPr>
            <w:tcW w:w="1427" w:type="dxa"/>
            <w:vAlign w:val="center"/>
          </w:tcPr>
          <w:p w14:paraId="672A72DE" w14:textId="08845B89" w:rsidR="00FC3B84" w:rsidRPr="00FC3B84" w:rsidRDefault="00FC3B84" w:rsidP="00FC3B84">
            <w:pPr>
              <w:jc w:val="center"/>
              <w:rPr>
                <w:rFonts w:asciiTheme="minorHAnsi" w:hAnsiTheme="minorHAnsi" w:cstheme="minorHAnsi"/>
                <w:sz w:val="18"/>
                <w:szCs w:val="18"/>
              </w:rPr>
            </w:pPr>
            <w:r w:rsidRPr="00FC3B84">
              <w:rPr>
                <w:sz w:val="18"/>
                <w:szCs w:val="18"/>
              </w:rPr>
              <w:t>Skill level 3</w:t>
            </w:r>
          </w:p>
        </w:tc>
        <w:tc>
          <w:tcPr>
            <w:tcW w:w="759" w:type="dxa"/>
            <w:vAlign w:val="center"/>
          </w:tcPr>
          <w:p w14:paraId="62858F61" w14:textId="084F8A8C" w:rsidR="00FC3B84" w:rsidRPr="00FC3B84" w:rsidRDefault="00FC3B84" w:rsidP="00FC3B84">
            <w:pPr>
              <w:jc w:val="center"/>
              <w:rPr>
                <w:rFonts w:asciiTheme="minorHAnsi" w:hAnsiTheme="minorHAnsi" w:cstheme="minorHAnsi"/>
                <w:sz w:val="16"/>
                <w:szCs w:val="16"/>
              </w:rPr>
            </w:pPr>
            <w:r w:rsidRPr="00FC3B84">
              <w:rPr>
                <w:sz w:val="16"/>
                <w:szCs w:val="16"/>
              </w:rPr>
              <w:t>2,106.0</w:t>
            </w:r>
          </w:p>
        </w:tc>
        <w:tc>
          <w:tcPr>
            <w:tcW w:w="760" w:type="dxa"/>
            <w:vAlign w:val="center"/>
          </w:tcPr>
          <w:p w14:paraId="38DA692F" w14:textId="34102FE4" w:rsidR="00FC3B84" w:rsidRPr="00FC3B84" w:rsidRDefault="00FC3B84" w:rsidP="00FC3B84">
            <w:pPr>
              <w:jc w:val="center"/>
              <w:rPr>
                <w:rFonts w:asciiTheme="minorHAnsi" w:hAnsiTheme="minorHAnsi" w:cstheme="minorHAnsi"/>
                <w:sz w:val="18"/>
                <w:szCs w:val="18"/>
              </w:rPr>
            </w:pPr>
            <w:r w:rsidRPr="00FC3B84">
              <w:rPr>
                <w:sz w:val="18"/>
                <w:szCs w:val="18"/>
              </w:rPr>
              <w:t>14.7%</w:t>
            </w:r>
          </w:p>
        </w:tc>
        <w:tc>
          <w:tcPr>
            <w:tcW w:w="760" w:type="dxa"/>
            <w:vAlign w:val="center"/>
          </w:tcPr>
          <w:p w14:paraId="2E020DF6" w14:textId="295D1D7D" w:rsidR="00FC3B84" w:rsidRPr="00FC3B84" w:rsidRDefault="00FC3B84" w:rsidP="00FC3B84">
            <w:pPr>
              <w:jc w:val="center"/>
              <w:rPr>
                <w:rFonts w:asciiTheme="minorHAnsi" w:hAnsiTheme="minorHAnsi" w:cstheme="minorHAnsi"/>
                <w:sz w:val="16"/>
                <w:szCs w:val="16"/>
              </w:rPr>
            </w:pPr>
            <w:r w:rsidRPr="00FC3B84">
              <w:rPr>
                <w:sz w:val="16"/>
                <w:szCs w:val="16"/>
              </w:rPr>
              <w:t>2,173.4</w:t>
            </w:r>
          </w:p>
        </w:tc>
        <w:tc>
          <w:tcPr>
            <w:tcW w:w="760" w:type="dxa"/>
            <w:vAlign w:val="center"/>
          </w:tcPr>
          <w:p w14:paraId="1FDE60B3" w14:textId="56835799" w:rsidR="00FC3B84" w:rsidRPr="00FC3B84" w:rsidRDefault="00FC3B84" w:rsidP="00FC3B84">
            <w:pPr>
              <w:jc w:val="center"/>
              <w:rPr>
                <w:rFonts w:asciiTheme="minorHAnsi" w:hAnsiTheme="minorHAnsi" w:cstheme="minorHAnsi"/>
                <w:sz w:val="18"/>
                <w:szCs w:val="18"/>
              </w:rPr>
            </w:pPr>
            <w:r w:rsidRPr="00FC3B84">
              <w:rPr>
                <w:sz w:val="18"/>
                <w:szCs w:val="18"/>
              </w:rPr>
              <w:t>14.2%</w:t>
            </w:r>
          </w:p>
        </w:tc>
        <w:tc>
          <w:tcPr>
            <w:tcW w:w="760" w:type="dxa"/>
            <w:vAlign w:val="center"/>
          </w:tcPr>
          <w:p w14:paraId="31306DB3" w14:textId="7DBCF6C0" w:rsidR="00FC3B84" w:rsidRPr="00FC3B84" w:rsidRDefault="00FC3B84" w:rsidP="00FC3B84">
            <w:pPr>
              <w:jc w:val="center"/>
              <w:rPr>
                <w:rFonts w:asciiTheme="minorHAnsi" w:hAnsiTheme="minorHAnsi" w:cstheme="minorHAnsi"/>
                <w:sz w:val="18"/>
                <w:szCs w:val="18"/>
              </w:rPr>
            </w:pPr>
            <w:r w:rsidRPr="00FC3B84">
              <w:rPr>
                <w:sz w:val="18"/>
                <w:szCs w:val="18"/>
              </w:rPr>
              <w:t>67.4</w:t>
            </w:r>
          </w:p>
        </w:tc>
        <w:tc>
          <w:tcPr>
            <w:tcW w:w="760" w:type="dxa"/>
            <w:vAlign w:val="center"/>
          </w:tcPr>
          <w:p w14:paraId="29ED281F" w14:textId="172576B3" w:rsidR="00FC3B84" w:rsidRPr="00FC3B84" w:rsidRDefault="00FC3B84" w:rsidP="00FC3B84">
            <w:pPr>
              <w:jc w:val="center"/>
              <w:rPr>
                <w:rFonts w:asciiTheme="minorHAnsi" w:hAnsiTheme="minorHAnsi" w:cstheme="minorHAnsi"/>
                <w:sz w:val="18"/>
                <w:szCs w:val="18"/>
              </w:rPr>
            </w:pPr>
            <w:r w:rsidRPr="00FC3B84">
              <w:rPr>
                <w:sz w:val="18"/>
                <w:szCs w:val="18"/>
              </w:rPr>
              <w:t>3.2%</w:t>
            </w:r>
          </w:p>
        </w:tc>
        <w:tc>
          <w:tcPr>
            <w:tcW w:w="760" w:type="dxa"/>
            <w:vAlign w:val="center"/>
          </w:tcPr>
          <w:p w14:paraId="0A28FAAB" w14:textId="720A1436" w:rsidR="00FC3B84" w:rsidRPr="00FC3B84" w:rsidRDefault="00FC3B84" w:rsidP="00FC3B84">
            <w:pPr>
              <w:jc w:val="center"/>
              <w:rPr>
                <w:rFonts w:asciiTheme="minorHAnsi" w:hAnsiTheme="minorHAnsi" w:cstheme="minorHAnsi"/>
                <w:sz w:val="16"/>
                <w:szCs w:val="16"/>
              </w:rPr>
            </w:pPr>
            <w:r w:rsidRPr="00FC3B84">
              <w:rPr>
                <w:sz w:val="16"/>
                <w:szCs w:val="16"/>
              </w:rPr>
              <w:t>2,276.2</w:t>
            </w:r>
          </w:p>
        </w:tc>
        <w:tc>
          <w:tcPr>
            <w:tcW w:w="760" w:type="dxa"/>
            <w:vAlign w:val="center"/>
          </w:tcPr>
          <w:p w14:paraId="61251795" w14:textId="3463407C" w:rsidR="00FC3B84" w:rsidRPr="00FC3B84" w:rsidRDefault="00FC3B84" w:rsidP="00FC3B84">
            <w:pPr>
              <w:jc w:val="center"/>
              <w:rPr>
                <w:rFonts w:asciiTheme="minorHAnsi" w:hAnsiTheme="minorHAnsi" w:cstheme="minorHAnsi"/>
                <w:sz w:val="18"/>
                <w:szCs w:val="18"/>
              </w:rPr>
            </w:pPr>
            <w:r w:rsidRPr="00FC3B84">
              <w:rPr>
                <w:sz w:val="18"/>
                <w:szCs w:val="18"/>
              </w:rPr>
              <w:t>13.9%</w:t>
            </w:r>
          </w:p>
        </w:tc>
        <w:tc>
          <w:tcPr>
            <w:tcW w:w="760" w:type="dxa"/>
            <w:vAlign w:val="center"/>
          </w:tcPr>
          <w:p w14:paraId="6706A870" w14:textId="79328184" w:rsidR="00FC3B84" w:rsidRPr="00FC3B84" w:rsidRDefault="00FC3B84" w:rsidP="00FC3B84">
            <w:pPr>
              <w:jc w:val="center"/>
              <w:rPr>
                <w:rFonts w:asciiTheme="minorHAnsi" w:hAnsiTheme="minorHAnsi" w:cstheme="minorHAnsi"/>
                <w:sz w:val="18"/>
                <w:szCs w:val="18"/>
              </w:rPr>
            </w:pPr>
            <w:r w:rsidRPr="00FC3B84">
              <w:rPr>
                <w:sz w:val="18"/>
                <w:szCs w:val="18"/>
              </w:rPr>
              <w:t>170.2</w:t>
            </w:r>
          </w:p>
        </w:tc>
        <w:tc>
          <w:tcPr>
            <w:tcW w:w="760" w:type="dxa"/>
            <w:vAlign w:val="center"/>
          </w:tcPr>
          <w:p w14:paraId="0578AD74" w14:textId="47B390CB" w:rsidR="00FC3B84" w:rsidRPr="00FC3B84" w:rsidRDefault="00FC3B84" w:rsidP="00FC3B84">
            <w:pPr>
              <w:jc w:val="center"/>
              <w:rPr>
                <w:rFonts w:asciiTheme="minorHAnsi" w:hAnsiTheme="minorHAnsi" w:cstheme="minorHAnsi"/>
                <w:sz w:val="18"/>
                <w:szCs w:val="18"/>
              </w:rPr>
            </w:pPr>
            <w:r w:rsidRPr="00FC3B84">
              <w:rPr>
                <w:sz w:val="18"/>
                <w:szCs w:val="18"/>
              </w:rPr>
              <w:t>8.1%</w:t>
            </w:r>
          </w:p>
        </w:tc>
      </w:tr>
      <w:tr w:rsidR="00FC3B84" w:rsidRPr="00B11180" w14:paraId="494786FB" w14:textId="77777777" w:rsidTr="00FC3B84">
        <w:trPr>
          <w:cnfStyle w:val="000000010000" w:firstRow="0" w:lastRow="0" w:firstColumn="0" w:lastColumn="0" w:oddVBand="0" w:evenVBand="0" w:oddHBand="0" w:evenHBand="1" w:firstRowFirstColumn="0" w:firstRowLastColumn="0" w:lastRowFirstColumn="0" w:lastRowLastColumn="0"/>
          <w:trHeight w:val="366"/>
        </w:trPr>
        <w:tc>
          <w:tcPr>
            <w:tcW w:w="1427" w:type="dxa"/>
            <w:vAlign w:val="center"/>
          </w:tcPr>
          <w:p w14:paraId="61EB3D9B" w14:textId="4EC6900A" w:rsidR="00FC3B84" w:rsidRPr="00FC3B84" w:rsidRDefault="00FC3B84" w:rsidP="00FC3B84">
            <w:pPr>
              <w:jc w:val="center"/>
              <w:rPr>
                <w:rFonts w:asciiTheme="minorHAnsi" w:hAnsiTheme="minorHAnsi" w:cstheme="minorHAnsi"/>
                <w:sz w:val="18"/>
                <w:szCs w:val="18"/>
              </w:rPr>
            </w:pPr>
            <w:r w:rsidRPr="00FC3B84">
              <w:rPr>
                <w:sz w:val="18"/>
                <w:szCs w:val="18"/>
              </w:rPr>
              <w:t>Skill level 4</w:t>
            </w:r>
          </w:p>
        </w:tc>
        <w:tc>
          <w:tcPr>
            <w:tcW w:w="759" w:type="dxa"/>
            <w:vAlign w:val="center"/>
          </w:tcPr>
          <w:p w14:paraId="18A74026" w14:textId="00BB8D75" w:rsidR="00FC3B84" w:rsidRPr="00FC3B84" w:rsidRDefault="00FC3B84" w:rsidP="00FC3B84">
            <w:pPr>
              <w:jc w:val="center"/>
              <w:rPr>
                <w:rFonts w:asciiTheme="minorHAnsi" w:hAnsiTheme="minorHAnsi" w:cstheme="minorHAnsi"/>
                <w:sz w:val="16"/>
                <w:szCs w:val="16"/>
              </w:rPr>
            </w:pPr>
            <w:r w:rsidRPr="00FC3B84">
              <w:rPr>
                <w:sz w:val="16"/>
                <w:szCs w:val="16"/>
              </w:rPr>
              <w:t>3,476.7</w:t>
            </w:r>
          </w:p>
        </w:tc>
        <w:tc>
          <w:tcPr>
            <w:tcW w:w="760" w:type="dxa"/>
            <w:vAlign w:val="center"/>
          </w:tcPr>
          <w:p w14:paraId="6354B2C4" w14:textId="74BF21BC" w:rsidR="00FC3B84" w:rsidRPr="00FC3B84" w:rsidRDefault="00FC3B84" w:rsidP="00FC3B84">
            <w:pPr>
              <w:jc w:val="center"/>
              <w:rPr>
                <w:rFonts w:asciiTheme="minorHAnsi" w:hAnsiTheme="minorHAnsi" w:cstheme="minorHAnsi"/>
                <w:sz w:val="18"/>
                <w:szCs w:val="18"/>
              </w:rPr>
            </w:pPr>
            <w:r w:rsidRPr="00FC3B84">
              <w:rPr>
                <w:sz w:val="18"/>
                <w:szCs w:val="18"/>
              </w:rPr>
              <w:t>24.2%</w:t>
            </w:r>
          </w:p>
        </w:tc>
        <w:tc>
          <w:tcPr>
            <w:tcW w:w="760" w:type="dxa"/>
            <w:vAlign w:val="center"/>
          </w:tcPr>
          <w:p w14:paraId="435AF58D" w14:textId="2F30B406" w:rsidR="00FC3B84" w:rsidRPr="00FC3B84" w:rsidRDefault="00FC3B84" w:rsidP="00FC3B84">
            <w:pPr>
              <w:jc w:val="center"/>
              <w:rPr>
                <w:rFonts w:asciiTheme="minorHAnsi" w:hAnsiTheme="minorHAnsi" w:cstheme="minorHAnsi"/>
                <w:sz w:val="16"/>
                <w:szCs w:val="16"/>
              </w:rPr>
            </w:pPr>
            <w:r w:rsidRPr="00FC3B84">
              <w:rPr>
                <w:sz w:val="16"/>
                <w:szCs w:val="16"/>
              </w:rPr>
              <w:t>3,696.1</w:t>
            </w:r>
          </w:p>
        </w:tc>
        <w:tc>
          <w:tcPr>
            <w:tcW w:w="760" w:type="dxa"/>
            <w:vAlign w:val="center"/>
          </w:tcPr>
          <w:p w14:paraId="138AEEBA" w14:textId="79E58700" w:rsidR="00FC3B84" w:rsidRPr="00FC3B84" w:rsidRDefault="00FC3B84" w:rsidP="00FC3B84">
            <w:pPr>
              <w:jc w:val="center"/>
              <w:rPr>
                <w:rFonts w:asciiTheme="minorHAnsi" w:hAnsiTheme="minorHAnsi" w:cstheme="minorHAnsi"/>
                <w:sz w:val="18"/>
                <w:szCs w:val="18"/>
              </w:rPr>
            </w:pPr>
            <w:r w:rsidRPr="00FC3B84">
              <w:rPr>
                <w:sz w:val="18"/>
                <w:szCs w:val="18"/>
              </w:rPr>
              <w:t>24.1%</w:t>
            </w:r>
          </w:p>
        </w:tc>
        <w:tc>
          <w:tcPr>
            <w:tcW w:w="760" w:type="dxa"/>
            <w:vAlign w:val="center"/>
          </w:tcPr>
          <w:p w14:paraId="53F51A81" w14:textId="436396E4" w:rsidR="00FC3B84" w:rsidRPr="00FC3B84" w:rsidRDefault="00FC3B84" w:rsidP="00FC3B84">
            <w:pPr>
              <w:jc w:val="center"/>
              <w:rPr>
                <w:rFonts w:asciiTheme="minorHAnsi" w:hAnsiTheme="minorHAnsi" w:cstheme="minorHAnsi"/>
                <w:sz w:val="18"/>
                <w:szCs w:val="18"/>
              </w:rPr>
            </w:pPr>
            <w:r w:rsidRPr="00FC3B84">
              <w:rPr>
                <w:sz w:val="18"/>
                <w:szCs w:val="18"/>
              </w:rPr>
              <w:t>219.4</w:t>
            </w:r>
          </w:p>
        </w:tc>
        <w:tc>
          <w:tcPr>
            <w:tcW w:w="760" w:type="dxa"/>
            <w:vAlign w:val="center"/>
          </w:tcPr>
          <w:p w14:paraId="7D06A4E5" w14:textId="3E3CCC65" w:rsidR="00FC3B84" w:rsidRPr="00FC3B84" w:rsidRDefault="00FC3B84" w:rsidP="00FC3B84">
            <w:pPr>
              <w:jc w:val="center"/>
              <w:rPr>
                <w:rFonts w:asciiTheme="minorHAnsi" w:hAnsiTheme="minorHAnsi" w:cstheme="minorHAnsi"/>
                <w:sz w:val="18"/>
                <w:szCs w:val="18"/>
              </w:rPr>
            </w:pPr>
            <w:r w:rsidRPr="00FC3B84">
              <w:rPr>
                <w:sz w:val="18"/>
                <w:szCs w:val="18"/>
              </w:rPr>
              <w:t>6.3%</w:t>
            </w:r>
          </w:p>
        </w:tc>
        <w:tc>
          <w:tcPr>
            <w:tcW w:w="760" w:type="dxa"/>
            <w:vAlign w:val="center"/>
          </w:tcPr>
          <w:p w14:paraId="02F0E3D3" w14:textId="4EE42A3E" w:rsidR="00FC3B84" w:rsidRPr="00FC3B84" w:rsidRDefault="00FC3B84" w:rsidP="00FC3B84">
            <w:pPr>
              <w:jc w:val="center"/>
              <w:rPr>
                <w:rFonts w:asciiTheme="minorHAnsi" w:hAnsiTheme="minorHAnsi" w:cstheme="minorHAnsi"/>
                <w:sz w:val="16"/>
                <w:szCs w:val="16"/>
              </w:rPr>
            </w:pPr>
            <w:r w:rsidRPr="00FC3B84">
              <w:rPr>
                <w:sz w:val="16"/>
                <w:szCs w:val="16"/>
              </w:rPr>
              <w:t>3,935.7</w:t>
            </w:r>
          </w:p>
        </w:tc>
        <w:tc>
          <w:tcPr>
            <w:tcW w:w="760" w:type="dxa"/>
            <w:vAlign w:val="center"/>
          </w:tcPr>
          <w:p w14:paraId="6E60C83A" w14:textId="11425D1D" w:rsidR="00FC3B84" w:rsidRPr="00FC3B84" w:rsidRDefault="00FC3B84" w:rsidP="00FC3B84">
            <w:pPr>
              <w:jc w:val="center"/>
              <w:rPr>
                <w:rFonts w:asciiTheme="minorHAnsi" w:hAnsiTheme="minorHAnsi" w:cstheme="minorHAnsi"/>
                <w:sz w:val="18"/>
                <w:szCs w:val="18"/>
              </w:rPr>
            </w:pPr>
            <w:r w:rsidRPr="00FC3B84">
              <w:rPr>
                <w:sz w:val="18"/>
                <w:szCs w:val="18"/>
              </w:rPr>
              <w:t>24.1%</w:t>
            </w:r>
          </w:p>
        </w:tc>
        <w:tc>
          <w:tcPr>
            <w:tcW w:w="760" w:type="dxa"/>
            <w:vAlign w:val="center"/>
          </w:tcPr>
          <w:p w14:paraId="11EE4A38" w14:textId="73EA235F" w:rsidR="00FC3B84" w:rsidRPr="00FC3B84" w:rsidRDefault="00FC3B84" w:rsidP="00FC3B84">
            <w:pPr>
              <w:jc w:val="center"/>
              <w:rPr>
                <w:rFonts w:asciiTheme="minorHAnsi" w:hAnsiTheme="minorHAnsi" w:cstheme="minorHAnsi"/>
                <w:sz w:val="18"/>
                <w:szCs w:val="18"/>
              </w:rPr>
            </w:pPr>
            <w:r w:rsidRPr="00FC3B84">
              <w:rPr>
                <w:sz w:val="18"/>
                <w:szCs w:val="18"/>
              </w:rPr>
              <w:t>459.0</w:t>
            </w:r>
          </w:p>
        </w:tc>
        <w:tc>
          <w:tcPr>
            <w:tcW w:w="760" w:type="dxa"/>
            <w:vAlign w:val="center"/>
          </w:tcPr>
          <w:p w14:paraId="7DA1F52C" w14:textId="6903CC27" w:rsidR="00FC3B84" w:rsidRPr="00FC3B84" w:rsidRDefault="00FC3B84" w:rsidP="00FC3B84">
            <w:pPr>
              <w:jc w:val="center"/>
              <w:rPr>
                <w:rFonts w:asciiTheme="minorHAnsi" w:hAnsiTheme="minorHAnsi" w:cstheme="minorHAnsi"/>
                <w:sz w:val="18"/>
                <w:szCs w:val="18"/>
              </w:rPr>
            </w:pPr>
            <w:r w:rsidRPr="00FC3B84">
              <w:rPr>
                <w:sz w:val="18"/>
                <w:szCs w:val="18"/>
              </w:rPr>
              <w:t>13.2%</w:t>
            </w:r>
          </w:p>
        </w:tc>
      </w:tr>
      <w:tr w:rsidR="00FC3B84" w:rsidRPr="00B11180" w14:paraId="42D35169" w14:textId="77777777" w:rsidTr="00FC3B84">
        <w:trPr>
          <w:trHeight w:val="366"/>
        </w:trPr>
        <w:tc>
          <w:tcPr>
            <w:tcW w:w="1427" w:type="dxa"/>
            <w:vAlign w:val="center"/>
          </w:tcPr>
          <w:p w14:paraId="58121789" w14:textId="51BBE994" w:rsidR="00FC3B84" w:rsidRPr="00FC3B84" w:rsidRDefault="00FC3B84" w:rsidP="00FC3B84">
            <w:pPr>
              <w:jc w:val="center"/>
              <w:rPr>
                <w:rFonts w:asciiTheme="minorHAnsi" w:hAnsiTheme="minorHAnsi" w:cstheme="minorHAnsi"/>
                <w:sz w:val="18"/>
                <w:szCs w:val="18"/>
              </w:rPr>
            </w:pPr>
            <w:r w:rsidRPr="00FC3B84">
              <w:rPr>
                <w:sz w:val="18"/>
                <w:szCs w:val="18"/>
              </w:rPr>
              <w:t>Skill level 5</w:t>
            </w:r>
          </w:p>
        </w:tc>
        <w:tc>
          <w:tcPr>
            <w:tcW w:w="759" w:type="dxa"/>
            <w:vAlign w:val="center"/>
          </w:tcPr>
          <w:p w14:paraId="491DC021" w14:textId="77EFA443" w:rsidR="00FC3B84" w:rsidRPr="00FC3B84" w:rsidRDefault="00FC3B84" w:rsidP="00FC3B84">
            <w:pPr>
              <w:jc w:val="center"/>
              <w:rPr>
                <w:rFonts w:asciiTheme="minorHAnsi" w:hAnsiTheme="minorHAnsi" w:cstheme="minorHAnsi"/>
                <w:sz w:val="16"/>
                <w:szCs w:val="16"/>
              </w:rPr>
            </w:pPr>
            <w:r w:rsidRPr="00FC3B84">
              <w:rPr>
                <w:sz w:val="16"/>
                <w:szCs w:val="16"/>
              </w:rPr>
              <w:t>1,984.2</w:t>
            </w:r>
          </w:p>
        </w:tc>
        <w:tc>
          <w:tcPr>
            <w:tcW w:w="760" w:type="dxa"/>
            <w:vAlign w:val="center"/>
          </w:tcPr>
          <w:p w14:paraId="15609845" w14:textId="6C16FE35" w:rsidR="00FC3B84" w:rsidRPr="00FC3B84" w:rsidRDefault="00FC3B84" w:rsidP="00FC3B84">
            <w:pPr>
              <w:jc w:val="center"/>
              <w:rPr>
                <w:rFonts w:asciiTheme="minorHAnsi" w:hAnsiTheme="minorHAnsi" w:cstheme="minorHAnsi"/>
                <w:sz w:val="18"/>
                <w:szCs w:val="18"/>
              </w:rPr>
            </w:pPr>
            <w:r w:rsidRPr="00FC3B84">
              <w:rPr>
                <w:sz w:val="18"/>
                <w:szCs w:val="18"/>
              </w:rPr>
              <w:t>13.8%</w:t>
            </w:r>
          </w:p>
        </w:tc>
        <w:tc>
          <w:tcPr>
            <w:tcW w:w="760" w:type="dxa"/>
            <w:vAlign w:val="center"/>
          </w:tcPr>
          <w:p w14:paraId="35BE4038" w14:textId="50F30F59" w:rsidR="00FC3B84" w:rsidRPr="00FC3B84" w:rsidRDefault="00FC3B84" w:rsidP="00FC3B84">
            <w:pPr>
              <w:jc w:val="center"/>
              <w:rPr>
                <w:rFonts w:asciiTheme="minorHAnsi" w:hAnsiTheme="minorHAnsi" w:cstheme="minorHAnsi"/>
                <w:sz w:val="16"/>
                <w:szCs w:val="16"/>
              </w:rPr>
            </w:pPr>
            <w:r w:rsidRPr="00FC3B84">
              <w:rPr>
                <w:sz w:val="16"/>
                <w:szCs w:val="16"/>
              </w:rPr>
              <w:t>2,019.6</w:t>
            </w:r>
          </w:p>
        </w:tc>
        <w:tc>
          <w:tcPr>
            <w:tcW w:w="760" w:type="dxa"/>
            <w:vAlign w:val="center"/>
          </w:tcPr>
          <w:p w14:paraId="5EB2842D" w14:textId="62FFE41F" w:rsidR="00FC3B84" w:rsidRPr="00FC3B84" w:rsidRDefault="00FC3B84" w:rsidP="00FC3B84">
            <w:pPr>
              <w:jc w:val="center"/>
              <w:rPr>
                <w:rFonts w:asciiTheme="minorHAnsi" w:hAnsiTheme="minorHAnsi" w:cstheme="minorHAnsi"/>
                <w:sz w:val="18"/>
                <w:szCs w:val="18"/>
              </w:rPr>
            </w:pPr>
            <w:r w:rsidRPr="00FC3B84">
              <w:rPr>
                <w:sz w:val="18"/>
                <w:szCs w:val="18"/>
              </w:rPr>
              <w:t>13.2%</w:t>
            </w:r>
          </w:p>
        </w:tc>
        <w:tc>
          <w:tcPr>
            <w:tcW w:w="760" w:type="dxa"/>
            <w:vAlign w:val="center"/>
          </w:tcPr>
          <w:p w14:paraId="01859867" w14:textId="072DD158" w:rsidR="00FC3B84" w:rsidRPr="00FC3B84" w:rsidRDefault="00FC3B84" w:rsidP="00FC3B84">
            <w:pPr>
              <w:jc w:val="center"/>
              <w:rPr>
                <w:rFonts w:asciiTheme="minorHAnsi" w:hAnsiTheme="minorHAnsi" w:cstheme="minorHAnsi"/>
                <w:sz w:val="18"/>
                <w:szCs w:val="18"/>
              </w:rPr>
            </w:pPr>
            <w:r w:rsidRPr="00FC3B84">
              <w:rPr>
                <w:sz w:val="18"/>
                <w:szCs w:val="18"/>
              </w:rPr>
              <w:t>35.4</w:t>
            </w:r>
          </w:p>
        </w:tc>
        <w:tc>
          <w:tcPr>
            <w:tcW w:w="760" w:type="dxa"/>
            <w:vAlign w:val="center"/>
          </w:tcPr>
          <w:p w14:paraId="7D346A07" w14:textId="4B69FF48" w:rsidR="00FC3B84" w:rsidRPr="00FC3B84" w:rsidRDefault="00FC3B84" w:rsidP="00FC3B84">
            <w:pPr>
              <w:jc w:val="center"/>
              <w:rPr>
                <w:rFonts w:asciiTheme="minorHAnsi" w:hAnsiTheme="minorHAnsi" w:cstheme="minorHAnsi"/>
                <w:sz w:val="18"/>
                <w:szCs w:val="18"/>
              </w:rPr>
            </w:pPr>
            <w:r w:rsidRPr="00FC3B84">
              <w:rPr>
                <w:sz w:val="18"/>
                <w:szCs w:val="18"/>
              </w:rPr>
              <w:t>1.8%</w:t>
            </w:r>
          </w:p>
        </w:tc>
        <w:tc>
          <w:tcPr>
            <w:tcW w:w="760" w:type="dxa"/>
            <w:vAlign w:val="center"/>
          </w:tcPr>
          <w:p w14:paraId="5ED47ABD" w14:textId="2F9A614E" w:rsidR="00FC3B84" w:rsidRPr="00FC3B84" w:rsidRDefault="00FC3B84" w:rsidP="00FC3B84">
            <w:pPr>
              <w:jc w:val="center"/>
              <w:rPr>
                <w:rFonts w:asciiTheme="minorHAnsi" w:hAnsiTheme="minorHAnsi" w:cstheme="minorHAnsi"/>
                <w:sz w:val="16"/>
                <w:szCs w:val="16"/>
              </w:rPr>
            </w:pPr>
            <w:r w:rsidRPr="00FC3B84">
              <w:rPr>
                <w:sz w:val="16"/>
                <w:szCs w:val="16"/>
              </w:rPr>
              <w:t>2,096.5</w:t>
            </w:r>
          </w:p>
        </w:tc>
        <w:tc>
          <w:tcPr>
            <w:tcW w:w="760" w:type="dxa"/>
            <w:vAlign w:val="center"/>
          </w:tcPr>
          <w:p w14:paraId="18759521" w14:textId="2D355949" w:rsidR="00FC3B84" w:rsidRPr="00FC3B84" w:rsidRDefault="00FC3B84" w:rsidP="00FC3B84">
            <w:pPr>
              <w:jc w:val="center"/>
              <w:rPr>
                <w:rFonts w:asciiTheme="minorHAnsi" w:hAnsiTheme="minorHAnsi" w:cstheme="minorHAnsi"/>
                <w:sz w:val="18"/>
                <w:szCs w:val="18"/>
              </w:rPr>
            </w:pPr>
            <w:r w:rsidRPr="00FC3B84">
              <w:rPr>
                <w:sz w:val="18"/>
                <w:szCs w:val="18"/>
              </w:rPr>
              <w:t>12.8%</w:t>
            </w:r>
          </w:p>
        </w:tc>
        <w:tc>
          <w:tcPr>
            <w:tcW w:w="760" w:type="dxa"/>
            <w:vAlign w:val="center"/>
          </w:tcPr>
          <w:p w14:paraId="71E6DF1D" w14:textId="4D479DCF" w:rsidR="00FC3B84" w:rsidRPr="00FC3B84" w:rsidRDefault="00FC3B84" w:rsidP="00FC3B84">
            <w:pPr>
              <w:jc w:val="center"/>
              <w:rPr>
                <w:rFonts w:asciiTheme="minorHAnsi" w:hAnsiTheme="minorHAnsi" w:cstheme="minorHAnsi"/>
                <w:sz w:val="18"/>
                <w:szCs w:val="18"/>
              </w:rPr>
            </w:pPr>
            <w:r w:rsidRPr="00FC3B84">
              <w:rPr>
                <w:sz w:val="18"/>
                <w:szCs w:val="18"/>
              </w:rPr>
              <w:t>112.3</w:t>
            </w:r>
          </w:p>
        </w:tc>
        <w:tc>
          <w:tcPr>
            <w:tcW w:w="760" w:type="dxa"/>
            <w:vAlign w:val="center"/>
          </w:tcPr>
          <w:p w14:paraId="410A4A5B" w14:textId="4036A1EB" w:rsidR="00FC3B84" w:rsidRPr="00FC3B84" w:rsidRDefault="00FC3B84" w:rsidP="00FC3B84">
            <w:pPr>
              <w:jc w:val="center"/>
              <w:rPr>
                <w:rFonts w:asciiTheme="minorHAnsi" w:hAnsiTheme="minorHAnsi" w:cstheme="minorHAnsi"/>
                <w:sz w:val="18"/>
                <w:szCs w:val="18"/>
              </w:rPr>
            </w:pPr>
            <w:r w:rsidRPr="00FC3B84">
              <w:rPr>
                <w:sz w:val="18"/>
                <w:szCs w:val="18"/>
              </w:rPr>
              <w:t>5.7%</w:t>
            </w:r>
          </w:p>
        </w:tc>
      </w:tr>
    </w:tbl>
    <w:p w14:paraId="1C24E52E" w14:textId="6421AEB0" w:rsidR="00AC2606" w:rsidRDefault="00AC2606" w:rsidP="00A17C4D">
      <w:pPr>
        <w:pStyle w:val="Source"/>
      </w:pPr>
      <w:r w:rsidRPr="001D0DC3">
        <w:t>Source: 2024-2034 Employment Projections, produced by Victoria University for Jobs and Skills Australia</w:t>
      </w:r>
      <w:r w:rsidR="00AB782F">
        <w:t>.</w:t>
      </w:r>
    </w:p>
    <w:p w14:paraId="7FFC1D69" w14:textId="7776AB52" w:rsidR="001D0DC3" w:rsidRPr="001D0DC3" w:rsidRDefault="001D0DC3" w:rsidP="00A17C4D">
      <w:pPr>
        <w:pStyle w:val="ChartorTableNote"/>
      </w:pPr>
      <w:r w:rsidRPr="001D0DC3">
        <w:t xml:space="preserve">Note: Skill level 1 relates to </w:t>
      </w:r>
      <w:r w:rsidR="00507B39" w:rsidRPr="001D0DC3">
        <w:t>bachelor’s</w:t>
      </w:r>
      <w:r w:rsidRPr="001D0DC3">
        <w:t xml:space="preserve"> degree or higher qualification; Skill level 2 relates to advanced diploma or diploma; Skill level 3 relates to Certificate IV or III (including at least 2 years’ on-the-job training); Skill level 4 relates to Certificate II or III; Skill Level 5 relates to Certificate I or secondary education.</w:t>
      </w:r>
    </w:p>
    <w:p w14:paraId="4E78D52D" w14:textId="57DDF020" w:rsidR="00AC2606" w:rsidRPr="00AC0957" w:rsidRDefault="0067724D" w:rsidP="00AC2606">
      <w:pPr>
        <w:pStyle w:val="Heading3"/>
        <w:rPr>
          <w:rFonts w:cs="Arial"/>
        </w:rPr>
      </w:pPr>
      <w:bookmarkStart w:id="220" w:name="_Toc179887403"/>
      <w:bookmarkStart w:id="221" w:name="_Toc181371598"/>
      <w:r w:rsidRPr="0067724D">
        <w:rPr>
          <w:rFonts w:cs="Arial"/>
        </w:rPr>
        <w:t>An alternative scenario: what if the educational and training attainment was fully responsive to labour market demand</w:t>
      </w:r>
      <w:r w:rsidR="00AC2606" w:rsidRPr="00AC0957">
        <w:rPr>
          <w:rFonts w:cs="Arial"/>
        </w:rPr>
        <w:t>?</w:t>
      </w:r>
      <w:bookmarkEnd w:id="220"/>
      <w:bookmarkEnd w:id="221"/>
    </w:p>
    <w:p w14:paraId="533DF5A2" w14:textId="77777777" w:rsidR="00BD64D4" w:rsidRPr="00BD64D4" w:rsidRDefault="00AC2606" w:rsidP="00BD64D4">
      <w:pPr>
        <w:rPr>
          <w:rFonts w:cs="Arial"/>
          <w:lang w:val="en-US"/>
        </w:rPr>
      </w:pPr>
      <w:r w:rsidRPr="00AC0957">
        <w:rPr>
          <w:rFonts w:cs="Arial"/>
          <w:lang w:val="en-US"/>
        </w:rPr>
        <w:t>A key factor in the VUEF modelling framework is the skills</w:t>
      </w:r>
      <w:r w:rsidRPr="00AC0957">
        <w:rPr>
          <w:rStyle w:val="FootnoteReference"/>
          <w:rFonts w:cs="Arial"/>
          <w:lang w:val="en-US"/>
        </w:rPr>
        <w:footnoteReference w:id="27"/>
      </w:r>
      <w:r w:rsidRPr="00AC0957">
        <w:rPr>
          <w:rFonts w:cs="Arial"/>
          <w:lang w:val="en-US"/>
        </w:rPr>
        <w:t xml:space="preserve"> </w:t>
      </w:r>
      <w:r w:rsidR="00BD64D4" w:rsidRPr="00BD64D4">
        <w:rPr>
          <w:rFonts w:cs="Arial"/>
          <w:lang w:val="en-US"/>
        </w:rPr>
        <w:t>supply constraint, which ensures that the current and forecast educational attainment profile of the population is considered when forecasting employment by occupation and industry. The model effectively projects ‘equilibrium’ employment: that is, the intersection of demand for and supply of labour, considering modelled constraints on the availability of labour supply.</w:t>
      </w:r>
    </w:p>
    <w:p w14:paraId="0B0537A6" w14:textId="77777777" w:rsidR="00BD64D4" w:rsidRPr="00BD64D4" w:rsidRDefault="00BD64D4" w:rsidP="00BD64D4">
      <w:pPr>
        <w:rPr>
          <w:rFonts w:cs="Arial"/>
          <w:lang w:val="en-US"/>
        </w:rPr>
      </w:pPr>
      <w:r w:rsidRPr="00BD64D4">
        <w:rPr>
          <w:rFonts w:cs="Arial"/>
          <w:lang w:val="en-US"/>
        </w:rPr>
        <w:t>For example, the limited supply of people with qualifications at the Certificate III and IV levels in the Engineering field of study constrains the supply of qualified tradespeople, and therefore places limits on the possible rate of expansion in employment in the construction sector.</w:t>
      </w:r>
    </w:p>
    <w:p w14:paraId="62348F14" w14:textId="2339EE1F" w:rsidR="00BD64D4" w:rsidRPr="00BD64D4" w:rsidRDefault="00BD64D4" w:rsidP="00BD64D4">
      <w:pPr>
        <w:rPr>
          <w:rFonts w:cs="Arial"/>
          <w:lang w:val="en-US"/>
        </w:rPr>
      </w:pPr>
      <w:r w:rsidRPr="00BD64D4">
        <w:rPr>
          <w:rFonts w:cs="Arial"/>
          <w:lang w:val="en-US"/>
        </w:rPr>
        <w:t>The projected composition of skills in the Australian labour market is based on observed trends in educational attainment by age, gender and level and field of qualification. The main patterns observed in these projections include a strong increase in higher education qualifications (bachelor’s degree and above), a stagnation in the number of people with VET qualifications, and a reduction in the number of people with no post-secondary qualifications.</w:t>
      </w:r>
      <w:r w:rsidR="008C52B1">
        <w:rPr>
          <w:rFonts w:cs="Arial"/>
          <w:lang w:val="en-US"/>
        </w:rPr>
        <w:t xml:space="preserve"> </w:t>
      </w:r>
      <w:r w:rsidRPr="00BD64D4">
        <w:rPr>
          <w:rFonts w:cs="Arial"/>
          <w:lang w:val="en-US"/>
        </w:rPr>
        <w:t xml:space="preserve">A key driver of this change is older cohorts, who typically have lower levels of educational attainment (including a large proportion of people with no post-secondary qualification), retiring and exiting the labour force; and a large proportion of increasingly higher education qualified younger cohorts entering the labour force. </w:t>
      </w:r>
    </w:p>
    <w:p w14:paraId="363CBC1C" w14:textId="77777777" w:rsidR="0068274C" w:rsidRDefault="00BD64D4" w:rsidP="00BD64D4">
      <w:pPr>
        <w:rPr>
          <w:rFonts w:cs="Arial"/>
          <w:lang w:val="en-US"/>
        </w:rPr>
      </w:pPr>
      <w:r w:rsidRPr="00BD64D4">
        <w:rPr>
          <w:rFonts w:cs="Arial"/>
          <w:lang w:val="en-US"/>
        </w:rPr>
        <w:t>These projected skill supply levels and the constraints that they impose on occupational employment are a key feature of JSA’s 2024 baseline employment projections discussed in this report.</w:t>
      </w:r>
    </w:p>
    <w:p w14:paraId="66D3F777" w14:textId="488876A7" w:rsidR="00BD64D4" w:rsidRPr="00BD64D4" w:rsidRDefault="00BD64D4" w:rsidP="00BD64D4">
      <w:pPr>
        <w:rPr>
          <w:rFonts w:cs="Arial"/>
          <w:lang w:val="en-US"/>
        </w:rPr>
      </w:pPr>
      <w:r w:rsidRPr="00BD64D4">
        <w:rPr>
          <w:rFonts w:cs="Arial"/>
          <w:lang w:val="en-US"/>
        </w:rPr>
        <w:t>JSA and VU have analysed an alternative scenario, where instead of continuing recent trends, the skill supply constraints are responsive to market conditions, diverting the supply of labour into occupations where the demand is strong</w:t>
      </w:r>
      <w:r w:rsidR="004E56A4">
        <w:rPr>
          <w:rStyle w:val="FootnoteReference"/>
          <w:rFonts w:cs="Arial"/>
          <w:lang w:val="en-US"/>
        </w:rPr>
        <w:footnoteReference w:id="28"/>
      </w:r>
      <w:r w:rsidRPr="00BD64D4">
        <w:rPr>
          <w:rFonts w:cs="Arial"/>
          <w:lang w:val="en-US"/>
        </w:rPr>
        <w:t xml:space="preserve">. </w:t>
      </w:r>
    </w:p>
    <w:p w14:paraId="6CC98651" w14:textId="77777777" w:rsidR="00BD64D4" w:rsidRPr="00BD64D4" w:rsidRDefault="00BD64D4" w:rsidP="00BD64D4">
      <w:pPr>
        <w:rPr>
          <w:rFonts w:cs="Arial"/>
          <w:lang w:val="en-US"/>
        </w:rPr>
      </w:pPr>
      <w:r w:rsidRPr="00BD64D4">
        <w:rPr>
          <w:rFonts w:cs="Arial"/>
          <w:lang w:val="en-US"/>
        </w:rPr>
        <w:t>In this ‘unconstrained skill supply’ scenario, we assume that the no post-secondary and Certificate I-II skill cohorts remain on their baseline trajectories, however, the supply of cohorts with a Certificate III and above is allowed to respond to demand in the market. In other words, in this alternative scenario, the same number of people decide to undertake post-secondary education as in the baseline, but their choice of level and field of study is dictated by the projected demand for labour assumed by the models’ estimates of economic output by industry.</w:t>
      </w:r>
    </w:p>
    <w:p w14:paraId="0A32B575" w14:textId="77777777" w:rsidR="00BD64D4" w:rsidRPr="00BD64D4" w:rsidRDefault="00BD64D4" w:rsidP="00BD64D4">
      <w:pPr>
        <w:rPr>
          <w:rFonts w:cs="Arial"/>
          <w:lang w:val="en-US"/>
        </w:rPr>
      </w:pPr>
      <w:r w:rsidRPr="00BD64D4">
        <w:rPr>
          <w:rFonts w:cs="Arial"/>
          <w:lang w:val="en-US"/>
        </w:rPr>
        <w:t>In general, we find that when skill supply is allowed to respond to market demand, the strong movements towards higher education qualified employment that we see in the baseline case are moderated. A greater supply of VET qualifications reduces the cost of labour associated with activities such as retail, hospitality, and residential care. On the other hand, the reduced supply of university qualified workers (relative to the baseline case) raises the costs of activities such as professional services and education, which typically hire workers with bachelor’s degrees and above.</w:t>
      </w:r>
    </w:p>
    <w:p w14:paraId="2129891F" w14:textId="56680FDC" w:rsidR="00CB3361" w:rsidRPr="00AC0957" w:rsidRDefault="00BD64D4" w:rsidP="00BD64D4">
      <w:pPr>
        <w:rPr>
          <w:rFonts w:cs="Arial"/>
          <w:lang w:val="en-US"/>
        </w:rPr>
      </w:pPr>
      <w:r w:rsidRPr="00BD64D4">
        <w:rPr>
          <w:rFonts w:cs="Arial"/>
          <w:lang w:val="en-US"/>
        </w:rPr>
        <w:t>These results lend support to the argument that is more fully developed in Chapter 4, that Australia’s education and training system needs some rebalancing to give a greater prominence to the VET system in order to meet Australia’s future workforce needs</w:t>
      </w:r>
      <w:r w:rsidR="00D53944">
        <w:rPr>
          <w:rFonts w:cs="Arial"/>
          <w:lang w:val="en-US"/>
        </w:rPr>
        <w:t>.</w:t>
      </w:r>
    </w:p>
    <w:p w14:paraId="2D816B44" w14:textId="77777777" w:rsidR="00AC2606" w:rsidRPr="00AC0957" w:rsidRDefault="00AC2606" w:rsidP="00E307AB">
      <w:pPr>
        <w:pStyle w:val="Heading3"/>
        <w:spacing w:before="120"/>
      </w:pPr>
      <w:bookmarkStart w:id="222" w:name="_Toc181371599"/>
      <w:r w:rsidRPr="00AC0957">
        <w:t>Key results by major occupation group</w:t>
      </w:r>
      <w:bookmarkEnd w:id="222"/>
    </w:p>
    <w:p w14:paraId="58FCDD2E" w14:textId="77B85E6B" w:rsidR="00AC2606" w:rsidRPr="00AC0957" w:rsidRDefault="00EA0ABE" w:rsidP="00AC2606">
      <w:pPr>
        <w:rPr>
          <w:rFonts w:cs="Arial"/>
        </w:rPr>
      </w:pPr>
      <w:r w:rsidRPr="00EA0ABE">
        <w:rPr>
          <w:rFonts w:cs="Arial"/>
        </w:rPr>
        <w:t>In general, compared to the baseline, there is a shift away from professional and managerial occupations towards all other occupations under the unconstrained skill supply scenario. It is important to note that employment for Professionals and Managers grows in both, the baseline and the unconstrained supply scenarios, however this growth is not as strong in the latter</w:t>
      </w:r>
      <w:r w:rsidR="00AC2606" w:rsidRPr="00AC0957">
        <w:rPr>
          <w:rFonts w:cs="Arial"/>
        </w:rPr>
        <w:t xml:space="preserve"> (</w:t>
      </w:r>
      <w:r w:rsidR="000F2D15">
        <w:rPr>
          <w:rFonts w:cs="Arial"/>
        </w:rPr>
        <w:fldChar w:fldCharType="begin"/>
      </w:r>
      <w:r w:rsidR="000F2D15">
        <w:rPr>
          <w:rFonts w:cs="Arial"/>
        </w:rPr>
        <w:instrText xml:space="preserve"> REF _Ref179898200 \h </w:instrText>
      </w:r>
      <w:r w:rsidR="000F2D15">
        <w:rPr>
          <w:rFonts w:cs="Arial"/>
        </w:rPr>
      </w:r>
      <w:r w:rsidR="000F2D15">
        <w:rPr>
          <w:rFonts w:cs="Arial"/>
        </w:rPr>
        <w:fldChar w:fldCharType="separate"/>
      </w:r>
      <w:r w:rsidR="00C47A81">
        <w:t xml:space="preserve">Figure </w:t>
      </w:r>
      <w:r w:rsidR="00C47A81">
        <w:rPr>
          <w:noProof/>
        </w:rPr>
        <w:t>45</w:t>
      </w:r>
      <w:r w:rsidR="000F2D15">
        <w:rPr>
          <w:rFonts w:cs="Arial"/>
        </w:rPr>
        <w:fldChar w:fldCharType="end"/>
      </w:r>
      <w:r w:rsidR="00AC2606" w:rsidRPr="000F2D15">
        <w:rPr>
          <w:rFonts w:cs="Arial"/>
        </w:rPr>
        <w:t xml:space="preserve">, </w:t>
      </w:r>
      <w:r w:rsidR="000F2D15">
        <w:rPr>
          <w:rFonts w:cs="Arial"/>
        </w:rPr>
        <w:fldChar w:fldCharType="begin"/>
      </w:r>
      <w:r w:rsidR="000F2D15">
        <w:rPr>
          <w:rFonts w:cs="Arial"/>
        </w:rPr>
        <w:instrText xml:space="preserve"> REF _Ref179898188 \h </w:instrText>
      </w:r>
      <w:r w:rsidR="000F2D15">
        <w:rPr>
          <w:rFonts w:cs="Arial"/>
        </w:rPr>
      </w:r>
      <w:r w:rsidR="000F2D15">
        <w:rPr>
          <w:rFonts w:cs="Arial"/>
        </w:rPr>
        <w:fldChar w:fldCharType="separate"/>
      </w:r>
      <w:r w:rsidR="00C47A81">
        <w:t xml:space="preserve">Table </w:t>
      </w:r>
      <w:r w:rsidR="00C47A81">
        <w:rPr>
          <w:noProof/>
        </w:rPr>
        <w:t>14</w:t>
      </w:r>
      <w:r w:rsidR="000F2D15">
        <w:rPr>
          <w:rFonts w:cs="Arial"/>
        </w:rPr>
        <w:fldChar w:fldCharType="end"/>
      </w:r>
      <w:r w:rsidR="00AC2606" w:rsidRPr="000F2D15">
        <w:rPr>
          <w:rFonts w:cs="Arial"/>
        </w:rPr>
        <w:t>).</w:t>
      </w:r>
      <w:r w:rsidR="00AC2606" w:rsidRPr="00AC0957">
        <w:rPr>
          <w:rFonts w:cs="Arial"/>
        </w:rPr>
        <w:t xml:space="preserve"> </w:t>
      </w:r>
    </w:p>
    <w:p w14:paraId="04CC5ABD" w14:textId="2F7A74EA" w:rsidR="00EA4A1A" w:rsidRDefault="006F1853" w:rsidP="00E307AB">
      <w:pPr>
        <w:pStyle w:val="Caption"/>
        <w:spacing w:before="0"/>
      </w:pPr>
      <w:bookmarkStart w:id="223" w:name="_Ref179898200"/>
      <w:bookmarkStart w:id="224" w:name="_Toc181370347"/>
      <w:r>
        <w:t xml:space="preserve">Figure </w:t>
      </w:r>
      <w:r>
        <w:fldChar w:fldCharType="begin"/>
      </w:r>
      <w:r>
        <w:instrText xml:space="preserve"> SEQ Figure \* ARABIC </w:instrText>
      </w:r>
      <w:r>
        <w:fldChar w:fldCharType="separate"/>
      </w:r>
      <w:r w:rsidR="00C47A81">
        <w:rPr>
          <w:noProof/>
        </w:rPr>
        <w:t>45</w:t>
      </w:r>
      <w:r>
        <w:fldChar w:fldCharType="end"/>
      </w:r>
      <w:bookmarkEnd w:id="223"/>
      <w:r>
        <w:t xml:space="preserve">: </w:t>
      </w:r>
      <w:r w:rsidR="000F62A0">
        <w:t>‘Unconstrained skill supply’ scenario – d</w:t>
      </w:r>
      <w:r w:rsidR="003635A1" w:rsidRPr="003635A1">
        <w:t>eviation from baseline employment projections for May 2034, by major occupation group, persons, Australia</w:t>
      </w:r>
      <w:bookmarkEnd w:id="224"/>
    </w:p>
    <w:p w14:paraId="360D93D5" w14:textId="43E4B36D" w:rsidR="00771845" w:rsidRDefault="00866A4A" w:rsidP="00E307AB">
      <w:pPr>
        <w:spacing w:after="0"/>
        <w:jc w:val="center"/>
      </w:pPr>
      <w:r>
        <w:rPr>
          <w:noProof/>
        </w:rPr>
        <w:drawing>
          <wp:inline distT="0" distB="0" distL="0" distR="0" wp14:anchorId="46AA7B61" wp14:editId="5B3F3379">
            <wp:extent cx="4381169" cy="2628336"/>
            <wp:effectExtent l="0" t="0" r="0" b="0"/>
            <wp:docPr id="1725172088" name="Picture 62" descr="This shows the deviation from the baseline projections for major occupation groups, under the unconstrained skill supply scenario.&#10;While employment is projected to grow for all occupation groups in both scenarios, in the unconstrained scenario, there is lesser growth in employment for Professionals (41,200 fewer than in the baseline projection) and Managers (6,300 fewer). This is offset by higher growth in projected employment for all other occupation groups, when compared to the baseline proj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172088" name="Picture 62" descr="This shows the deviation from the baseline projections for major occupation groups, under the unconstrained skill supply scenario.&#10;While employment is projected to grow for all occupation groups in both scenarios, in the unconstrained scenario, there is lesser growth in employment for Professionals (41,200 fewer than in the baseline projection) and Managers (6,300 fewer). This is offset by higher growth in projected employment for all other occupation groups, when compared to the baseline projections."/>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381169" cy="2628336"/>
                    </a:xfrm>
                    <a:prstGeom prst="rect">
                      <a:avLst/>
                    </a:prstGeom>
                    <a:noFill/>
                  </pic:spPr>
                </pic:pic>
              </a:graphicData>
            </a:graphic>
          </wp:inline>
        </w:drawing>
      </w:r>
    </w:p>
    <w:p w14:paraId="0AF3B1DD" w14:textId="7F991234" w:rsidR="00AC2606" w:rsidRDefault="00AC2606" w:rsidP="00E307AB">
      <w:pPr>
        <w:pStyle w:val="Source"/>
        <w:spacing w:before="0"/>
      </w:pPr>
      <w:r w:rsidRPr="006F1853">
        <w:t>Source: 2024-2034 Employment projections (unrestricted skills supply scenario), produced by V</w:t>
      </w:r>
      <w:r w:rsidR="003635A1">
        <w:t>ictoria University</w:t>
      </w:r>
      <w:r w:rsidRPr="006F1853">
        <w:t xml:space="preserve"> for J</w:t>
      </w:r>
      <w:r w:rsidR="0003109D">
        <w:t>obs and Skills Australia.</w:t>
      </w:r>
    </w:p>
    <w:p w14:paraId="3341E07F" w14:textId="72C6BABA" w:rsidR="00F4744A" w:rsidRDefault="00F4744A" w:rsidP="00F4744A">
      <w:pPr>
        <w:pStyle w:val="Caption"/>
      </w:pPr>
      <w:bookmarkStart w:id="225" w:name="_Ref179898188"/>
      <w:r>
        <w:t xml:space="preserve">Table </w:t>
      </w:r>
      <w:r>
        <w:fldChar w:fldCharType="begin"/>
      </w:r>
      <w:r>
        <w:instrText xml:space="preserve"> SEQ Table \* ARABIC </w:instrText>
      </w:r>
      <w:r>
        <w:fldChar w:fldCharType="separate"/>
      </w:r>
      <w:r w:rsidR="00C47A81">
        <w:rPr>
          <w:noProof/>
        </w:rPr>
        <w:t>14</w:t>
      </w:r>
      <w:r>
        <w:fldChar w:fldCharType="end"/>
      </w:r>
      <w:bookmarkEnd w:id="225"/>
      <w:r>
        <w:t xml:space="preserve">: </w:t>
      </w:r>
      <w:r w:rsidRPr="00D62325">
        <w:t xml:space="preserve">‘Unconstrained skill supply scenario’ </w:t>
      </w:r>
      <w:r>
        <w:t>–</w:t>
      </w:r>
      <w:r w:rsidRPr="00D62325">
        <w:t xml:space="preserve"> </w:t>
      </w:r>
      <w:r>
        <w:t>p</w:t>
      </w:r>
      <w:r w:rsidRPr="00D62325">
        <w:t>rojected</w:t>
      </w:r>
      <w:r>
        <w:t xml:space="preserve"> </w:t>
      </w:r>
      <w:r w:rsidRPr="00D62325">
        <w:t>employment growth over the next 5 and 10 years, by major occupation group</w:t>
      </w:r>
    </w:p>
    <w:tbl>
      <w:tblPr>
        <w:tblStyle w:val="JSATable1"/>
        <w:tblW w:w="9026" w:type="dxa"/>
        <w:tblLayout w:type="fixed"/>
        <w:tblLook w:val="0020" w:firstRow="1" w:lastRow="0" w:firstColumn="0" w:lastColumn="0" w:noHBand="0" w:noVBand="0"/>
        <w:tblCaption w:val="‘Unconstrained skill supply scenario’ - Projected employment growth over the next 5 and 10 years, by major occupation group"/>
        <w:tblDescription w:val="This shows projected employment by major occupation group, under the 'unconstrained skill supply' scenario*. It also shows the employment share of each occupation group under the unconstrained scenario, and how that is projected to change over the next 5 and 10 years.&#10;While employment is projected to grow for all major occupation groups in both scenarios, in the unconstrained scenario there is lesser growth in employment for Professionals and Managers, and higher growth in all other occupation groups (when compared to the baseline projections). &#10;Similarly, in the unconstrained scenario, the employment shares of Managers and Professionals are projected to be slightly lower compared to the baseline projections, while employment shares of all other major occupation groups are slightly higher."/>
      </w:tblPr>
      <w:tblGrid>
        <w:gridCol w:w="1418"/>
        <w:gridCol w:w="1086"/>
        <w:gridCol w:w="1087"/>
        <w:gridCol w:w="1087"/>
        <w:gridCol w:w="851"/>
        <w:gridCol w:w="1323"/>
        <w:gridCol w:w="1087"/>
        <w:gridCol w:w="1087"/>
      </w:tblGrid>
      <w:tr w:rsidR="002B2C12" w:rsidRPr="009653BF" w14:paraId="76010632" w14:textId="77777777" w:rsidTr="008709C8">
        <w:trPr>
          <w:cnfStyle w:val="100000000000" w:firstRow="1" w:lastRow="0" w:firstColumn="0" w:lastColumn="0" w:oddVBand="0" w:evenVBand="0" w:oddHBand="0" w:evenHBand="0" w:firstRowFirstColumn="0" w:firstRowLastColumn="0" w:lastRowFirstColumn="0" w:lastRowLastColumn="0"/>
          <w:trHeight w:val="282"/>
        </w:trPr>
        <w:tc>
          <w:tcPr>
            <w:tcW w:w="1418" w:type="dxa"/>
            <w:vMerge w:val="restart"/>
            <w:vAlign w:val="center"/>
          </w:tcPr>
          <w:p w14:paraId="5445AE5A" w14:textId="443B367B" w:rsidR="002B2C12" w:rsidRPr="006A79EF" w:rsidRDefault="002B2C12" w:rsidP="000D3C4B">
            <w:pPr>
              <w:jc w:val="center"/>
              <w:rPr>
                <w:sz w:val="18"/>
                <w:szCs w:val="18"/>
              </w:rPr>
            </w:pPr>
            <w:r>
              <w:rPr>
                <w:sz w:val="18"/>
                <w:szCs w:val="18"/>
              </w:rPr>
              <w:t>Occupation</w:t>
            </w:r>
          </w:p>
        </w:tc>
        <w:tc>
          <w:tcPr>
            <w:tcW w:w="2173" w:type="dxa"/>
            <w:gridSpan w:val="2"/>
            <w:shd w:val="clear" w:color="auto" w:fill="E0D1F5" w:themeFill="accent1" w:themeFillTint="33"/>
            <w:vAlign w:val="center"/>
          </w:tcPr>
          <w:p w14:paraId="4D6B155E" w14:textId="017004ED" w:rsidR="002B2C12" w:rsidRPr="006A79EF" w:rsidRDefault="002B2C12" w:rsidP="000D3C4B">
            <w:pPr>
              <w:jc w:val="center"/>
              <w:rPr>
                <w:sz w:val="18"/>
                <w:szCs w:val="18"/>
              </w:rPr>
            </w:pPr>
            <w:r>
              <w:rPr>
                <w:sz w:val="18"/>
                <w:szCs w:val="18"/>
              </w:rPr>
              <w:t>Current Employment</w:t>
            </w:r>
          </w:p>
        </w:tc>
        <w:tc>
          <w:tcPr>
            <w:tcW w:w="1938" w:type="dxa"/>
            <w:gridSpan w:val="2"/>
            <w:shd w:val="clear" w:color="auto" w:fill="F5F8DD" w:themeFill="background2" w:themeFillTint="33"/>
            <w:vAlign w:val="center"/>
          </w:tcPr>
          <w:p w14:paraId="7809B48F" w14:textId="623A5EB6" w:rsidR="002B2C12" w:rsidRPr="006A79EF" w:rsidRDefault="002B2C12" w:rsidP="000D3C4B">
            <w:pPr>
              <w:jc w:val="center"/>
              <w:rPr>
                <w:sz w:val="18"/>
                <w:szCs w:val="18"/>
              </w:rPr>
            </w:pPr>
            <w:r>
              <w:rPr>
                <w:sz w:val="18"/>
                <w:szCs w:val="18"/>
              </w:rPr>
              <w:t>Baseline Projection</w:t>
            </w:r>
          </w:p>
        </w:tc>
        <w:tc>
          <w:tcPr>
            <w:tcW w:w="3497" w:type="dxa"/>
            <w:gridSpan w:val="3"/>
            <w:shd w:val="clear" w:color="auto" w:fill="CEE9FB" w:themeFill="accent5" w:themeFillTint="33"/>
            <w:vAlign w:val="center"/>
          </w:tcPr>
          <w:p w14:paraId="2F6CA4F5" w14:textId="37E09BD8" w:rsidR="002B2C12" w:rsidRPr="006A79EF" w:rsidRDefault="002B2C12" w:rsidP="000D3C4B">
            <w:pPr>
              <w:jc w:val="center"/>
              <w:rPr>
                <w:sz w:val="18"/>
                <w:szCs w:val="18"/>
              </w:rPr>
            </w:pPr>
            <w:r>
              <w:rPr>
                <w:sz w:val="18"/>
                <w:szCs w:val="18"/>
              </w:rPr>
              <w:t>Unconstrained Skill Supply Scenario Projection</w:t>
            </w:r>
          </w:p>
        </w:tc>
      </w:tr>
      <w:tr w:rsidR="00B25B3A" w:rsidRPr="0072174E" w14:paraId="76374AE2" w14:textId="77777777" w:rsidTr="008709C8">
        <w:trPr>
          <w:trHeight w:val="381"/>
        </w:trPr>
        <w:tc>
          <w:tcPr>
            <w:tcW w:w="1418" w:type="dxa"/>
            <w:vMerge/>
            <w:shd w:val="clear" w:color="auto" w:fill="2F005F"/>
          </w:tcPr>
          <w:p w14:paraId="47C9EA57" w14:textId="4F6BB12F" w:rsidR="00B25B3A" w:rsidRPr="0072174E" w:rsidRDefault="00B25B3A" w:rsidP="00B25B3A">
            <w:pPr>
              <w:rPr>
                <w:sz w:val="20"/>
                <w:szCs w:val="20"/>
              </w:rPr>
            </w:pPr>
          </w:p>
        </w:tc>
        <w:tc>
          <w:tcPr>
            <w:tcW w:w="1086" w:type="dxa"/>
            <w:shd w:val="clear" w:color="auto" w:fill="2F005F"/>
            <w:vAlign w:val="center"/>
          </w:tcPr>
          <w:p w14:paraId="486052BE" w14:textId="77777777" w:rsidR="00B25B3A" w:rsidRDefault="00B25B3A" w:rsidP="00B25B3A">
            <w:pPr>
              <w:jc w:val="center"/>
              <w:rPr>
                <w:sz w:val="18"/>
                <w:szCs w:val="18"/>
              </w:rPr>
            </w:pPr>
            <w:r>
              <w:rPr>
                <w:sz w:val="18"/>
                <w:szCs w:val="18"/>
              </w:rPr>
              <w:t>Empl.</w:t>
            </w:r>
          </w:p>
          <w:p w14:paraId="7D5769C2" w14:textId="77777777" w:rsidR="00B25B3A" w:rsidRDefault="00B25B3A" w:rsidP="00B25B3A">
            <w:pPr>
              <w:jc w:val="center"/>
              <w:rPr>
                <w:sz w:val="18"/>
                <w:szCs w:val="18"/>
              </w:rPr>
            </w:pPr>
            <w:r>
              <w:rPr>
                <w:sz w:val="18"/>
                <w:szCs w:val="18"/>
              </w:rPr>
              <w:t>(‘000)</w:t>
            </w:r>
          </w:p>
          <w:p w14:paraId="282FE96B" w14:textId="083EFABF" w:rsidR="00B25B3A" w:rsidRPr="005E7F2E" w:rsidRDefault="00B25B3A" w:rsidP="00B25B3A">
            <w:pPr>
              <w:jc w:val="center"/>
              <w:rPr>
                <w:sz w:val="18"/>
                <w:szCs w:val="18"/>
              </w:rPr>
            </w:pPr>
            <w:r>
              <w:rPr>
                <w:sz w:val="18"/>
                <w:szCs w:val="18"/>
              </w:rPr>
              <w:t>May 2024</w:t>
            </w:r>
          </w:p>
        </w:tc>
        <w:tc>
          <w:tcPr>
            <w:tcW w:w="1087" w:type="dxa"/>
            <w:shd w:val="clear" w:color="auto" w:fill="2F005F"/>
            <w:vAlign w:val="center"/>
          </w:tcPr>
          <w:p w14:paraId="511A713B" w14:textId="4E3A110C" w:rsidR="00B25B3A" w:rsidRPr="005E7F2E" w:rsidRDefault="00B25B3A" w:rsidP="00B25B3A">
            <w:pPr>
              <w:jc w:val="center"/>
              <w:rPr>
                <w:sz w:val="18"/>
                <w:szCs w:val="18"/>
              </w:rPr>
            </w:pPr>
            <w:r w:rsidRPr="00B25B3A">
              <w:rPr>
                <w:sz w:val="18"/>
                <w:szCs w:val="18"/>
              </w:rPr>
              <w:t>Share of empl</w:t>
            </w:r>
            <w:r w:rsidR="008709C8">
              <w:rPr>
                <w:sz w:val="18"/>
                <w:szCs w:val="18"/>
              </w:rPr>
              <w:t>.</w:t>
            </w:r>
          </w:p>
        </w:tc>
        <w:tc>
          <w:tcPr>
            <w:tcW w:w="1087" w:type="dxa"/>
            <w:shd w:val="clear" w:color="auto" w:fill="2F005F"/>
            <w:vAlign w:val="center"/>
          </w:tcPr>
          <w:p w14:paraId="354B1287" w14:textId="77777777" w:rsidR="00B25B3A" w:rsidRDefault="00B25B3A" w:rsidP="00B25B3A">
            <w:pPr>
              <w:jc w:val="center"/>
              <w:rPr>
                <w:sz w:val="18"/>
                <w:szCs w:val="18"/>
              </w:rPr>
            </w:pPr>
            <w:r>
              <w:rPr>
                <w:sz w:val="18"/>
                <w:szCs w:val="18"/>
              </w:rPr>
              <w:t>Empl.</w:t>
            </w:r>
          </w:p>
          <w:p w14:paraId="1C12A7CD" w14:textId="77777777" w:rsidR="00B25B3A" w:rsidRDefault="00B25B3A" w:rsidP="00B25B3A">
            <w:pPr>
              <w:jc w:val="center"/>
              <w:rPr>
                <w:sz w:val="18"/>
                <w:szCs w:val="18"/>
              </w:rPr>
            </w:pPr>
            <w:r>
              <w:rPr>
                <w:sz w:val="18"/>
                <w:szCs w:val="18"/>
              </w:rPr>
              <w:t>(‘000)</w:t>
            </w:r>
          </w:p>
          <w:p w14:paraId="7E76C995" w14:textId="0456357A" w:rsidR="00B25B3A" w:rsidRPr="005E7F2E" w:rsidRDefault="00B25B3A" w:rsidP="00B25B3A">
            <w:pPr>
              <w:jc w:val="center"/>
              <w:rPr>
                <w:sz w:val="18"/>
                <w:szCs w:val="18"/>
              </w:rPr>
            </w:pPr>
            <w:r>
              <w:rPr>
                <w:sz w:val="18"/>
                <w:szCs w:val="18"/>
              </w:rPr>
              <w:t>May 20</w:t>
            </w:r>
            <w:r w:rsidR="00012981">
              <w:rPr>
                <w:sz w:val="18"/>
                <w:szCs w:val="18"/>
              </w:rPr>
              <w:t>34</w:t>
            </w:r>
          </w:p>
        </w:tc>
        <w:tc>
          <w:tcPr>
            <w:tcW w:w="851" w:type="dxa"/>
            <w:shd w:val="clear" w:color="auto" w:fill="2F005F"/>
            <w:vAlign w:val="center"/>
          </w:tcPr>
          <w:p w14:paraId="2E206193" w14:textId="1DBCB811" w:rsidR="00B25B3A" w:rsidRPr="005E7F2E" w:rsidRDefault="008709C8" w:rsidP="00B25B3A">
            <w:pPr>
              <w:jc w:val="center"/>
              <w:rPr>
                <w:sz w:val="18"/>
                <w:szCs w:val="18"/>
              </w:rPr>
            </w:pPr>
            <w:r w:rsidRPr="00B25B3A">
              <w:rPr>
                <w:sz w:val="18"/>
                <w:szCs w:val="18"/>
              </w:rPr>
              <w:t>Share of empl</w:t>
            </w:r>
            <w:r>
              <w:rPr>
                <w:sz w:val="18"/>
                <w:szCs w:val="18"/>
              </w:rPr>
              <w:t>.</w:t>
            </w:r>
          </w:p>
        </w:tc>
        <w:tc>
          <w:tcPr>
            <w:tcW w:w="1323" w:type="dxa"/>
            <w:shd w:val="clear" w:color="auto" w:fill="2F005F"/>
            <w:vAlign w:val="center"/>
          </w:tcPr>
          <w:p w14:paraId="32C5E4A6" w14:textId="77777777" w:rsidR="00B25B3A" w:rsidRDefault="00B25B3A" w:rsidP="00B25B3A">
            <w:pPr>
              <w:jc w:val="center"/>
              <w:rPr>
                <w:sz w:val="18"/>
                <w:szCs w:val="18"/>
              </w:rPr>
            </w:pPr>
            <w:r>
              <w:rPr>
                <w:sz w:val="18"/>
                <w:szCs w:val="18"/>
              </w:rPr>
              <w:t>Empl.</w:t>
            </w:r>
          </w:p>
          <w:p w14:paraId="6CE18A65" w14:textId="77777777" w:rsidR="00B25B3A" w:rsidRDefault="00B25B3A" w:rsidP="00B25B3A">
            <w:pPr>
              <w:jc w:val="center"/>
              <w:rPr>
                <w:sz w:val="18"/>
                <w:szCs w:val="18"/>
              </w:rPr>
            </w:pPr>
            <w:r>
              <w:rPr>
                <w:sz w:val="18"/>
                <w:szCs w:val="18"/>
              </w:rPr>
              <w:t>(‘000)</w:t>
            </w:r>
          </w:p>
          <w:p w14:paraId="2B4C1567" w14:textId="6D61C83A" w:rsidR="00B25B3A" w:rsidRPr="005E7F2E" w:rsidRDefault="00B25B3A" w:rsidP="00B25B3A">
            <w:pPr>
              <w:jc w:val="center"/>
              <w:rPr>
                <w:sz w:val="18"/>
                <w:szCs w:val="18"/>
              </w:rPr>
            </w:pPr>
            <w:r>
              <w:rPr>
                <w:sz w:val="18"/>
                <w:szCs w:val="18"/>
              </w:rPr>
              <w:t>May 20</w:t>
            </w:r>
            <w:r w:rsidR="00883258">
              <w:rPr>
                <w:sz w:val="18"/>
                <w:szCs w:val="18"/>
              </w:rPr>
              <w:t>3</w:t>
            </w:r>
            <w:r>
              <w:rPr>
                <w:sz w:val="18"/>
                <w:szCs w:val="18"/>
              </w:rPr>
              <w:t>4</w:t>
            </w:r>
          </w:p>
        </w:tc>
        <w:tc>
          <w:tcPr>
            <w:tcW w:w="1087" w:type="dxa"/>
            <w:shd w:val="clear" w:color="auto" w:fill="2F005F"/>
            <w:vAlign w:val="center"/>
          </w:tcPr>
          <w:p w14:paraId="20DDD175" w14:textId="2C1F3B0D" w:rsidR="00B25B3A" w:rsidRPr="005E7F2E" w:rsidRDefault="008709C8" w:rsidP="00B25B3A">
            <w:pPr>
              <w:jc w:val="center"/>
              <w:rPr>
                <w:sz w:val="18"/>
                <w:szCs w:val="18"/>
              </w:rPr>
            </w:pPr>
            <w:r w:rsidRPr="00B25B3A">
              <w:rPr>
                <w:sz w:val="18"/>
                <w:szCs w:val="18"/>
              </w:rPr>
              <w:t>Share of empl</w:t>
            </w:r>
            <w:r>
              <w:rPr>
                <w:sz w:val="18"/>
                <w:szCs w:val="18"/>
              </w:rPr>
              <w:t>.</w:t>
            </w:r>
          </w:p>
        </w:tc>
        <w:tc>
          <w:tcPr>
            <w:tcW w:w="1087" w:type="dxa"/>
            <w:shd w:val="clear" w:color="auto" w:fill="2F005F"/>
            <w:vAlign w:val="center"/>
          </w:tcPr>
          <w:p w14:paraId="2E1BAF8B" w14:textId="77777777" w:rsidR="00B25B3A" w:rsidRDefault="00B25B3A" w:rsidP="00B25B3A">
            <w:pPr>
              <w:jc w:val="center"/>
              <w:rPr>
                <w:sz w:val="18"/>
                <w:szCs w:val="18"/>
              </w:rPr>
            </w:pPr>
            <w:r>
              <w:rPr>
                <w:sz w:val="18"/>
                <w:szCs w:val="18"/>
              </w:rPr>
              <w:t>Deviation from baseline projection</w:t>
            </w:r>
          </w:p>
          <w:p w14:paraId="78B94274" w14:textId="52F6BC61" w:rsidR="008709C8" w:rsidRPr="005E7F2E" w:rsidRDefault="008709C8" w:rsidP="00B25B3A">
            <w:pPr>
              <w:jc w:val="center"/>
              <w:rPr>
                <w:sz w:val="18"/>
                <w:szCs w:val="18"/>
              </w:rPr>
            </w:pPr>
            <w:r>
              <w:rPr>
                <w:sz w:val="18"/>
                <w:szCs w:val="18"/>
              </w:rPr>
              <w:t>(‘000)</w:t>
            </w:r>
          </w:p>
        </w:tc>
      </w:tr>
      <w:tr w:rsidR="002B2C12" w:rsidRPr="0072174E" w14:paraId="15661983" w14:textId="77777777" w:rsidTr="008709C8">
        <w:trPr>
          <w:cnfStyle w:val="000000010000" w:firstRow="0" w:lastRow="0" w:firstColumn="0" w:lastColumn="0" w:oddVBand="0" w:evenVBand="0" w:oddHBand="0" w:evenHBand="1" w:firstRowFirstColumn="0" w:firstRowLastColumn="0" w:lastRowFirstColumn="0" w:lastRowLastColumn="0"/>
          <w:trHeight w:val="381"/>
        </w:trPr>
        <w:tc>
          <w:tcPr>
            <w:tcW w:w="1418" w:type="dxa"/>
          </w:tcPr>
          <w:p w14:paraId="1E0B7478" w14:textId="276A031B" w:rsidR="002B2C12" w:rsidRPr="002B2C12" w:rsidRDefault="002B2C12" w:rsidP="002B2C12">
            <w:pPr>
              <w:rPr>
                <w:rFonts w:asciiTheme="minorHAnsi" w:hAnsiTheme="minorHAnsi" w:cstheme="minorHAnsi"/>
                <w:sz w:val="18"/>
                <w:szCs w:val="18"/>
              </w:rPr>
            </w:pPr>
            <w:r w:rsidRPr="002B2C12">
              <w:rPr>
                <w:rFonts w:asciiTheme="minorHAnsi" w:hAnsiTheme="minorHAnsi" w:cstheme="minorHAnsi"/>
                <w:sz w:val="18"/>
                <w:szCs w:val="18"/>
              </w:rPr>
              <w:t>Managers</w:t>
            </w:r>
          </w:p>
        </w:tc>
        <w:tc>
          <w:tcPr>
            <w:tcW w:w="1086" w:type="dxa"/>
          </w:tcPr>
          <w:p w14:paraId="387FF2B1" w14:textId="2905E08D"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1,856.9 </w:t>
            </w:r>
          </w:p>
        </w:tc>
        <w:tc>
          <w:tcPr>
            <w:tcW w:w="1087" w:type="dxa"/>
          </w:tcPr>
          <w:p w14:paraId="1F8E34A3" w14:textId="61844E79"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12.9%</w:t>
            </w:r>
          </w:p>
        </w:tc>
        <w:tc>
          <w:tcPr>
            <w:tcW w:w="1087" w:type="dxa"/>
          </w:tcPr>
          <w:p w14:paraId="2D861DDE" w14:textId="2BC35C36"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2,148.1 </w:t>
            </w:r>
          </w:p>
        </w:tc>
        <w:tc>
          <w:tcPr>
            <w:tcW w:w="851" w:type="dxa"/>
          </w:tcPr>
          <w:p w14:paraId="0D34A086" w14:textId="00B55ECF"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13.2%</w:t>
            </w:r>
          </w:p>
        </w:tc>
        <w:tc>
          <w:tcPr>
            <w:tcW w:w="1323" w:type="dxa"/>
          </w:tcPr>
          <w:p w14:paraId="36FEE41C" w14:textId="4902E0D9"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2,141.7 </w:t>
            </w:r>
          </w:p>
        </w:tc>
        <w:tc>
          <w:tcPr>
            <w:tcW w:w="1087" w:type="dxa"/>
          </w:tcPr>
          <w:p w14:paraId="6B81DF2F" w14:textId="0E78C0C6"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13.1%</w:t>
            </w:r>
          </w:p>
        </w:tc>
        <w:tc>
          <w:tcPr>
            <w:tcW w:w="1087" w:type="dxa"/>
          </w:tcPr>
          <w:p w14:paraId="705C062F" w14:textId="49882600"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-6.3 </w:t>
            </w:r>
          </w:p>
        </w:tc>
      </w:tr>
      <w:tr w:rsidR="002B2C12" w:rsidRPr="0072174E" w14:paraId="41A9B091" w14:textId="77777777" w:rsidTr="008709C8">
        <w:trPr>
          <w:trHeight w:val="366"/>
        </w:trPr>
        <w:tc>
          <w:tcPr>
            <w:tcW w:w="1418" w:type="dxa"/>
          </w:tcPr>
          <w:p w14:paraId="08ED6161" w14:textId="07269F14" w:rsidR="002B2C12" w:rsidRPr="002B2C12" w:rsidRDefault="002B2C12" w:rsidP="002B2C12">
            <w:pPr>
              <w:rPr>
                <w:rFonts w:asciiTheme="minorHAnsi" w:hAnsiTheme="minorHAnsi" w:cstheme="minorHAnsi"/>
                <w:sz w:val="18"/>
                <w:szCs w:val="18"/>
              </w:rPr>
            </w:pPr>
            <w:r w:rsidRPr="002B2C12">
              <w:rPr>
                <w:rFonts w:asciiTheme="minorHAnsi" w:hAnsiTheme="minorHAnsi" w:cstheme="minorHAnsi"/>
                <w:sz w:val="18"/>
                <w:szCs w:val="18"/>
              </w:rPr>
              <w:t>Professionals</w:t>
            </w:r>
          </w:p>
        </w:tc>
        <w:tc>
          <w:tcPr>
            <w:tcW w:w="1086" w:type="dxa"/>
          </w:tcPr>
          <w:p w14:paraId="15BD6EDA" w14:textId="6FB163E8"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3,763.2 </w:t>
            </w:r>
          </w:p>
        </w:tc>
        <w:tc>
          <w:tcPr>
            <w:tcW w:w="1087" w:type="dxa"/>
          </w:tcPr>
          <w:p w14:paraId="1F5265E8" w14:textId="0352AA7B"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26.2%</w:t>
            </w:r>
          </w:p>
        </w:tc>
        <w:tc>
          <w:tcPr>
            <w:tcW w:w="1087" w:type="dxa"/>
          </w:tcPr>
          <w:p w14:paraId="371C3E6A" w14:textId="1562D314"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4,548.3 </w:t>
            </w:r>
          </w:p>
        </w:tc>
        <w:tc>
          <w:tcPr>
            <w:tcW w:w="851" w:type="dxa"/>
          </w:tcPr>
          <w:p w14:paraId="519326C6" w14:textId="0B48680F"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27.9%</w:t>
            </w:r>
          </w:p>
        </w:tc>
        <w:tc>
          <w:tcPr>
            <w:tcW w:w="1323" w:type="dxa"/>
          </w:tcPr>
          <w:p w14:paraId="15435199" w14:textId="73CCBDFF"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4,507.0 </w:t>
            </w:r>
          </w:p>
        </w:tc>
        <w:tc>
          <w:tcPr>
            <w:tcW w:w="1087" w:type="dxa"/>
          </w:tcPr>
          <w:p w14:paraId="529E21FD" w14:textId="10A1C278"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27.6%</w:t>
            </w:r>
          </w:p>
        </w:tc>
        <w:tc>
          <w:tcPr>
            <w:tcW w:w="1087" w:type="dxa"/>
          </w:tcPr>
          <w:p w14:paraId="178AC4B9" w14:textId="28AE3F8D"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-41.2 </w:t>
            </w:r>
          </w:p>
        </w:tc>
      </w:tr>
      <w:tr w:rsidR="002B2C12" w:rsidRPr="0072174E" w14:paraId="092406EA" w14:textId="77777777" w:rsidTr="008709C8">
        <w:trPr>
          <w:cnfStyle w:val="000000010000" w:firstRow="0" w:lastRow="0" w:firstColumn="0" w:lastColumn="0" w:oddVBand="0" w:evenVBand="0" w:oddHBand="0" w:evenHBand="1" w:firstRowFirstColumn="0" w:firstRowLastColumn="0" w:lastRowFirstColumn="0" w:lastRowLastColumn="0"/>
          <w:trHeight w:val="366"/>
        </w:trPr>
        <w:tc>
          <w:tcPr>
            <w:tcW w:w="1418" w:type="dxa"/>
          </w:tcPr>
          <w:p w14:paraId="25E78FD5" w14:textId="3FC8C26A" w:rsidR="002B2C12" w:rsidRPr="002B2C12" w:rsidRDefault="002B2C12" w:rsidP="002B2C12">
            <w:pPr>
              <w:rPr>
                <w:rFonts w:asciiTheme="minorHAnsi" w:hAnsiTheme="minorHAnsi" w:cstheme="minorHAnsi"/>
                <w:sz w:val="18"/>
                <w:szCs w:val="18"/>
              </w:rPr>
            </w:pPr>
            <w:r w:rsidRPr="002B2C12">
              <w:rPr>
                <w:rFonts w:asciiTheme="minorHAnsi" w:hAnsiTheme="minorHAnsi" w:cstheme="minorHAnsi"/>
                <w:sz w:val="18"/>
                <w:szCs w:val="18"/>
              </w:rPr>
              <w:t>Technicians and Trades Workers</w:t>
            </w:r>
          </w:p>
        </w:tc>
        <w:tc>
          <w:tcPr>
            <w:tcW w:w="1086" w:type="dxa"/>
          </w:tcPr>
          <w:p w14:paraId="3F859A19" w14:textId="13D72D35"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1,967.8 </w:t>
            </w:r>
          </w:p>
        </w:tc>
        <w:tc>
          <w:tcPr>
            <w:tcW w:w="1087" w:type="dxa"/>
          </w:tcPr>
          <w:p w14:paraId="03758202" w14:textId="40EE15C8"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13.7%</w:t>
            </w:r>
          </w:p>
        </w:tc>
        <w:tc>
          <w:tcPr>
            <w:tcW w:w="1087" w:type="dxa"/>
          </w:tcPr>
          <w:p w14:paraId="4E0940CC" w14:textId="08C67718"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2,154.6 </w:t>
            </w:r>
          </w:p>
        </w:tc>
        <w:tc>
          <w:tcPr>
            <w:tcW w:w="851" w:type="dxa"/>
          </w:tcPr>
          <w:p w14:paraId="5407A32E" w14:textId="40D39A9A"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13.2%</w:t>
            </w:r>
          </w:p>
        </w:tc>
        <w:tc>
          <w:tcPr>
            <w:tcW w:w="1323" w:type="dxa"/>
          </w:tcPr>
          <w:p w14:paraId="440C0A15" w14:textId="10DED958"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2,162.4 </w:t>
            </w:r>
          </w:p>
        </w:tc>
        <w:tc>
          <w:tcPr>
            <w:tcW w:w="1087" w:type="dxa"/>
          </w:tcPr>
          <w:p w14:paraId="1CEB9076" w14:textId="5044BED0"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13.2%</w:t>
            </w:r>
          </w:p>
        </w:tc>
        <w:tc>
          <w:tcPr>
            <w:tcW w:w="1087" w:type="dxa"/>
          </w:tcPr>
          <w:p w14:paraId="1411C7A0" w14:textId="78591417"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7.8 </w:t>
            </w:r>
          </w:p>
        </w:tc>
      </w:tr>
      <w:tr w:rsidR="002B2C12" w:rsidRPr="0072174E" w14:paraId="2D68968C" w14:textId="77777777" w:rsidTr="008709C8">
        <w:trPr>
          <w:trHeight w:val="366"/>
        </w:trPr>
        <w:tc>
          <w:tcPr>
            <w:tcW w:w="1418" w:type="dxa"/>
          </w:tcPr>
          <w:p w14:paraId="462A04EA" w14:textId="0C64B117" w:rsidR="002B2C12" w:rsidRPr="002B2C12" w:rsidRDefault="002B2C12" w:rsidP="002B2C12">
            <w:pPr>
              <w:rPr>
                <w:rFonts w:asciiTheme="minorHAnsi" w:hAnsiTheme="minorHAnsi" w:cstheme="minorHAnsi"/>
                <w:sz w:val="18"/>
                <w:szCs w:val="18"/>
              </w:rPr>
            </w:pPr>
            <w:r w:rsidRPr="002B2C12">
              <w:rPr>
                <w:rFonts w:asciiTheme="minorHAnsi" w:hAnsiTheme="minorHAnsi" w:cstheme="minorHAnsi"/>
                <w:sz w:val="18"/>
                <w:szCs w:val="18"/>
              </w:rPr>
              <w:t>Community and Personal Service Workers</w:t>
            </w:r>
          </w:p>
        </w:tc>
        <w:tc>
          <w:tcPr>
            <w:tcW w:w="1086" w:type="dxa"/>
          </w:tcPr>
          <w:p w14:paraId="550B70E7" w14:textId="0DEA8737"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1,666.1 </w:t>
            </w:r>
          </w:p>
        </w:tc>
        <w:tc>
          <w:tcPr>
            <w:tcW w:w="1087" w:type="dxa"/>
          </w:tcPr>
          <w:p w14:paraId="32F73D56" w14:textId="795203DF"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11.6%</w:t>
            </w:r>
          </w:p>
        </w:tc>
        <w:tc>
          <w:tcPr>
            <w:tcW w:w="1087" w:type="dxa"/>
          </w:tcPr>
          <w:p w14:paraId="51F8E9E7" w14:textId="5A6B795F"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1,960.7 </w:t>
            </w:r>
          </w:p>
        </w:tc>
        <w:tc>
          <w:tcPr>
            <w:tcW w:w="851" w:type="dxa"/>
          </w:tcPr>
          <w:p w14:paraId="55321EB4" w14:textId="681C18FC"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12.0%</w:t>
            </w:r>
          </w:p>
        </w:tc>
        <w:tc>
          <w:tcPr>
            <w:tcW w:w="1323" w:type="dxa"/>
          </w:tcPr>
          <w:p w14:paraId="7ED0CCC8" w14:textId="18F775D5"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1,981.2 </w:t>
            </w:r>
          </w:p>
        </w:tc>
        <w:tc>
          <w:tcPr>
            <w:tcW w:w="1087" w:type="dxa"/>
          </w:tcPr>
          <w:p w14:paraId="2B4D1C5A" w14:textId="687030A3"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12.1%</w:t>
            </w:r>
          </w:p>
        </w:tc>
        <w:tc>
          <w:tcPr>
            <w:tcW w:w="1087" w:type="dxa"/>
          </w:tcPr>
          <w:p w14:paraId="484580BC" w14:textId="3306C943"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20.6 </w:t>
            </w:r>
          </w:p>
        </w:tc>
      </w:tr>
      <w:tr w:rsidR="002B2C12" w:rsidRPr="0072174E" w14:paraId="3F9587E2" w14:textId="77777777" w:rsidTr="008709C8">
        <w:trPr>
          <w:cnfStyle w:val="000000010000" w:firstRow="0" w:lastRow="0" w:firstColumn="0" w:lastColumn="0" w:oddVBand="0" w:evenVBand="0" w:oddHBand="0" w:evenHBand="1" w:firstRowFirstColumn="0" w:firstRowLastColumn="0" w:lastRowFirstColumn="0" w:lastRowLastColumn="0"/>
          <w:trHeight w:val="366"/>
        </w:trPr>
        <w:tc>
          <w:tcPr>
            <w:tcW w:w="1418" w:type="dxa"/>
          </w:tcPr>
          <w:p w14:paraId="20644211" w14:textId="2663E655" w:rsidR="002B2C12" w:rsidRPr="002B2C12" w:rsidRDefault="002B2C12" w:rsidP="002B2C12">
            <w:pPr>
              <w:rPr>
                <w:rFonts w:asciiTheme="minorHAnsi" w:hAnsiTheme="minorHAnsi" w:cstheme="minorHAnsi"/>
                <w:sz w:val="18"/>
                <w:szCs w:val="18"/>
              </w:rPr>
            </w:pPr>
            <w:r w:rsidRPr="002B2C12">
              <w:rPr>
                <w:rFonts w:asciiTheme="minorHAnsi" w:hAnsiTheme="minorHAnsi" w:cstheme="minorHAnsi"/>
                <w:sz w:val="18"/>
                <w:szCs w:val="18"/>
              </w:rPr>
              <w:t>Clerical and Administrative Workers</w:t>
            </w:r>
          </w:p>
        </w:tc>
        <w:tc>
          <w:tcPr>
            <w:tcW w:w="1086" w:type="dxa"/>
          </w:tcPr>
          <w:p w14:paraId="41474B69" w14:textId="6188204C"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1,855.1 </w:t>
            </w:r>
          </w:p>
        </w:tc>
        <w:tc>
          <w:tcPr>
            <w:tcW w:w="1087" w:type="dxa"/>
          </w:tcPr>
          <w:p w14:paraId="6724CEB0" w14:textId="3E4BE025"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12.9%</w:t>
            </w:r>
          </w:p>
        </w:tc>
        <w:tc>
          <w:tcPr>
            <w:tcW w:w="1087" w:type="dxa"/>
          </w:tcPr>
          <w:p w14:paraId="0A1A2416" w14:textId="7FE2D1CA"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2,029.6 </w:t>
            </w:r>
          </w:p>
        </w:tc>
        <w:tc>
          <w:tcPr>
            <w:tcW w:w="851" w:type="dxa"/>
          </w:tcPr>
          <w:p w14:paraId="27E713EB" w14:textId="3B97373B"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12.4%</w:t>
            </w:r>
          </w:p>
        </w:tc>
        <w:tc>
          <w:tcPr>
            <w:tcW w:w="1323" w:type="dxa"/>
          </w:tcPr>
          <w:p w14:paraId="66F3F37D" w14:textId="332EAE39"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2,037.2 </w:t>
            </w:r>
          </w:p>
        </w:tc>
        <w:tc>
          <w:tcPr>
            <w:tcW w:w="1087" w:type="dxa"/>
          </w:tcPr>
          <w:p w14:paraId="37D0E970" w14:textId="20DE87BE"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12.5%</w:t>
            </w:r>
          </w:p>
        </w:tc>
        <w:tc>
          <w:tcPr>
            <w:tcW w:w="1087" w:type="dxa"/>
          </w:tcPr>
          <w:p w14:paraId="64983E29" w14:textId="140A3EFF"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7.6 </w:t>
            </w:r>
          </w:p>
        </w:tc>
      </w:tr>
      <w:tr w:rsidR="002B2C12" w:rsidRPr="0072174E" w14:paraId="10DFD642" w14:textId="77777777" w:rsidTr="008709C8">
        <w:trPr>
          <w:trHeight w:val="366"/>
        </w:trPr>
        <w:tc>
          <w:tcPr>
            <w:tcW w:w="1418" w:type="dxa"/>
          </w:tcPr>
          <w:p w14:paraId="668AAC89" w14:textId="681F6E3D" w:rsidR="002B2C12" w:rsidRPr="002B2C12" w:rsidRDefault="002B2C12" w:rsidP="002B2C12">
            <w:pPr>
              <w:rPr>
                <w:rFonts w:asciiTheme="minorHAnsi" w:hAnsiTheme="minorHAnsi" w:cstheme="minorHAnsi"/>
                <w:sz w:val="18"/>
                <w:szCs w:val="18"/>
              </w:rPr>
            </w:pPr>
            <w:r w:rsidRPr="002B2C12">
              <w:rPr>
                <w:rFonts w:asciiTheme="minorHAnsi" w:hAnsiTheme="minorHAnsi" w:cstheme="minorHAnsi"/>
                <w:sz w:val="18"/>
                <w:szCs w:val="18"/>
              </w:rPr>
              <w:t>Sales Workers</w:t>
            </w:r>
          </w:p>
        </w:tc>
        <w:tc>
          <w:tcPr>
            <w:tcW w:w="1086" w:type="dxa"/>
          </w:tcPr>
          <w:p w14:paraId="7109EFE3" w14:textId="18D4FD71"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1,116.1 </w:t>
            </w:r>
          </w:p>
        </w:tc>
        <w:tc>
          <w:tcPr>
            <w:tcW w:w="1087" w:type="dxa"/>
          </w:tcPr>
          <w:p w14:paraId="2544DBCA" w14:textId="3E0BA561"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7.8%</w:t>
            </w:r>
          </w:p>
        </w:tc>
        <w:tc>
          <w:tcPr>
            <w:tcW w:w="1087" w:type="dxa"/>
          </w:tcPr>
          <w:p w14:paraId="5DB0A5D4" w14:textId="5FD43F19"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1,204.1 </w:t>
            </w:r>
          </w:p>
        </w:tc>
        <w:tc>
          <w:tcPr>
            <w:tcW w:w="851" w:type="dxa"/>
          </w:tcPr>
          <w:p w14:paraId="5CD6A0DD" w14:textId="6C857925"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7.4%</w:t>
            </w:r>
          </w:p>
        </w:tc>
        <w:tc>
          <w:tcPr>
            <w:tcW w:w="1323" w:type="dxa"/>
          </w:tcPr>
          <w:p w14:paraId="30E618E0" w14:textId="57858331"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1,208.8 </w:t>
            </w:r>
          </w:p>
        </w:tc>
        <w:tc>
          <w:tcPr>
            <w:tcW w:w="1087" w:type="dxa"/>
          </w:tcPr>
          <w:p w14:paraId="06551402" w14:textId="3806C74B"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7.4%</w:t>
            </w:r>
          </w:p>
        </w:tc>
        <w:tc>
          <w:tcPr>
            <w:tcW w:w="1087" w:type="dxa"/>
          </w:tcPr>
          <w:p w14:paraId="08ED40E9" w14:textId="77184F93"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4.7 </w:t>
            </w:r>
          </w:p>
        </w:tc>
      </w:tr>
      <w:tr w:rsidR="002B2C12" w:rsidRPr="0072174E" w14:paraId="7ABD3734" w14:textId="77777777" w:rsidTr="008709C8">
        <w:trPr>
          <w:cnfStyle w:val="000000010000" w:firstRow="0" w:lastRow="0" w:firstColumn="0" w:lastColumn="0" w:oddVBand="0" w:evenVBand="0" w:oddHBand="0" w:evenHBand="1" w:firstRowFirstColumn="0" w:firstRowLastColumn="0" w:lastRowFirstColumn="0" w:lastRowLastColumn="0"/>
          <w:trHeight w:val="366"/>
        </w:trPr>
        <w:tc>
          <w:tcPr>
            <w:tcW w:w="1418" w:type="dxa"/>
          </w:tcPr>
          <w:p w14:paraId="762B4A83" w14:textId="7AB1B79B" w:rsidR="002B2C12" w:rsidRPr="002B2C12" w:rsidRDefault="002B2C12" w:rsidP="002B2C12">
            <w:pPr>
              <w:rPr>
                <w:rFonts w:asciiTheme="minorHAnsi" w:hAnsiTheme="minorHAnsi" w:cstheme="minorHAnsi"/>
                <w:sz w:val="18"/>
                <w:szCs w:val="18"/>
              </w:rPr>
            </w:pPr>
            <w:r w:rsidRPr="002B2C12">
              <w:rPr>
                <w:rFonts w:asciiTheme="minorHAnsi" w:hAnsiTheme="minorHAnsi" w:cstheme="minorHAnsi"/>
                <w:sz w:val="18"/>
                <w:szCs w:val="18"/>
              </w:rPr>
              <w:t>Machinery Operators and Drivers</w:t>
            </w:r>
          </w:p>
        </w:tc>
        <w:tc>
          <w:tcPr>
            <w:tcW w:w="1086" w:type="dxa"/>
          </w:tcPr>
          <w:p w14:paraId="75D667B1" w14:textId="0EDDA33B"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920.2 </w:t>
            </w:r>
          </w:p>
        </w:tc>
        <w:tc>
          <w:tcPr>
            <w:tcW w:w="1087" w:type="dxa"/>
          </w:tcPr>
          <w:p w14:paraId="3D54E4EA" w14:textId="67CBD3E4"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6.4%</w:t>
            </w:r>
          </w:p>
        </w:tc>
        <w:tc>
          <w:tcPr>
            <w:tcW w:w="1087" w:type="dxa"/>
          </w:tcPr>
          <w:p w14:paraId="7CDEC955" w14:textId="118CBA48"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1,007.7 </w:t>
            </w:r>
          </w:p>
        </w:tc>
        <w:tc>
          <w:tcPr>
            <w:tcW w:w="851" w:type="dxa"/>
          </w:tcPr>
          <w:p w14:paraId="09DECA67" w14:textId="5ED31793"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6.2%</w:t>
            </w:r>
          </w:p>
        </w:tc>
        <w:tc>
          <w:tcPr>
            <w:tcW w:w="1323" w:type="dxa"/>
          </w:tcPr>
          <w:p w14:paraId="43078318" w14:textId="633C3DD0"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1,010.6 </w:t>
            </w:r>
          </w:p>
        </w:tc>
        <w:tc>
          <w:tcPr>
            <w:tcW w:w="1087" w:type="dxa"/>
          </w:tcPr>
          <w:p w14:paraId="123D19F8" w14:textId="191C457B"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6.2%</w:t>
            </w:r>
          </w:p>
        </w:tc>
        <w:tc>
          <w:tcPr>
            <w:tcW w:w="1087" w:type="dxa"/>
          </w:tcPr>
          <w:p w14:paraId="4D1A084C" w14:textId="6CA24F41"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2.8 </w:t>
            </w:r>
          </w:p>
        </w:tc>
      </w:tr>
      <w:tr w:rsidR="002B2C12" w:rsidRPr="0072174E" w14:paraId="3572DF6D" w14:textId="77777777" w:rsidTr="008709C8">
        <w:trPr>
          <w:trHeight w:val="366"/>
        </w:trPr>
        <w:tc>
          <w:tcPr>
            <w:tcW w:w="1418" w:type="dxa"/>
          </w:tcPr>
          <w:p w14:paraId="47FBBFCC" w14:textId="29C76D12" w:rsidR="002B2C12" w:rsidRPr="002B2C12" w:rsidRDefault="002B2C12" w:rsidP="002B2C12">
            <w:pPr>
              <w:rPr>
                <w:rFonts w:asciiTheme="minorHAnsi" w:hAnsiTheme="minorHAnsi" w:cstheme="minorHAnsi"/>
                <w:sz w:val="18"/>
                <w:szCs w:val="18"/>
              </w:rPr>
            </w:pPr>
            <w:r w:rsidRPr="002B2C12">
              <w:rPr>
                <w:rFonts w:asciiTheme="minorHAnsi" w:hAnsiTheme="minorHAnsi" w:cstheme="minorHAnsi"/>
                <w:sz w:val="18"/>
                <w:szCs w:val="18"/>
              </w:rPr>
              <w:t>Labourers</w:t>
            </w:r>
          </w:p>
        </w:tc>
        <w:tc>
          <w:tcPr>
            <w:tcW w:w="1086" w:type="dxa"/>
          </w:tcPr>
          <w:p w14:paraId="1FF9E355" w14:textId="62B01A23"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1,217.9 </w:t>
            </w:r>
          </w:p>
        </w:tc>
        <w:tc>
          <w:tcPr>
            <w:tcW w:w="1087" w:type="dxa"/>
          </w:tcPr>
          <w:p w14:paraId="5092EEC6" w14:textId="18E79F50"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8.5%</w:t>
            </w:r>
          </w:p>
        </w:tc>
        <w:tc>
          <w:tcPr>
            <w:tcW w:w="1087" w:type="dxa"/>
          </w:tcPr>
          <w:p w14:paraId="2FDEF2EE" w14:textId="08D77770"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1,272.4 </w:t>
            </w:r>
          </w:p>
        </w:tc>
        <w:tc>
          <w:tcPr>
            <w:tcW w:w="851" w:type="dxa"/>
          </w:tcPr>
          <w:p w14:paraId="171A5580" w14:textId="4D0DC014"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7.8%</w:t>
            </w:r>
          </w:p>
        </w:tc>
        <w:tc>
          <w:tcPr>
            <w:tcW w:w="1323" w:type="dxa"/>
          </w:tcPr>
          <w:p w14:paraId="684EDC73" w14:textId="238EA88B"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1,276.2 </w:t>
            </w:r>
          </w:p>
        </w:tc>
        <w:tc>
          <w:tcPr>
            <w:tcW w:w="1087" w:type="dxa"/>
          </w:tcPr>
          <w:p w14:paraId="346C1686" w14:textId="32E497D7"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7.8%</w:t>
            </w:r>
          </w:p>
        </w:tc>
        <w:tc>
          <w:tcPr>
            <w:tcW w:w="1087" w:type="dxa"/>
          </w:tcPr>
          <w:p w14:paraId="31A8D7FD" w14:textId="06A1E78E" w:rsidR="002B2C12" w:rsidRPr="002B2C12" w:rsidRDefault="002B2C12" w:rsidP="002B2C12">
            <w:pPr>
              <w:jc w:val="center"/>
              <w:rPr>
                <w:rFonts w:asciiTheme="minorHAnsi" w:hAnsiTheme="minorHAnsi" w:cstheme="minorHAnsi"/>
                <w:sz w:val="18"/>
                <w:szCs w:val="18"/>
              </w:rPr>
            </w:pPr>
            <w:r w:rsidRPr="002B2C12">
              <w:rPr>
                <w:rFonts w:asciiTheme="minorHAnsi" w:hAnsiTheme="minorHAnsi" w:cstheme="minorHAnsi"/>
                <w:sz w:val="18"/>
                <w:szCs w:val="18"/>
              </w:rPr>
              <w:t xml:space="preserve"> 3.8 </w:t>
            </w:r>
          </w:p>
        </w:tc>
      </w:tr>
      <w:tr w:rsidR="002B2C12" w:rsidRPr="0072174E" w14:paraId="68D78BAF" w14:textId="77777777" w:rsidTr="008709C8">
        <w:trPr>
          <w:cnfStyle w:val="000000010000" w:firstRow="0" w:lastRow="0" w:firstColumn="0" w:lastColumn="0" w:oddVBand="0" w:evenVBand="0" w:oddHBand="0" w:evenHBand="1" w:firstRowFirstColumn="0" w:firstRowLastColumn="0" w:lastRowFirstColumn="0" w:lastRowLastColumn="0"/>
          <w:trHeight w:val="366"/>
        </w:trPr>
        <w:tc>
          <w:tcPr>
            <w:tcW w:w="1418" w:type="dxa"/>
          </w:tcPr>
          <w:p w14:paraId="12F21C43" w14:textId="0C3CDAE7" w:rsidR="002B2C12" w:rsidRPr="002B2C12" w:rsidRDefault="002B2C12" w:rsidP="002B2C12">
            <w:pPr>
              <w:rPr>
                <w:rFonts w:asciiTheme="minorHAnsi" w:hAnsiTheme="minorHAnsi" w:cstheme="minorHAnsi"/>
                <w:b/>
                <w:bCs/>
                <w:sz w:val="18"/>
                <w:szCs w:val="18"/>
              </w:rPr>
            </w:pPr>
            <w:r w:rsidRPr="002B2C12">
              <w:rPr>
                <w:rFonts w:asciiTheme="minorHAnsi" w:hAnsiTheme="minorHAnsi" w:cstheme="minorHAnsi"/>
                <w:b/>
                <w:bCs/>
                <w:sz w:val="18"/>
                <w:szCs w:val="18"/>
              </w:rPr>
              <w:t>Total</w:t>
            </w:r>
          </w:p>
        </w:tc>
        <w:tc>
          <w:tcPr>
            <w:tcW w:w="1086" w:type="dxa"/>
          </w:tcPr>
          <w:p w14:paraId="6D32EAA3" w14:textId="15A678C2" w:rsidR="002B2C12" w:rsidRPr="002B2C12" w:rsidRDefault="002B2C12" w:rsidP="002B2C12">
            <w:pPr>
              <w:jc w:val="center"/>
              <w:rPr>
                <w:rFonts w:asciiTheme="minorHAnsi" w:hAnsiTheme="minorHAnsi" w:cstheme="minorHAnsi"/>
                <w:b/>
                <w:bCs/>
                <w:sz w:val="18"/>
                <w:szCs w:val="18"/>
              </w:rPr>
            </w:pPr>
            <w:r w:rsidRPr="002B2C12">
              <w:rPr>
                <w:rFonts w:asciiTheme="minorHAnsi" w:hAnsiTheme="minorHAnsi" w:cstheme="minorHAnsi"/>
                <w:b/>
                <w:bCs/>
                <w:sz w:val="18"/>
                <w:szCs w:val="18"/>
              </w:rPr>
              <w:t xml:space="preserve"> 14,363.3 </w:t>
            </w:r>
          </w:p>
        </w:tc>
        <w:tc>
          <w:tcPr>
            <w:tcW w:w="1087" w:type="dxa"/>
          </w:tcPr>
          <w:p w14:paraId="5560672D" w14:textId="2E735DBB" w:rsidR="002B2C12" w:rsidRPr="002B2C12" w:rsidRDefault="002B2C12" w:rsidP="002B2C12">
            <w:pPr>
              <w:jc w:val="center"/>
              <w:rPr>
                <w:rFonts w:asciiTheme="minorHAnsi" w:hAnsiTheme="minorHAnsi" w:cstheme="minorHAnsi"/>
                <w:b/>
                <w:bCs/>
                <w:sz w:val="18"/>
                <w:szCs w:val="18"/>
              </w:rPr>
            </w:pPr>
            <w:r w:rsidRPr="002B2C12">
              <w:rPr>
                <w:rFonts w:asciiTheme="minorHAnsi" w:hAnsiTheme="minorHAnsi" w:cstheme="minorHAnsi"/>
                <w:b/>
                <w:bCs/>
                <w:sz w:val="18"/>
                <w:szCs w:val="18"/>
              </w:rPr>
              <w:t>na</w:t>
            </w:r>
          </w:p>
        </w:tc>
        <w:tc>
          <w:tcPr>
            <w:tcW w:w="1087" w:type="dxa"/>
          </w:tcPr>
          <w:p w14:paraId="6E62FBD7" w14:textId="1ADF8BB4" w:rsidR="002B2C12" w:rsidRPr="002B2C12" w:rsidRDefault="002B2C12" w:rsidP="002B2C12">
            <w:pPr>
              <w:jc w:val="center"/>
              <w:rPr>
                <w:rFonts w:asciiTheme="minorHAnsi" w:hAnsiTheme="minorHAnsi" w:cstheme="minorHAnsi"/>
                <w:b/>
                <w:bCs/>
                <w:sz w:val="18"/>
                <w:szCs w:val="18"/>
              </w:rPr>
            </w:pPr>
            <w:r w:rsidRPr="002B2C12">
              <w:rPr>
                <w:rFonts w:asciiTheme="minorHAnsi" w:hAnsiTheme="minorHAnsi" w:cstheme="minorHAnsi"/>
                <w:b/>
                <w:bCs/>
                <w:sz w:val="18"/>
                <w:szCs w:val="18"/>
              </w:rPr>
              <w:t xml:space="preserve"> 16,325.5 </w:t>
            </w:r>
          </w:p>
        </w:tc>
        <w:tc>
          <w:tcPr>
            <w:tcW w:w="851" w:type="dxa"/>
          </w:tcPr>
          <w:p w14:paraId="666466C8" w14:textId="0CFF37C9" w:rsidR="002B2C12" w:rsidRPr="002B2C12" w:rsidRDefault="002B2C12" w:rsidP="002B2C12">
            <w:pPr>
              <w:jc w:val="center"/>
              <w:rPr>
                <w:rFonts w:asciiTheme="minorHAnsi" w:hAnsiTheme="minorHAnsi" w:cstheme="minorHAnsi"/>
                <w:b/>
                <w:bCs/>
                <w:sz w:val="18"/>
                <w:szCs w:val="18"/>
              </w:rPr>
            </w:pPr>
            <w:r w:rsidRPr="002B2C12">
              <w:rPr>
                <w:rFonts w:asciiTheme="minorHAnsi" w:hAnsiTheme="minorHAnsi" w:cstheme="minorHAnsi"/>
                <w:b/>
                <w:bCs/>
                <w:sz w:val="18"/>
                <w:szCs w:val="18"/>
              </w:rPr>
              <w:t>na</w:t>
            </w:r>
          </w:p>
        </w:tc>
        <w:tc>
          <w:tcPr>
            <w:tcW w:w="1323" w:type="dxa"/>
          </w:tcPr>
          <w:p w14:paraId="34C7F447" w14:textId="360BC0C2" w:rsidR="002B2C12" w:rsidRPr="002B2C12" w:rsidRDefault="002B2C12" w:rsidP="002B2C12">
            <w:pPr>
              <w:jc w:val="center"/>
              <w:rPr>
                <w:rFonts w:asciiTheme="minorHAnsi" w:hAnsiTheme="minorHAnsi" w:cstheme="minorHAnsi"/>
                <w:b/>
                <w:bCs/>
                <w:sz w:val="18"/>
                <w:szCs w:val="18"/>
              </w:rPr>
            </w:pPr>
            <w:r w:rsidRPr="002B2C12">
              <w:rPr>
                <w:rFonts w:asciiTheme="minorHAnsi" w:hAnsiTheme="minorHAnsi" w:cstheme="minorHAnsi"/>
                <w:b/>
                <w:bCs/>
                <w:sz w:val="18"/>
                <w:szCs w:val="18"/>
              </w:rPr>
              <w:t xml:space="preserve"> 16,325.2 </w:t>
            </w:r>
          </w:p>
        </w:tc>
        <w:tc>
          <w:tcPr>
            <w:tcW w:w="1087" w:type="dxa"/>
          </w:tcPr>
          <w:p w14:paraId="75F317AA" w14:textId="7BEEA8CA" w:rsidR="002B2C12" w:rsidRPr="002B2C12" w:rsidRDefault="002B2C12" w:rsidP="002B2C12">
            <w:pPr>
              <w:jc w:val="center"/>
              <w:rPr>
                <w:rFonts w:asciiTheme="minorHAnsi" w:hAnsiTheme="minorHAnsi" w:cstheme="minorHAnsi"/>
                <w:b/>
                <w:bCs/>
                <w:sz w:val="18"/>
                <w:szCs w:val="18"/>
              </w:rPr>
            </w:pPr>
            <w:r w:rsidRPr="002B2C12">
              <w:rPr>
                <w:rFonts w:asciiTheme="minorHAnsi" w:hAnsiTheme="minorHAnsi" w:cstheme="minorHAnsi"/>
                <w:b/>
                <w:bCs/>
                <w:sz w:val="18"/>
                <w:szCs w:val="18"/>
              </w:rPr>
              <w:t>na</w:t>
            </w:r>
          </w:p>
        </w:tc>
        <w:tc>
          <w:tcPr>
            <w:tcW w:w="1087" w:type="dxa"/>
          </w:tcPr>
          <w:p w14:paraId="09DFC6BA" w14:textId="0DCE572E" w:rsidR="002B2C12" w:rsidRPr="002B2C12" w:rsidRDefault="002B2C12" w:rsidP="002B2C12">
            <w:pPr>
              <w:jc w:val="center"/>
              <w:rPr>
                <w:rFonts w:asciiTheme="minorHAnsi" w:hAnsiTheme="minorHAnsi" w:cstheme="minorHAnsi"/>
                <w:b/>
                <w:bCs/>
                <w:sz w:val="18"/>
                <w:szCs w:val="18"/>
              </w:rPr>
            </w:pPr>
            <w:r w:rsidRPr="002B2C12">
              <w:rPr>
                <w:rFonts w:asciiTheme="minorHAnsi" w:hAnsiTheme="minorHAnsi" w:cstheme="minorHAnsi"/>
                <w:b/>
                <w:bCs/>
                <w:sz w:val="18"/>
                <w:szCs w:val="18"/>
              </w:rPr>
              <w:t>0.0</w:t>
            </w:r>
          </w:p>
        </w:tc>
      </w:tr>
    </w:tbl>
    <w:p w14:paraId="1F1DED56" w14:textId="51348E8A" w:rsidR="00AC2606" w:rsidRPr="006F1853" w:rsidRDefault="00AC2606" w:rsidP="00A17C4D">
      <w:pPr>
        <w:pStyle w:val="Source"/>
      </w:pPr>
      <w:r w:rsidRPr="006F1853">
        <w:t xml:space="preserve">Source: 2024-2034 Employment projections (unrestricted skills supply scenario), produced </w:t>
      </w:r>
      <w:r w:rsidRPr="0038331F">
        <w:t xml:space="preserve">by </w:t>
      </w:r>
      <w:r w:rsidR="005A2C1B" w:rsidRPr="00037377">
        <w:rPr>
          <w:lang w:val="en-US"/>
        </w:rPr>
        <w:t>V</w:t>
      </w:r>
      <w:r w:rsidR="005A2C1B">
        <w:rPr>
          <w:lang w:val="en-US"/>
        </w:rPr>
        <w:t>ictoria University</w:t>
      </w:r>
      <w:r w:rsidRPr="0038331F">
        <w:t xml:space="preserve"> for J</w:t>
      </w:r>
      <w:r w:rsidR="004A24C2">
        <w:t>obs and Skills Australia.</w:t>
      </w:r>
    </w:p>
    <w:p w14:paraId="5A26C67F" w14:textId="30AAC1AA" w:rsidR="00AC2606" w:rsidRPr="00AC0957" w:rsidRDefault="00DE30EE" w:rsidP="00AC2606">
      <w:pPr>
        <w:rPr>
          <w:rFonts w:cs="Arial"/>
          <w:lang w:val="en-US"/>
        </w:rPr>
      </w:pPr>
      <w:bookmarkStart w:id="226" w:name="_Hlk178249003"/>
      <w:r w:rsidRPr="00DE30EE">
        <w:rPr>
          <w:rFonts w:cs="Arial"/>
        </w:rPr>
        <w:t>In the unconstrained skill supply scenario, the biggest shift by May 2034 (relative to the baseline projections) is a further increase of over 20,000 Community and Personal Service Workers in the Australian workforce, most notably Carers and Aides such as Aged and Disabled Carers Nursing Support and Personal Care Workers, and Child Carers. This higher growth in the care workforce is offset by lower growth (compared to baseline projections) in various Professional occupations including Business, Human Resource and Marketing Professionals, and Education Professionals</w:t>
      </w:r>
      <w:r w:rsidR="00AC2606" w:rsidRPr="00AC0957">
        <w:rPr>
          <w:rStyle w:val="FootnoteReference"/>
          <w:rFonts w:cs="Arial"/>
        </w:rPr>
        <w:footnoteReference w:id="29"/>
      </w:r>
      <w:r w:rsidR="00AC2606" w:rsidRPr="00AC0957">
        <w:rPr>
          <w:rFonts w:cs="Arial"/>
        </w:rPr>
        <w:t>.</w:t>
      </w:r>
    </w:p>
    <w:bookmarkEnd w:id="226"/>
    <w:p w14:paraId="53D51B1A" w14:textId="50DC3109" w:rsidR="00AC2606" w:rsidRPr="00AC0957" w:rsidRDefault="00DE4BEF" w:rsidP="00AC2606">
      <w:pPr>
        <w:rPr>
          <w:rFonts w:cs="Arial"/>
        </w:rPr>
      </w:pPr>
      <w:r w:rsidRPr="00DE4BEF">
        <w:rPr>
          <w:rFonts w:cs="Arial"/>
        </w:rPr>
        <w:t>Other occupations to grow relative to the 10-year baseline projections include Sales Assistants, General Clerks, Registered Nurses, and Electricians. The higher growth in these occupations is partly offset by lower growth in occupations including Specialist Managers such as HR Managers and Advertising, Public Relations and Sales Managers, and Legal, Social and Welfare Professionals such as Solicitors</w:t>
      </w:r>
      <w:r w:rsidR="00716259">
        <w:rPr>
          <w:rFonts w:cs="Arial"/>
        </w:rPr>
        <w:t>.</w:t>
      </w:r>
    </w:p>
    <w:p w14:paraId="317DA7D6" w14:textId="77777777" w:rsidR="00AC2606" w:rsidRPr="00AC0957" w:rsidRDefault="00AC2606" w:rsidP="00A17C4D">
      <w:pPr>
        <w:pStyle w:val="Heading3"/>
      </w:pPr>
      <w:bookmarkStart w:id="227" w:name="_Toc181371600"/>
      <w:r w:rsidRPr="00AC0957">
        <w:t>Key results by occupation skill level</w:t>
      </w:r>
      <w:bookmarkEnd w:id="227"/>
    </w:p>
    <w:p w14:paraId="41F30D2D" w14:textId="77777777" w:rsidR="009111BE" w:rsidRPr="009111BE" w:rsidRDefault="009111BE" w:rsidP="00E307AB">
      <w:pPr>
        <w:keepNext/>
        <w:keepLines/>
        <w:rPr>
          <w:rFonts w:cs="Arial"/>
        </w:rPr>
      </w:pPr>
      <w:r w:rsidRPr="009111BE">
        <w:rPr>
          <w:rFonts w:cs="Arial"/>
        </w:rPr>
        <w:t>The strong supply of people with higher education qualifications in the baseline projections inflates the supply to high skill occupations (skill level 1), relative to all other occupations. This highlights the challenges facing the sector in the baseline scenario where young people have a far greater propensity to undertake higher education than the retiring cohorts that they will replace in the labour market.</w:t>
      </w:r>
    </w:p>
    <w:p w14:paraId="428BFF17" w14:textId="3E25BF03" w:rsidR="00631DE2" w:rsidRPr="00631DE2" w:rsidRDefault="009111BE" w:rsidP="009111BE">
      <w:r w:rsidRPr="009111BE">
        <w:rPr>
          <w:rFonts w:cs="Arial"/>
        </w:rPr>
        <w:t>Like the baseline case discussed in the previous section, in this scenario, over 90% of the employment growth over the next 10 years is estimated to be in occupations commensurate with post-secondary qualifications (skill levels 1 to 4). However, the proportion of the projected growth in occupations related to a bachelor’s degree or higher as the primary education pathway (skill level 1) declines from 51.0% to 48.5% and increases from 42.6% to around 45.0% for occupations with VET as the primary pathway (skill levels 2 to 4).</w:t>
      </w:r>
      <w:r w:rsidR="00631DE2">
        <w:rPr>
          <w:rStyle w:val="FootnoteReference"/>
          <w:rFonts w:cs="Arial"/>
          <w:color w:val="000000"/>
          <w:shd w:val="clear" w:color="auto" w:fill="FFFFFF"/>
        </w:rPr>
        <w:footnoteReference w:id="30"/>
      </w:r>
      <w:r w:rsidR="00631DE2" w:rsidRPr="1B741968">
        <w:rPr>
          <w:rFonts w:cs="Arial"/>
          <w:color w:val="000000" w:themeColor="text1"/>
        </w:rPr>
        <w:t xml:space="preserve"> </w:t>
      </w:r>
    </w:p>
    <w:p w14:paraId="607996AE" w14:textId="614722AB" w:rsidR="00DD3202" w:rsidRPr="00DD3202" w:rsidRDefault="00DD3202" w:rsidP="00DD3202">
      <w:pPr>
        <w:rPr>
          <w:rFonts w:cs="Arial"/>
        </w:rPr>
      </w:pPr>
      <w:r w:rsidRPr="00DD3202">
        <w:rPr>
          <w:rFonts w:cs="Arial"/>
        </w:rPr>
        <w:t>In the unconstrained skill supply scenario, we observe that temporarily strong growth in dwelling investment stimulates supply to Certificate III and IV qualifications in the Architecture and Building broad field of education, the qualification that supplies many trades to the residential building sector. With respect to longer term trends, we find that there is increased qualification attainment in the Health field of study, providing more Personal Carers and Assistants and Nurses, and lesser supply to Education, leading to lower growth in School Teachers.</w:t>
      </w:r>
    </w:p>
    <w:p w14:paraId="7B9BE02A" w14:textId="79CF54FA" w:rsidR="00AC2606" w:rsidRPr="00AC0957" w:rsidRDefault="00DD3202" w:rsidP="00DD3202">
      <w:pPr>
        <w:rPr>
          <w:rFonts w:cs="Arial"/>
          <w:lang w:val="en-US"/>
        </w:rPr>
      </w:pPr>
      <w:r w:rsidRPr="00DD3202">
        <w:rPr>
          <w:rFonts w:cs="Arial"/>
        </w:rPr>
        <w:t>Compared to the baseline 10-year employment projections, employment in the unconstrained scenario is projected to grow by almost 48,000 fewer persons in Skill Level 1 occupations (commensurate with bachelor’s degree or above), which is offset by higher growth in projected employment for all other skill levels</w:t>
      </w:r>
      <w:r w:rsidRPr="00DD3202">
        <w:rPr>
          <w:rFonts w:cs="Arial"/>
          <w:lang w:val="en-US"/>
        </w:rPr>
        <w:t xml:space="preserve"> </w:t>
      </w:r>
      <w:r w:rsidR="00AC2606" w:rsidRPr="00AC0957">
        <w:rPr>
          <w:rFonts w:cs="Arial"/>
          <w:lang w:val="en-US"/>
        </w:rPr>
        <w:t>(</w:t>
      </w:r>
      <w:r w:rsidR="000F2D15">
        <w:rPr>
          <w:rFonts w:cs="Arial"/>
          <w:lang w:val="en-US"/>
        </w:rPr>
        <w:fldChar w:fldCharType="begin"/>
      </w:r>
      <w:r w:rsidR="000F2D15">
        <w:rPr>
          <w:rFonts w:cs="Arial"/>
          <w:lang w:val="en-US"/>
        </w:rPr>
        <w:instrText xml:space="preserve"> REF _Ref179898210 \h </w:instrText>
      </w:r>
      <w:r w:rsidR="000F2D15">
        <w:rPr>
          <w:rFonts w:cs="Arial"/>
          <w:lang w:val="en-US"/>
        </w:rPr>
      </w:r>
      <w:r w:rsidR="000F2D15">
        <w:rPr>
          <w:rFonts w:cs="Arial"/>
          <w:lang w:val="en-US"/>
        </w:rPr>
        <w:fldChar w:fldCharType="separate"/>
      </w:r>
      <w:r w:rsidR="00C47A81">
        <w:t xml:space="preserve">Figure </w:t>
      </w:r>
      <w:r w:rsidR="00C47A81">
        <w:rPr>
          <w:noProof/>
        </w:rPr>
        <w:t>46</w:t>
      </w:r>
      <w:r w:rsidR="000F2D15">
        <w:rPr>
          <w:rFonts w:cs="Arial"/>
          <w:lang w:val="en-US"/>
        </w:rPr>
        <w:fldChar w:fldCharType="end"/>
      </w:r>
      <w:r w:rsidR="00AC2606" w:rsidRPr="00AC0957">
        <w:rPr>
          <w:rFonts w:cs="Arial"/>
          <w:lang w:val="en-US"/>
        </w:rPr>
        <w:t xml:space="preserve">, </w:t>
      </w:r>
      <w:r w:rsidR="000F2D15">
        <w:rPr>
          <w:rFonts w:cs="Arial"/>
          <w:lang w:val="en-US"/>
        </w:rPr>
        <w:fldChar w:fldCharType="begin"/>
      </w:r>
      <w:r w:rsidR="000F2D15">
        <w:rPr>
          <w:rFonts w:cs="Arial"/>
          <w:lang w:val="en-US"/>
        </w:rPr>
        <w:instrText xml:space="preserve"> REF _Ref179898224 \h </w:instrText>
      </w:r>
      <w:r w:rsidR="000F2D15">
        <w:rPr>
          <w:rFonts w:cs="Arial"/>
          <w:lang w:val="en-US"/>
        </w:rPr>
      </w:r>
      <w:r w:rsidR="000F2D15">
        <w:rPr>
          <w:rFonts w:cs="Arial"/>
          <w:lang w:val="en-US"/>
        </w:rPr>
        <w:fldChar w:fldCharType="separate"/>
      </w:r>
      <w:r w:rsidR="00C47A81">
        <w:t xml:space="preserve">Table </w:t>
      </w:r>
      <w:r w:rsidR="00C47A81">
        <w:rPr>
          <w:noProof/>
        </w:rPr>
        <w:t>15</w:t>
      </w:r>
      <w:r w:rsidR="000F2D15">
        <w:rPr>
          <w:rFonts w:cs="Arial"/>
          <w:lang w:val="en-US"/>
        </w:rPr>
        <w:fldChar w:fldCharType="end"/>
      </w:r>
      <w:r w:rsidR="00AC2606" w:rsidRPr="00AC0957">
        <w:rPr>
          <w:rFonts w:cs="Arial"/>
          <w:lang w:val="en-US"/>
        </w:rPr>
        <w:t>).</w:t>
      </w:r>
    </w:p>
    <w:p w14:paraId="3D6EFB3D" w14:textId="5BD0D29C" w:rsidR="00037377" w:rsidRDefault="00037377" w:rsidP="00037377">
      <w:pPr>
        <w:pStyle w:val="Caption"/>
      </w:pPr>
      <w:bookmarkStart w:id="228" w:name="_Ref179898210"/>
      <w:bookmarkStart w:id="229" w:name="_Toc181370348"/>
      <w:r>
        <w:t xml:space="preserve">Figure </w:t>
      </w:r>
      <w:r>
        <w:fldChar w:fldCharType="begin"/>
      </w:r>
      <w:r>
        <w:instrText xml:space="preserve"> SEQ Figure \* ARABIC </w:instrText>
      </w:r>
      <w:r>
        <w:fldChar w:fldCharType="separate"/>
      </w:r>
      <w:r w:rsidR="00C47A81">
        <w:rPr>
          <w:noProof/>
        </w:rPr>
        <w:t>46</w:t>
      </w:r>
      <w:r>
        <w:fldChar w:fldCharType="end"/>
      </w:r>
      <w:bookmarkEnd w:id="228"/>
      <w:r>
        <w:t xml:space="preserve">: </w:t>
      </w:r>
      <w:r w:rsidR="000F62A0">
        <w:t>‘Unconstrained skill supply’ scenario – d</w:t>
      </w:r>
      <w:r w:rsidR="00282E93" w:rsidRPr="00282E93">
        <w:t>eviation from baseline employment projections for May 2034, by skill level, persons, Australia</w:t>
      </w:r>
      <w:bookmarkEnd w:id="229"/>
    </w:p>
    <w:p w14:paraId="11EB69B0" w14:textId="3DECF87C" w:rsidR="00AC2606" w:rsidRPr="00AC0957" w:rsidRDefault="0070346B" w:rsidP="00037377">
      <w:pPr>
        <w:jc w:val="center"/>
        <w:rPr>
          <w:rFonts w:cs="Arial"/>
          <w:b/>
          <w:bCs/>
        </w:rPr>
      </w:pPr>
      <w:r>
        <w:rPr>
          <w:rFonts w:cs="Arial"/>
          <w:b/>
          <w:bCs/>
          <w:noProof/>
        </w:rPr>
        <w:drawing>
          <wp:inline distT="0" distB="0" distL="0" distR="0" wp14:anchorId="4A67B235" wp14:editId="701FA0DE">
            <wp:extent cx="4508390" cy="2704658"/>
            <wp:effectExtent l="0" t="0" r="0" b="0"/>
            <wp:docPr id="373499610" name="Picture 63" descr="This shows the deviation from the baseline projections for each skill level, under the unconstrained skill supply scenario.&#10;Compared to the baseline projections, employment in the unconstrained scenario is projected to grow by 47,000 fewer persons in Skill Level 1 occupations (commensurate with bachelor degree or above), which is offset by higher growth in projected employment for all other skill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499610" name="Picture 63" descr="This shows the deviation from the baseline projections for each skill level, under the unconstrained skill supply scenario.&#10;Compared to the baseline projections, employment in the unconstrained scenario is projected to grow by 47,000 fewer persons in Skill Level 1 occupations (commensurate with bachelor degree or above), which is offset by higher growth in projected employment for all other skill levels."/>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516831" cy="2709722"/>
                    </a:xfrm>
                    <a:prstGeom prst="rect">
                      <a:avLst/>
                    </a:prstGeom>
                    <a:noFill/>
                  </pic:spPr>
                </pic:pic>
              </a:graphicData>
            </a:graphic>
          </wp:inline>
        </w:drawing>
      </w:r>
    </w:p>
    <w:p w14:paraId="0F42320C" w14:textId="4CDA1542" w:rsidR="00AC2606" w:rsidRDefault="00AC2606" w:rsidP="00A17C4D">
      <w:pPr>
        <w:pStyle w:val="Source"/>
        <w:rPr>
          <w:lang w:val="en-US"/>
        </w:rPr>
      </w:pPr>
      <w:r w:rsidRPr="00037377">
        <w:rPr>
          <w:lang w:val="en-US"/>
        </w:rPr>
        <w:t xml:space="preserve">Source: 2024-2034 Employment projections (unrestricted skills supply scenario), produced by </w:t>
      </w:r>
      <w:r w:rsidRPr="005A2C1B">
        <w:rPr>
          <w:lang w:val="en-US"/>
        </w:rPr>
        <w:t>V</w:t>
      </w:r>
      <w:r w:rsidR="005A2C1B" w:rsidRPr="005A2C1B">
        <w:rPr>
          <w:lang w:val="en-US"/>
        </w:rPr>
        <w:t>ictoria University</w:t>
      </w:r>
      <w:r w:rsidRPr="00037377">
        <w:rPr>
          <w:lang w:val="en-US"/>
        </w:rPr>
        <w:t xml:space="preserve"> for J</w:t>
      </w:r>
      <w:r w:rsidR="004A24C2">
        <w:rPr>
          <w:lang w:val="en-US"/>
        </w:rPr>
        <w:t xml:space="preserve">obs and Skills Australia. </w:t>
      </w:r>
    </w:p>
    <w:p w14:paraId="4B07CA53" w14:textId="402B4340" w:rsidR="00037377" w:rsidRDefault="00037377" w:rsidP="00037377">
      <w:pPr>
        <w:pStyle w:val="Caption"/>
      </w:pPr>
      <w:bookmarkStart w:id="230" w:name="_Ref179898224"/>
      <w:r>
        <w:t xml:space="preserve">Table </w:t>
      </w:r>
      <w:r>
        <w:fldChar w:fldCharType="begin"/>
      </w:r>
      <w:r>
        <w:instrText xml:space="preserve"> SEQ Table \* ARABIC </w:instrText>
      </w:r>
      <w:r>
        <w:fldChar w:fldCharType="separate"/>
      </w:r>
      <w:r w:rsidR="00C47A81">
        <w:rPr>
          <w:noProof/>
        </w:rPr>
        <w:t>15</w:t>
      </w:r>
      <w:r>
        <w:fldChar w:fldCharType="end"/>
      </w:r>
      <w:bookmarkEnd w:id="230"/>
      <w:r>
        <w:t>: ‘</w:t>
      </w:r>
      <w:r w:rsidRPr="0094281F">
        <w:t>Unconstrained skill supply scenario’ - Projected employment growth over the next 5 and 10 years, by skill level</w:t>
      </w:r>
    </w:p>
    <w:tbl>
      <w:tblPr>
        <w:tblStyle w:val="JSATable1"/>
        <w:tblW w:w="9026" w:type="dxa"/>
        <w:tblLayout w:type="fixed"/>
        <w:tblLook w:val="0020" w:firstRow="1" w:lastRow="0" w:firstColumn="0" w:lastColumn="0" w:noHBand="0" w:noVBand="0"/>
        <w:tblCaption w:val="‘Unconstrained skill supply scenario’ - Projected employment growth over the next 5 and 10 years, by skill level"/>
        <w:tblDescription w:val="This shows projected employment by skill level of occupation under the 'unconstrained skill supply' scenario*. It also shows each skill level's share of total employment under the unconstrained scenario, and how that is projected to change over the next 5 and 10 years.&#10;While employment is projected to grow for all major occupation groups in both scenarios, in the unconstrained scenario, there is lesser growth in employment for skill level 1 occupations (commensurate with bachelor degree and above), and higher growth in employment for all other skill levels (when compared to the baseline projections). &#10;Similarly, in the unconstrained scenario, the employment share of skill level 1 occupations is projected to be lower when compared to the baseline projections, while employment shares of all other skill levels are slightly higher."/>
      </w:tblPr>
      <w:tblGrid>
        <w:gridCol w:w="1418"/>
        <w:gridCol w:w="1086"/>
        <w:gridCol w:w="1087"/>
        <w:gridCol w:w="1087"/>
        <w:gridCol w:w="851"/>
        <w:gridCol w:w="1323"/>
        <w:gridCol w:w="1087"/>
        <w:gridCol w:w="1087"/>
      </w:tblGrid>
      <w:tr w:rsidR="00883258" w:rsidRPr="009653BF" w14:paraId="160FA2E9" w14:textId="77777777" w:rsidTr="000D3C4B">
        <w:trPr>
          <w:cnfStyle w:val="100000000000" w:firstRow="1" w:lastRow="0" w:firstColumn="0" w:lastColumn="0" w:oddVBand="0" w:evenVBand="0" w:oddHBand="0" w:evenHBand="0" w:firstRowFirstColumn="0" w:firstRowLastColumn="0" w:lastRowFirstColumn="0" w:lastRowLastColumn="0"/>
          <w:trHeight w:val="282"/>
        </w:trPr>
        <w:tc>
          <w:tcPr>
            <w:tcW w:w="1418" w:type="dxa"/>
            <w:vMerge w:val="restart"/>
            <w:vAlign w:val="center"/>
          </w:tcPr>
          <w:p w14:paraId="71A2265F" w14:textId="77777777" w:rsidR="00883258" w:rsidRPr="006A79EF" w:rsidRDefault="00883258" w:rsidP="000D3C4B">
            <w:pPr>
              <w:jc w:val="center"/>
              <w:rPr>
                <w:sz w:val="18"/>
                <w:szCs w:val="18"/>
              </w:rPr>
            </w:pPr>
            <w:r>
              <w:rPr>
                <w:sz w:val="18"/>
                <w:szCs w:val="18"/>
              </w:rPr>
              <w:t>Occupation</w:t>
            </w:r>
          </w:p>
        </w:tc>
        <w:tc>
          <w:tcPr>
            <w:tcW w:w="2173" w:type="dxa"/>
            <w:gridSpan w:val="2"/>
            <w:shd w:val="clear" w:color="auto" w:fill="E0D1F5" w:themeFill="accent1" w:themeFillTint="33"/>
            <w:vAlign w:val="center"/>
          </w:tcPr>
          <w:p w14:paraId="74A6F6B5" w14:textId="77777777" w:rsidR="00883258" w:rsidRPr="006A79EF" w:rsidRDefault="00883258" w:rsidP="000D3C4B">
            <w:pPr>
              <w:jc w:val="center"/>
              <w:rPr>
                <w:sz w:val="18"/>
                <w:szCs w:val="18"/>
              </w:rPr>
            </w:pPr>
            <w:r>
              <w:rPr>
                <w:sz w:val="18"/>
                <w:szCs w:val="18"/>
              </w:rPr>
              <w:t>Current Employment</w:t>
            </w:r>
          </w:p>
        </w:tc>
        <w:tc>
          <w:tcPr>
            <w:tcW w:w="1938" w:type="dxa"/>
            <w:gridSpan w:val="2"/>
            <w:shd w:val="clear" w:color="auto" w:fill="F5F8DD" w:themeFill="background2" w:themeFillTint="33"/>
            <w:vAlign w:val="center"/>
          </w:tcPr>
          <w:p w14:paraId="445362AF" w14:textId="77777777" w:rsidR="00883258" w:rsidRPr="006A79EF" w:rsidRDefault="00883258" w:rsidP="000D3C4B">
            <w:pPr>
              <w:jc w:val="center"/>
              <w:rPr>
                <w:sz w:val="18"/>
                <w:szCs w:val="18"/>
              </w:rPr>
            </w:pPr>
            <w:r>
              <w:rPr>
                <w:sz w:val="18"/>
                <w:szCs w:val="18"/>
              </w:rPr>
              <w:t>Baseline Projection</w:t>
            </w:r>
          </w:p>
        </w:tc>
        <w:tc>
          <w:tcPr>
            <w:tcW w:w="3497" w:type="dxa"/>
            <w:gridSpan w:val="3"/>
            <w:shd w:val="clear" w:color="auto" w:fill="CEE9FB" w:themeFill="accent5" w:themeFillTint="33"/>
            <w:vAlign w:val="center"/>
          </w:tcPr>
          <w:p w14:paraId="4DFDA0D3" w14:textId="77777777" w:rsidR="00883258" w:rsidRPr="006A79EF" w:rsidRDefault="00883258" w:rsidP="000D3C4B">
            <w:pPr>
              <w:jc w:val="center"/>
              <w:rPr>
                <w:sz w:val="18"/>
                <w:szCs w:val="18"/>
              </w:rPr>
            </w:pPr>
            <w:r>
              <w:rPr>
                <w:sz w:val="18"/>
                <w:szCs w:val="18"/>
              </w:rPr>
              <w:t>Unconstrained Skill Supply Scenario Projection</w:t>
            </w:r>
          </w:p>
        </w:tc>
      </w:tr>
      <w:tr w:rsidR="00883258" w:rsidRPr="0072174E" w14:paraId="605F832D" w14:textId="77777777" w:rsidTr="000D3C4B">
        <w:trPr>
          <w:trHeight w:val="381"/>
        </w:trPr>
        <w:tc>
          <w:tcPr>
            <w:tcW w:w="1418" w:type="dxa"/>
            <w:vMerge/>
            <w:shd w:val="clear" w:color="auto" w:fill="2F005F"/>
          </w:tcPr>
          <w:p w14:paraId="70E97977" w14:textId="77777777" w:rsidR="00883258" w:rsidRPr="0072174E" w:rsidRDefault="00883258" w:rsidP="000D3C4B">
            <w:pPr>
              <w:rPr>
                <w:sz w:val="20"/>
                <w:szCs w:val="20"/>
              </w:rPr>
            </w:pPr>
          </w:p>
        </w:tc>
        <w:tc>
          <w:tcPr>
            <w:tcW w:w="1086" w:type="dxa"/>
            <w:shd w:val="clear" w:color="auto" w:fill="2F005F"/>
            <w:vAlign w:val="center"/>
          </w:tcPr>
          <w:p w14:paraId="47E5CC9B" w14:textId="77777777" w:rsidR="00883258" w:rsidRDefault="00883258" w:rsidP="000D3C4B">
            <w:pPr>
              <w:jc w:val="center"/>
              <w:rPr>
                <w:sz w:val="18"/>
                <w:szCs w:val="18"/>
              </w:rPr>
            </w:pPr>
            <w:r>
              <w:rPr>
                <w:sz w:val="18"/>
                <w:szCs w:val="18"/>
              </w:rPr>
              <w:t>Empl.</w:t>
            </w:r>
          </w:p>
          <w:p w14:paraId="55E7323F" w14:textId="77777777" w:rsidR="00883258" w:rsidRDefault="00883258" w:rsidP="000D3C4B">
            <w:pPr>
              <w:jc w:val="center"/>
              <w:rPr>
                <w:sz w:val="18"/>
                <w:szCs w:val="18"/>
              </w:rPr>
            </w:pPr>
            <w:r>
              <w:rPr>
                <w:sz w:val="18"/>
                <w:szCs w:val="18"/>
              </w:rPr>
              <w:t>(‘000)</w:t>
            </w:r>
          </w:p>
          <w:p w14:paraId="217F6FDC" w14:textId="77777777" w:rsidR="00883258" w:rsidRPr="005E7F2E" w:rsidRDefault="00883258" w:rsidP="000D3C4B">
            <w:pPr>
              <w:jc w:val="center"/>
              <w:rPr>
                <w:sz w:val="18"/>
                <w:szCs w:val="18"/>
              </w:rPr>
            </w:pPr>
            <w:r>
              <w:rPr>
                <w:sz w:val="18"/>
                <w:szCs w:val="18"/>
              </w:rPr>
              <w:t>May 2024</w:t>
            </w:r>
          </w:p>
        </w:tc>
        <w:tc>
          <w:tcPr>
            <w:tcW w:w="1087" w:type="dxa"/>
            <w:shd w:val="clear" w:color="auto" w:fill="2F005F"/>
            <w:vAlign w:val="center"/>
          </w:tcPr>
          <w:p w14:paraId="30F2FDA6" w14:textId="77777777" w:rsidR="00883258" w:rsidRPr="005E7F2E" w:rsidRDefault="00883258" w:rsidP="000D3C4B">
            <w:pPr>
              <w:jc w:val="center"/>
              <w:rPr>
                <w:sz w:val="18"/>
                <w:szCs w:val="18"/>
              </w:rPr>
            </w:pPr>
            <w:r w:rsidRPr="00B25B3A">
              <w:rPr>
                <w:sz w:val="18"/>
                <w:szCs w:val="18"/>
              </w:rPr>
              <w:t>Share of empl</w:t>
            </w:r>
            <w:r>
              <w:rPr>
                <w:sz w:val="18"/>
                <w:szCs w:val="18"/>
              </w:rPr>
              <w:t>.</w:t>
            </w:r>
          </w:p>
        </w:tc>
        <w:tc>
          <w:tcPr>
            <w:tcW w:w="1087" w:type="dxa"/>
            <w:shd w:val="clear" w:color="auto" w:fill="2F005F"/>
            <w:vAlign w:val="center"/>
          </w:tcPr>
          <w:p w14:paraId="74F9A204" w14:textId="77777777" w:rsidR="00883258" w:rsidRDefault="00883258" w:rsidP="000D3C4B">
            <w:pPr>
              <w:jc w:val="center"/>
              <w:rPr>
                <w:sz w:val="18"/>
                <w:szCs w:val="18"/>
              </w:rPr>
            </w:pPr>
            <w:r>
              <w:rPr>
                <w:sz w:val="18"/>
                <w:szCs w:val="18"/>
              </w:rPr>
              <w:t>Empl.</w:t>
            </w:r>
          </w:p>
          <w:p w14:paraId="27C9760E" w14:textId="77777777" w:rsidR="00883258" w:rsidRDefault="00883258" w:rsidP="000D3C4B">
            <w:pPr>
              <w:jc w:val="center"/>
              <w:rPr>
                <w:sz w:val="18"/>
                <w:szCs w:val="18"/>
              </w:rPr>
            </w:pPr>
            <w:r>
              <w:rPr>
                <w:sz w:val="18"/>
                <w:szCs w:val="18"/>
              </w:rPr>
              <w:t>(‘000)</w:t>
            </w:r>
          </w:p>
          <w:p w14:paraId="76C2C1A3" w14:textId="7947C3EA" w:rsidR="00883258" w:rsidRPr="005E7F2E" w:rsidRDefault="00883258" w:rsidP="000D3C4B">
            <w:pPr>
              <w:jc w:val="center"/>
              <w:rPr>
                <w:sz w:val="18"/>
                <w:szCs w:val="18"/>
              </w:rPr>
            </w:pPr>
            <w:r>
              <w:rPr>
                <w:sz w:val="18"/>
                <w:szCs w:val="18"/>
              </w:rPr>
              <w:t>May 20</w:t>
            </w:r>
            <w:r w:rsidR="00012981">
              <w:rPr>
                <w:sz w:val="18"/>
                <w:szCs w:val="18"/>
              </w:rPr>
              <w:t>34</w:t>
            </w:r>
          </w:p>
        </w:tc>
        <w:tc>
          <w:tcPr>
            <w:tcW w:w="851" w:type="dxa"/>
            <w:shd w:val="clear" w:color="auto" w:fill="2F005F"/>
            <w:vAlign w:val="center"/>
          </w:tcPr>
          <w:p w14:paraId="288B8027" w14:textId="77777777" w:rsidR="00883258" w:rsidRPr="005E7F2E" w:rsidRDefault="00883258" w:rsidP="000D3C4B">
            <w:pPr>
              <w:jc w:val="center"/>
              <w:rPr>
                <w:sz w:val="18"/>
                <w:szCs w:val="18"/>
              </w:rPr>
            </w:pPr>
            <w:r w:rsidRPr="00B25B3A">
              <w:rPr>
                <w:sz w:val="18"/>
                <w:szCs w:val="18"/>
              </w:rPr>
              <w:t>Share of empl</w:t>
            </w:r>
            <w:r>
              <w:rPr>
                <w:sz w:val="18"/>
                <w:szCs w:val="18"/>
              </w:rPr>
              <w:t>.</w:t>
            </w:r>
          </w:p>
        </w:tc>
        <w:tc>
          <w:tcPr>
            <w:tcW w:w="1323" w:type="dxa"/>
            <w:shd w:val="clear" w:color="auto" w:fill="2F005F"/>
            <w:vAlign w:val="center"/>
          </w:tcPr>
          <w:p w14:paraId="0AC02E6A" w14:textId="77777777" w:rsidR="00883258" w:rsidRDefault="00883258" w:rsidP="000D3C4B">
            <w:pPr>
              <w:jc w:val="center"/>
              <w:rPr>
                <w:sz w:val="18"/>
                <w:szCs w:val="18"/>
              </w:rPr>
            </w:pPr>
            <w:r>
              <w:rPr>
                <w:sz w:val="18"/>
                <w:szCs w:val="18"/>
              </w:rPr>
              <w:t>Empl.</w:t>
            </w:r>
          </w:p>
          <w:p w14:paraId="09C14E9C" w14:textId="77777777" w:rsidR="00883258" w:rsidRDefault="00883258" w:rsidP="000D3C4B">
            <w:pPr>
              <w:jc w:val="center"/>
              <w:rPr>
                <w:sz w:val="18"/>
                <w:szCs w:val="18"/>
              </w:rPr>
            </w:pPr>
            <w:r>
              <w:rPr>
                <w:sz w:val="18"/>
                <w:szCs w:val="18"/>
              </w:rPr>
              <w:t>(‘000)</w:t>
            </w:r>
          </w:p>
          <w:p w14:paraId="57F16FB1" w14:textId="357933BA" w:rsidR="00883258" w:rsidRPr="005E7F2E" w:rsidRDefault="00883258" w:rsidP="000D3C4B">
            <w:pPr>
              <w:jc w:val="center"/>
              <w:rPr>
                <w:sz w:val="18"/>
                <w:szCs w:val="18"/>
              </w:rPr>
            </w:pPr>
            <w:r>
              <w:rPr>
                <w:sz w:val="18"/>
                <w:szCs w:val="18"/>
              </w:rPr>
              <w:t>May 2034</w:t>
            </w:r>
          </w:p>
        </w:tc>
        <w:tc>
          <w:tcPr>
            <w:tcW w:w="1087" w:type="dxa"/>
            <w:shd w:val="clear" w:color="auto" w:fill="2F005F"/>
            <w:vAlign w:val="center"/>
          </w:tcPr>
          <w:p w14:paraId="6456BBE8" w14:textId="77777777" w:rsidR="00883258" w:rsidRPr="005E7F2E" w:rsidRDefault="00883258" w:rsidP="000D3C4B">
            <w:pPr>
              <w:jc w:val="center"/>
              <w:rPr>
                <w:sz w:val="18"/>
                <w:szCs w:val="18"/>
              </w:rPr>
            </w:pPr>
            <w:r w:rsidRPr="00B25B3A">
              <w:rPr>
                <w:sz w:val="18"/>
                <w:szCs w:val="18"/>
              </w:rPr>
              <w:t>Share of empl</w:t>
            </w:r>
            <w:r>
              <w:rPr>
                <w:sz w:val="18"/>
                <w:szCs w:val="18"/>
              </w:rPr>
              <w:t>.</w:t>
            </w:r>
          </w:p>
        </w:tc>
        <w:tc>
          <w:tcPr>
            <w:tcW w:w="1087" w:type="dxa"/>
            <w:shd w:val="clear" w:color="auto" w:fill="2F005F"/>
            <w:vAlign w:val="center"/>
          </w:tcPr>
          <w:p w14:paraId="6E738E9E" w14:textId="77777777" w:rsidR="00883258" w:rsidRDefault="00883258" w:rsidP="000D3C4B">
            <w:pPr>
              <w:jc w:val="center"/>
              <w:rPr>
                <w:sz w:val="18"/>
                <w:szCs w:val="18"/>
              </w:rPr>
            </w:pPr>
            <w:r>
              <w:rPr>
                <w:sz w:val="18"/>
                <w:szCs w:val="18"/>
              </w:rPr>
              <w:t>Deviation from baseline projection</w:t>
            </w:r>
          </w:p>
          <w:p w14:paraId="62332D58" w14:textId="77777777" w:rsidR="00883258" w:rsidRPr="005E7F2E" w:rsidRDefault="00883258" w:rsidP="000D3C4B">
            <w:pPr>
              <w:jc w:val="center"/>
              <w:rPr>
                <w:sz w:val="18"/>
                <w:szCs w:val="18"/>
              </w:rPr>
            </w:pPr>
            <w:r>
              <w:rPr>
                <w:sz w:val="18"/>
                <w:szCs w:val="18"/>
              </w:rPr>
              <w:t>(‘000)</w:t>
            </w:r>
          </w:p>
        </w:tc>
      </w:tr>
      <w:tr w:rsidR="0021590D" w:rsidRPr="0072174E" w14:paraId="5A0B607F" w14:textId="77777777" w:rsidTr="000D3C4B">
        <w:trPr>
          <w:cnfStyle w:val="000000010000" w:firstRow="0" w:lastRow="0" w:firstColumn="0" w:lastColumn="0" w:oddVBand="0" w:evenVBand="0" w:oddHBand="0" w:evenHBand="1" w:firstRowFirstColumn="0" w:firstRowLastColumn="0" w:lastRowFirstColumn="0" w:lastRowLastColumn="0"/>
          <w:trHeight w:val="381"/>
        </w:trPr>
        <w:tc>
          <w:tcPr>
            <w:tcW w:w="1418" w:type="dxa"/>
          </w:tcPr>
          <w:p w14:paraId="4B383900" w14:textId="31E0CC44" w:rsidR="0021590D" w:rsidRPr="0021590D" w:rsidRDefault="0021590D" w:rsidP="0021590D">
            <w:pPr>
              <w:rPr>
                <w:rFonts w:asciiTheme="minorHAnsi" w:hAnsiTheme="minorHAnsi" w:cstheme="minorHAnsi"/>
                <w:sz w:val="18"/>
                <w:szCs w:val="18"/>
              </w:rPr>
            </w:pPr>
            <w:r w:rsidRPr="0021590D">
              <w:rPr>
                <w:sz w:val="18"/>
                <w:szCs w:val="18"/>
              </w:rPr>
              <w:t>Skill level 1</w:t>
            </w:r>
          </w:p>
        </w:tc>
        <w:tc>
          <w:tcPr>
            <w:tcW w:w="1086" w:type="dxa"/>
          </w:tcPr>
          <w:p w14:paraId="46EFA52B" w14:textId="1809098C" w:rsidR="0021590D" w:rsidRPr="0021590D" w:rsidRDefault="0021590D" w:rsidP="0021590D">
            <w:pPr>
              <w:jc w:val="center"/>
              <w:rPr>
                <w:rFonts w:asciiTheme="minorHAnsi" w:hAnsiTheme="minorHAnsi" w:cstheme="minorHAnsi"/>
                <w:sz w:val="18"/>
                <w:szCs w:val="18"/>
              </w:rPr>
            </w:pPr>
            <w:r w:rsidRPr="0021590D">
              <w:rPr>
                <w:sz w:val="18"/>
                <w:szCs w:val="18"/>
              </w:rPr>
              <w:t xml:space="preserve"> 4,940.4 </w:t>
            </w:r>
          </w:p>
        </w:tc>
        <w:tc>
          <w:tcPr>
            <w:tcW w:w="1087" w:type="dxa"/>
          </w:tcPr>
          <w:p w14:paraId="72A0393C" w14:textId="2DC00638" w:rsidR="0021590D" w:rsidRPr="0021590D" w:rsidRDefault="0021590D" w:rsidP="0021590D">
            <w:pPr>
              <w:jc w:val="center"/>
              <w:rPr>
                <w:rFonts w:asciiTheme="minorHAnsi" w:hAnsiTheme="minorHAnsi" w:cstheme="minorHAnsi"/>
                <w:sz w:val="18"/>
                <w:szCs w:val="18"/>
              </w:rPr>
            </w:pPr>
            <w:r w:rsidRPr="0021590D">
              <w:rPr>
                <w:sz w:val="18"/>
                <w:szCs w:val="18"/>
              </w:rPr>
              <w:t>34.4%</w:t>
            </w:r>
          </w:p>
        </w:tc>
        <w:tc>
          <w:tcPr>
            <w:tcW w:w="1087" w:type="dxa"/>
          </w:tcPr>
          <w:p w14:paraId="07C0B21B" w14:textId="3ABB5B53" w:rsidR="0021590D" w:rsidRPr="0021590D" w:rsidRDefault="0021590D" w:rsidP="0021590D">
            <w:pPr>
              <w:jc w:val="center"/>
              <w:rPr>
                <w:rFonts w:asciiTheme="minorHAnsi" w:hAnsiTheme="minorHAnsi" w:cstheme="minorHAnsi"/>
                <w:sz w:val="18"/>
                <w:szCs w:val="18"/>
              </w:rPr>
            </w:pPr>
            <w:r w:rsidRPr="0021590D">
              <w:rPr>
                <w:sz w:val="18"/>
                <w:szCs w:val="18"/>
              </w:rPr>
              <w:t xml:space="preserve"> 5,940.5 </w:t>
            </w:r>
          </w:p>
        </w:tc>
        <w:tc>
          <w:tcPr>
            <w:tcW w:w="851" w:type="dxa"/>
          </w:tcPr>
          <w:p w14:paraId="067D5A4D" w14:textId="40AB55D8" w:rsidR="0021590D" w:rsidRPr="0021590D" w:rsidRDefault="0021590D" w:rsidP="0021590D">
            <w:pPr>
              <w:jc w:val="center"/>
              <w:rPr>
                <w:rFonts w:asciiTheme="minorHAnsi" w:hAnsiTheme="minorHAnsi" w:cstheme="minorHAnsi"/>
                <w:sz w:val="18"/>
                <w:szCs w:val="18"/>
              </w:rPr>
            </w:pPr>
            <w:r w:rsidRPr="0021590D">
              <w:rPr>
                <w:sz w:val="18"/>
                <w:szCs w:val="18"/>
              </w:rPr>
              <w:t>36.4%</w:t>
            </w:r>
          </w:p>
        </w:tc>
        <w:tc>
          <w:tcPr>
            <w:tcW w:w="1323" w:type="dxa"/>
          </w:tcPr>
          <w:p w14:paraId="11FE010F" w14:textId="08091F61" w:rsidR="0021590D" w:rsidRPr="0021590D" w:rsidRDefault="0021590D" w:rsidP="0021590D">
            <w:pPr>
              <w:jc w:val="center"/>
              <w:rPr>
                <w:rFonts w:asciiTheme="minorHAnsi" w:hAnsiTheme="minorHAnsi" w:cstheme="minorHAnsi"/>
                <w:sz w:val="18"/>
                <w:szCs w:val="18"/>
              </w:rPr>
            </w:pPr>
            <w:r w:rsidRPr="0021590D">
              <w:rPr>
                <w:sz w:val="18"/>
                <w:szCs w:val="18"/>
              </w:rPr>
              <w:t xml:space="preserve"> 5,892.9 </w:t>
            </w:r>
          </w:p>
        </w:tc>
        <w:tc>
          <w:tcPr>
            <w:tcW w:w="1087" w:type="dxa"/>
          </w:tcPr>
          <w:p w14:paraId="587B620E" w14:textId="610592E5" w:rsidR="0021590D" w:rsidRPr="0021590D" w:rsidRDefault="0021590D" w:rsidP="0021590D">
            <w:pPr>
              <w:jc w:val="center"/>
              <w:rPr>
                <w:rFonts w:asciiTheme="minorHAnsi" w:hAnsiTheme="minorHAnsi" w:cstheme="minorHAnsi"/>
                <w:sz w:val="18"/>
                <w:szCs w:val="18"/>
              </w:rPr>
            </w:pPr>
            <w:r w:rsidRPr="0021590D">
              <w:rPr>
                <w:sz w:val="18"/>
                <w:szCs w:val="18"/>
              </w:rPr>
              <w:t>36.1%</w:t>
            </w:r>
          </w:p>
        </w:tc>
        <w:tc>
          <w:tcPr>
            <w:tcW w:w="1087" w:type="dxa"/>
          </w:tcPr>
          <w:p w14:paraId="106DA97A" w14:textId="2DE1400C" w:rsidR="0021590D" w:rsidRPr="0021590D" w:rsidRDefault="0021590D" w:rsidP="0021590D">
            <w:pPr>
              <w:jc w:val="center"/>
              <w:rPr>
                <w:rFonts w:asciiTheme="minorHAnsi" w:hAnsiTheme="minorHAnsi" w:cstheme="minorHAnsi"/>
                <w:sz w:val="18"/>
                <w:szCs w:val="18"/>
              </w:rPr>
            </w:pPr>
            <w:r w:rsidRPr="0021590D">
              <w:rPr>
                <w:sz w:val="18"/>
                <w:szCs w:val="18"/>
              </w:rPr>
              <w:t xml:space="preserve">-47.6 </w:t>
            </w:r>
          </w:p>
        </w:tc>
      </w:tr>
      <w:tr w:rsidR="0021590D" w:rsidRPr="0072174E" w14:paraId="4A988312" w14:textId="77777777" w:rsidTr="000D3C4B">
        <w:trPr>
          <w:trHeight w:val="366"/>
        </w:trPr>
        <w:tc>
          <w:tcPr>
            <w:tcW w:w="1418" w:type="dxa"/>
          </w:tcPr>
          <w:p w14:paraId="0181C44D" w14:textId="3562D291" w:rsidR="0021590D" w:rsidRPr="0021590D" w:rsidRDefault="0021590D" w:rsidP="0021590D">
            <w:pPr>
              <w:rPr>
                <w:rFonts w:asciiTheme="minorHAnsi" w:hAnsiTheme="minorHAnsi" w:cstheme="minorHAnsi"/>
                <w:sz w:val="18"/>
                <w:szCs w:val="18"/>
              </w:rPr>
            </w:pPr>
            <w:r w:rsidRPr="0021590D">
              <w:rPr>
                <w:sz w:val="18"/>
                <w:szCs w:val="18"/>
              </w:rPr>
              <w:t>Skill level 2</w:t>
            </w:r>
          </w:p>
        </w:tc>
        <w:tc>
          <w:tcPr>
            <w:tcW w:w="1086" w:type="dxa"/>
          </w:tcPr>
          <w:p w14:paraId="6A54817B" w14:textId="2B34E616" w:rsidR="0021590D" w:rsidRPr="0021590D" w:rsidRDefault="0021590D" w:rsidP="0021590D">
            <w:pPr>
              <w:jc w:val="center"/>
              <w:rPr>
                <w:rFonts w:asciiTheme="minorHAnsi" w:hAnsiTheme="minorHAnsi" w:cstheme="minorHAnsi"/>
                <w:sz w:val="18"/>
                <w:szCs w:val="18"/>
              </w:rPr>
            </w:pPr>
            <w:r w:rsidRPr="0021590D">
              <w:rPr>
                <w:sz w:val="18"/>
                <w:szCs w:val="18"/>
              </w:rPr>
              <w:t xml:space="preserve"> 1,753.9 </w:t>
            </w:r>
          </w:p>
        </w:tc>
        <w:tc>
          <w:tcPr>
            <w:tcW w:w="1087" w:type="dxa"/>
          </w:tcPr>
          <w:p w14:paraId="46F83EC6" w14:textId="276B9291" w:rsidR="0021590D" w:rsidRPr="0021590D" w:rsidRDefault="0021590D" w:rsidP="0021590D">
            <w:pPr>
              <w:jc w:val="center"/>
              <w:rPr>
                <w:rFonts w:asciiTheme="minorHAnsi" w:hAnsiTheme="minorHAnsi" w:cstheme="minorHAnsi"/>
                <w:sz w:val="18"/>
                <w:szCs w:val="18"/>
              </w:rPr>
            </w:pPr>
            <w:r w:rsidRPr="0021590D">
              <w:rPr>
                <w:sz w:val="18"/>
                <w:szCs w:val="18"/>
              </w:rPr>
              <w:t>12.2%</w:t>
            </w:r>
          </w:p>
        </w:tc>
        <w:tc>
          <w:tcPr>
            <w:tcW w:w="1087" w:type="dxa"/>
          </w:tcPr>
          <w:p w14:paraId="3C8D173C" w14:textId="64E27D78" w:rsidR="0021590D" w:rsidRPr="0021590D" w:rsidRDefault="0021590D" w:rsidP="0021590D">
            <w:pPr>
              <w:jc w:val="center"/>
              <w:rPr>
                <w:rFonts w:asciiTheme="minorHAnsi" w:hAnsiTheme="minorHAnsi" w:cstheme="minorHAnsi"/>
                <w:sz w:val="18"/>
                <w:szCs w:val="18"/>
              </w:rPr>
            </w:pPr>
            <w:r w:rsidRPr="0021590D">
              <w:rPr>
                <w:sz w:val="18"/>
                <w:szCs w:val="18"/>
              </w:rPr>
              <w:t xml:space="preserve"> 1,960.3 </w:t>
            </w:r>
          </w:p>
        </w:tc>
        <w:tc>
          <w:tcPr>
            <w:tcW w:w="851" w:type="dxa"/>
          </w:tcPr>
          <w:p w14:paraId="0BC12274" w14:textId="5FF458A8" w:rsidR="0021590D" w:rsidRPr="0021590D" w:rsidRDefault="0021590D" w:rsidP="0021590D">
            <w:pPr>
              <w:jc w:val="center"/>
              <w:rPr>
                <w:rFonts w:asciiTheme="minorHAnsi" w:hAnsiTheme="minorHAnsi" w:cstheme="minorHAnsi"/>
                <w:sz w:val="18"/>
                <w:szCs w:val="18"/>
              </w:rPr>
            </w:pPr>
            <w:r w:rsidRPr="0021590D">
              <w:rPr>
                <w:sz w:val="18"/>
                <w:szCs w:val="18"/>
              </w:rPr>
              <w:t>12.01%</w:t>
            </w:r>
          </w:p>
        </w:tc>
        <w:tc>
          <w:tcPr>
            <w:tcW w:w="1323" w:type="dxa"/>
          </w:tcPr>
          <w:p w14:paraId="0B5384D3" w14:textId="3BFA0CBC" w:rsidR="0021590D" w:rsidRPr="0021590D" w:rsidRDefault="0021590D" w:rsidP="0021590D">
            <w:pPr>
              <w:jc w:val="center"/>
              <w:rPr>
                <w:rFonts w:asciiTheme="minorHAnsi" w:hAnsiTheme="minorHAnsi" w:cstheme="minorHAnsi"/>
                <w:sz w:val="18"/>
                <w:szCs w:val="18"/>
              </w:rPr>
            </w:pPr>
            <w:r w:rsidRPr="0021590D">
              <w:rPr>
                <w:sz w:val="18"/>
                <w:szCs w:val="18"/>
              </w:rPr>
              <w:t xml:space="preserve"> 1,966.9 </w:t>
            </w:r>
          </w:p>
        </w:tc>
        <w:tc>
          <w:tcPr>
            <w:tcW w:w="1087" w:type="dxa"/>
          </w:tcPr>
          <w:p w14:paraId="1E1B4D79" w14:textId="02C74AC3" w:rsidR="0021590D" w:rsidRPr="0021590D" w:rsidRDefault="0021590D" w:rsidP="0021590D">
            <w:pPr>
              <w:jc w:val="center"/>
              <w:rPr>
                <w:rFonts w:asciiTheme="minorHAnsi" w:hAnsiTheme="minorHAnsi" w:cstheme="minorHAnsi"/>
                <w:sz w:val="18"/>
                <w:szCs w:val="18"/>
              </w:rPr>
            </w:pPr>
            <w:r w:rsidRPr="0021590D">
              <w:rPr>
                <w:sz w:val="18"/>
                <w:szCs w:val="18"/>
              </w:rPr>
              <w:t>12.0%</w:t>
            </w:r>
          </w:p>
        </w:tc>
        <w:tc>
          <w:tcPr>
            <w:tcW w:w="1087" w:type="dxa"/>
          </w:tcPr>
          <w:p w14:paraId="1877E4FD" w14:textId="328BD2BD" w:rsidR="0021590D" w:rsidRPr="0021590D" w:rsidRDefault="0021590D" w:rsidP="0021590D">
            <w:pPr>
              <w:jc w:val="center"/>
              <w:rPr>
                <w:rFonts w:asciiTheme="minorHAnsi" w:hAnsiTheme="minorHAnsi" w:cstheme="minorHAnsi"/>
                <w:sz w:val="18"/>
                <w:szCs w:val="18"/>
              </w:rPr>
            </w:pPr>
            <w:r w:rsidRPr="0021590D">
              <w:rPr>
                <w:sz w:val="18"/>
                <w:szCs w:val="18"/>
              </w:rPr>
              <w:t xml:space="preserve"> 6.6 </w:t>
            </w:r>
          </w:p>
        </w:tc>
      </w:tr>
      <w:tr w:rsidR="0021590D" w:rsidRPr="0072174E" w14:paraId="2101FA37" w14:textId="77777777" w:rsidTr="000D3C4B">
        <w:trPr>
          <w:cnfStyle w:val="000000010000" w:firstRow="0" w:lastRow="0" w:firstColumn="0" w:lastColumn="0" w:oddVBand="0" w:evenVBand="0" w:oddHBand="0" w:evenHBand="1" w:firstRowFirstColumn="0" w:firstRowLastColumn="0" w:lastRowFirstColumn="0" w:lastRowLastColumn="0"/>
          <w:trHeight w:val="366"/>
        </w:trPr>
        <w:tc>
          <w:tcPr>
            <w:tcW w:w="1418" w:type="dxa"/>
          </w:tcPr>
          <w:p w14:paraId="57E9161D" w14:textId="39206378" w:rsidR="0021590D" w:rsidRPr="0021590D" w:rsidRDefault="0021590D" w:rsidP="0021590D">
            <w:pPr>
              <w:rPr>
                <w:rFonts w:asciiTheme="minorHAnsi" w:hAnsiTheme="minorHAnsi" w:cstheme="minorHAnsi"/>
                <w:sz w:val="18"/>
                <w:szCs w:val="18"/>
              </w:rPr>
            </w:pPr>
            <w:r w:rsidRPr="0021590D">
              <w:rPr>
                <w:sz w:val="18"/>
                <w:szCs w:val="18"/>
              </w:rPr>
              <w:t>Skill level 3</w:t>
            </w:r>
          </w:p>
        </w:tc>
        <w:tc>
          <w:tcPr>
            <w:tcW w:w="1086" w:type="dxa"/>
          </w:tcPr>
          <w:p w14:paraId="240248CE" w14:textId="2A94D606" w:rsidR="0021590D" w:rsidRPr="0021590D" w:rsidRDefault="0021590D" w:rsidP="0021590D">
            <w:pPr>
              <w:jc w:val="center"/>
              <w:rPr>
                <w:rFonts w:asciiTheme="minorHAnsi" w:hAnsiTheme="minorHAnsi" w:cstheme="minorHAnsi"/>
                <w:sz w:val="18"/>
                <w:szCs w:val="18"/>
              </w:rPr>
            </w:pPr>
            <w:r w:rsidRPr="0021590D">
              <w:rPr>
                <w:sz w:val="18"/>
                <w:szCs w:val="18"/>
              </w:rPr>
              <w:t xml:space="preserve"> 2,106.0 </w:t>
            </w:r>
          </w:p>
        </w:tc>
        <w:tc>
          <w:tcPr>
            <w:tcW w:w="1087" w:type="dxa"/>
          </w:tcPr>
          <w:p w14:paraId="06AFBA64" w14:textId="2AE37F72" w:rsidR="0021590D" w:rsidRPr="0021590D" w:rsidRDefault="0021590D" w:rsidP="0021590D">
            <w:pPr>
              <w:jc w:val="center"/>
              <w:rPr>
                <w:rFonts w:asciiTheme="minorHAnsi" w:hAnsiTheme="minorHAnsi" w:cstheme="minorHAnsi"/>
                <w:sz w:val="18"/>
                <w:szCs w:val="18"/>
              </w:rPr>
            </w:pPr>
            <w:r w:rsidRPr="0021590D">
              <w:rPr>
                <w:sz w:val="18"/>
                <w:szCs w:val="18"/>
              </w:rPr>
              <w:t>14.7%</w:t>
            </w:r>
          </w:p>
        </w:tc>
        <w:tc>
          <w:tcPr>
            <w:tcW w:w="1087" w:type="dxa"/>
          </w:tcPr>
          <w:p w14:paraId="1E8E409B" w14:textId="749CF507" w:rsidR="0021590D" w:rsidRPr="0021590D" w:rsidRDefault="0021590D" w:rsidP="0021590D">
            <w:pPr>
              <w:jc w:val="center"/>
              <w:rPr>
                <w:rFonts w:asciiTheme="minorHAnsi" w:hAnsiTheme="minorHAnsi" w:cstheme="minorHAnsi"/>
                <w:sz w:val="18"/>
                <w:szCs w:val="18"/>
              </w:rPr>
            </w:pPr>
            <w:r w:rsidRPr="0021590D">
              <w:rPr>
                <w:sz w:val="18"/>
                <w:szCs w:val="18"/>
              </w:rPr>
              <w:t xml:space="preserve"> 2,276.2 </w:t>
            </w:r>
          </w:p>
        </w:tc>
        <w:tc>
          <w:tcPr>
            <w:tcW w:w="851" w:type="dxa"/>
          </w:tcPr>
          <w:p w14:paraId="52514F94" w14:textId="44710BB9" w:rsidR="0021590D" w:rsidRPr="0021590D" w:rsidRDefault="0021590D" w:rsidP="0021590D">
            <w:pPr>
              <w:jc w:val="center"/>
              <w:rPr>
                <w:rFonts w:asciiTheme="minorHAnsi" w:hAnsiTheme="minorHAnsi" w:cstheme="minorHAnsi"/>
                <w:sz w:val="18"/>
                <w:szCs w:val="18"/>
              </w:rPr>
            </w:pPr>
            <w:r w:rsidRPr="0021590D">
              <w:rPr>
                <w:sz w:val="18"/>
                <w:szCs w:val="18"/>
              </w:rPr>
              <w:t>13.94%</w:t>
            </w:r>
          </w:p>
        </w:tc>
        <w:tc>
          <w:tcPr>
            <w:tcW w:w="1323" w:type="dxa"/>
          </w:tcPr>
          <w:p w14:paraId="1466AF5E" w14:textId="3FDB8D8D" w:rsidR="0021590D" w:rsidRPr="0021590D" w:rsidRDefault="0021590D" w:rsidP="0021590D">
            <w:pPr>
              <w:jc w:val="center"/>
              <w:rPr>
                <w:rFonts w:asciiTheme="minorHAnsi" w:hAnsiTheme="minorHAnsi" w:cstheme="minorHAnsi"/>
                <w:sz w:val="18"/>
                <w:szCs w:val="18"/>
              </w:rPr>
            </w:pPr>
            <w:r w:rsidRPr="0021590D">
              <w:rPr>
                <w:sz w:val="18"/>
                <w:szCs w:val="18"/>
              </w:rPr>
              <w:t xml:space="preserve"> 2,284.3 </w:t>
            </w:r>
          </w:p>
        </w:tc>
        <w:tc>
          <w:tcPr>
            <w:tcW w:w="1087" w:type="dxa"/>
          </w:tcPr>
          <w:p w14:paraId="42627161" w14:textId="64D22FCA" w:rsidR="0021590D" w:rsidRPr="0021590D" w:rsidRDefault="0021590D" w:rsidP="0021590D">
            <w:pPr>
              <w:jc w:val="center"/>
              <w:rPr>
                <w:rFonts w:asciiTheme="minorHAnsi" w:hAnsiTheme="minorHAnsi" w:cstheme="minorHAnsi"/>
                <w:sz w:val="18"/>
                <w:szCs w:val="18"/>
              </w:rPr>
            </w:pPr>
            <w:r w:rsidRPr="0021590D">
              <w:rPr>
                <w:sz w:val="18"/>
                <w:szCs w:val="18"/>
              </w:rPr>
              <w:t>14.0%</w:t>
            </w:r>
          </w:p>
        </w:tc>
        <w:tc>
          <w:tcPr>
            <w:tcW w:w="1087" w:type="dxa"/>
          </w:tcPr>
          <w:p w14:paraId="55A473F9" w14:textId="6E8042DA" w:rsidR="0021590D" w:rsidRPr="0021590D" w:rsidRDefault="0021590D" w:rsidP="0021590D">
            <w:pPr>
              <w:jc w:val="center"/>
              <w:rPr>
                <w:rFonts w:asciiTheme="minorHAnsi" w:hAnsiTheme="minorHAnsi" w:cstheme="minorHAnsi"/>
                <w:sz w:val="18"/>
                <w:szCs w:val="18"/>
              </w:rPr>
            </w:pPr>
            <w:r w:rsidRPr="0021590D">
              <w:rPr>
                <w:sz w:val="18"/>
                <w:szCs w:val="18"/>
              </w:rPr>
              <w:t xml:space="preserve"> 8.2 </w:t>
            </w:r>
          </w:p>
        </w:tc>
      </w:tr>
      <w:tr w:rsidR="0021590D" w:rsidRPr="0072174E" w14:paraId="30CD6DA3" w14:textId="77777777" w:rsidTr="000D3C4B">
        <w:trPr>
          <w:trHeight w:val="366"/>
        </w:trPr>
        <w:tc>
          <w:tcPr>
            <w:tcW w:w="1418" w:type="dxa"/>
          </w:tcPr>
          <w:p w14:paraId="63E8D2E4" w14:textId="4991A9AB" w:rsidR="0021590D" w:rsidRPr="0021590D" w:rsidRDefault="0021590D" w:rsidP="0021590D">
            <w:pPr>
              <w:rPr>
                <w:rFonts w:asciiTheme="minorHAnsi" w:hAnsiTheme="minorHAnsi" w:cstheme="minorHAnsi"/>
                <w:sz w:val="18"/>
                <w:szCs w:val="18"/>
              </w:rPr>
            </w:pPr>
            <w:r w:rsidRPr="0021590D">
              <w:rPr>
                <w:sz w:val="18"/>
                <w:szCs w:val="18"/>
              </w:rPr>
              <w:t>Skill level 4</w:t>
            </w:r>
          </w:p>
        </w:tc>
        <w:tc>
          <w:tcPr>
            <w:tcW w:w="1086" w:type="dxa"/>
          </w:tcPr>
          <w:p w14:paraId="75EF5688" w14:textId="7426E45A" w:rsidR="0021590D" w:rsidRPr="0021590D" w:rsidRDefault="0021590D" w:rsidP="0021590D">
            <w:pPr>
              <w:jc w:val="center"/>
              <w:rPr>
                <w:rFonts w:asciiTheme="minorHAnsi" w:hAnsiTheme="minorHAnsi" w:cstheme="minorHAnsi"/>
                <w:sz w:val="18"/>
                <w:szCs w:val="18"/>
              </w:rPr>
            </w:pPr>
            <w:r w:rsidRPr="0021590D">
              <w:rPr>
                <w:sz w:val="18"/>
                <w:szCs w:val="18"/>
              </w:rPr>
              <w:t xml:space="preserve"> 3,476.7 </w:t>
            </w:r>
          </w:p>
        </w:tc>
        <w:tc>
          <w:tcPr>
            <w:tcW w:w="1087" w:type="dxa"/>
          </w:tcPr>
          <w:p w14:paraId="79D79A36" w14:textId="13134BBB" w:rsidR="0021590D" w:rsidRPr="0021590D" w:rsidRDefault="0021590D" w:rsidP="0021590D">
            <w:pPr>
              <w:jc w:val="center"/>
              <w:rPr>
                <w:rFonts w:asciiTheme="minorHAnsi" w:hAnsiTheme="minorHAnsi" w:cstheme="minorHAnsi"/>
                <w:sz w:val="18"/>
                <w:szCs w:val="18"/>
              </w:rPr>
            </w:pPr>
            <w:r w:rsidRPr="0021590D">
              <w:rPr>
                <w:sz w:val="18"/>
                <w:szCs w:val="18"/>
              </w:rPr>
              <w:t>24.2%</w:t>
            </w:r>
          </w:p>
        </w:tc>
        <w:tc>
          <w:tcPr>
            <w:tcW w:w="1087" w:type="dxa"/>
          </w:tcPr>
          <w:p w14:paraId="5F43FEBB" w14:textId="664D024C" w:rsidR="0021590D" w:rsidRPr="0021590D" w:rsidRDefault="0021590D" w:rsidP="0021590D">
            <w:pPr>
              <w:jc w:val="center"/>
              <w:rPr>
                <w:rFonts w:asciiTheme="minorHAnsi" w:hAnsiTheme="minorHAnsi" w:cstheme="minorHAnsi"/>
                <w:sz w:val="18"/>
                <w:szCs w:val="18"/>
              </w:rPr>
            </w:pPr>
            <w:r w:rsidRPr="0021590D">
              <w:rPr>
                <w:sz w:val="18"/>
                <w:szCs w:val="18"/>
              </w:rPr>
              <w:t xml:space="preserve"> 3,935.7 </w:t>
            </w:r>
          </w:p>
        </w:tc>
        <w:tc>
          <w:tcPr>
            <w:tcW w:w="851" w:type="dxa"/>
          </w:tcPr>
          <w:p w14:paraId="4E90222D" w14:textId="335E14BF" w:rsidR="0021590D" w:rsidRPr="0021590D" w:rsidRDefault="0021590D" w:rsidP="0021590D">
            <w:pPr>
              <w:jc w:val="center"/>
              <w:rPr>
                <w:rFonts w:asciiTheme="minorHAnsi" w:hAnsiTheme="minorHAnsi" w:cstheme="minorHAnsi"/>
                <w:sz w:val="18"/>
                <w:szCs w:val="18"/>
              </w:rPr>
            </w:pPr>
            <w:r w:rsidRPr="0021590D">
              <w:rPr>
                <w:sz w:val="18"/>
                <w:szCs w:val="18"/>
              </w:rPr>
              <w:t>24.11%</w:t>
            </w:r>
          </w:p>
        </w:tc>
        <w:tc>
          <w:tcPr>
            <w:tcW w:w="1323" w:type="dxa"/>
          </w:tcPr>
          <w:p w14:paraId="0A7BF4D0" w14:textId="3B4EB5E2" w:rsidR="0021590D" w:rsidRPr="0021590D" w:rsidRDefault="0021590D" w:rsidP="0021590D">
            <w:pPr>
              <w:jc w:val="center"/>
              <w:rPr>
                <w:rFonts w:asciiTheme="minorHAnsi" w:hAnsiTheme="minorHAnsi" w:cstheme="minorHAnsi"/>
                <w:sz w:val="18"/>
                <w:szCs w:val="18"/>
              </w:rPr>
            </w:pPr>
            <w:r w:rsidRPr="0021590D">
              <w:rPr>
                <w:sz w:val="18"/>
                <w:szCs w:val="18"/>
              </w:rPr>
              <w:t xml:space="preserve"> 3,961.5 </w:t>
            </w:r>
          </w:p>
        </w:tc>
        <w:tc>
          <w:tcPr>
            <w:tcW w:w="1087" w:type="dxa"/>
          </w:tcPr>
          <w:p w14:paraId="506B8895" w14:textId="55A4786A" w:rsidR="0021590D" w:rsidRPr="0021590D" w:rsidRDefault="0021590D" w:rsidP="0021590D">
            <w:pPr>
              <w:jc w:val="center"/>
              <w:rPr>
                <w:rFonts w:asciiTheme="minorHAnsi" w:hAnsiTheme="minorHAnsi" w:cstheme="minorHAnsi"/>
                <w:sz w:val="18"/>
                <w:szCs w:val="18"/>
              </w:rPr>
            </w:pPr>
            <w:r w:rsidRPr="0021590D">
              <w:rPr>
                <w:sz w:val="18"/>
                <w:szCs w:val="18"/>
              </w:rPr>
              <w:t>24.3%</w:t>
            </w:r>
          </w:p>
        </w:tc>
        <w:tc>
          <w:tcPr>
            <w:tcW w:w="1087" w:type="dxa"/>
          </w:tcPr>
          <w:p w14:paraId="48639EBC" w14:textId="21AC6821" w:rsidR="0021590D" w:rsidRPr="0021590D" w:rsidRDefault="0021590D" w:rsidP="0021590D">
            <w:pPr>
              <w:jc w:val="center"/>
              <w:rPr>
                <w:rFonts w:asciiTheme="minorHAnsi" w:hAnsiTheme="minorHAnsi" w:cstheme="minorHAnsi"/>
                <w:sz w:val="18"/>
                <w:szCs w:val="18"/>
              </w:rPr>
            </w:pPr>
            <w:r w:rsidRPr="0021590D">
              <w:rPr>
                <w:sz w:val="18"/>
                <w:szCs w:val="18"/>
              </w:rPr>
              <w:t xml:space="preserve"> 25.7 </w:t>
            </w:r>
          </w:p>
        </w:tc>
      </w:tr>
      <w:tr w:rsidR="0021590D" w:rsidRPr="0072174E" w14:paraId="17300054" w14:textId="77777777" w:rsidTr="000D3C4B">
        <w:trPr>
          <w:cnfStyle w:val="000000010000" w:firstRow="0" w:lastRow="0" w:firstColumn="0" w:lastColumn="0" w:oddVBand="0" w:evenVBand="0" w:oddHBand="0" w:evenHBand="1" w:firstRowFirstColumn="0" w:firstRowLastColumn="0" w:lastRowFirstColumn="0" w:lastRowLastColumn="0"/>
          <w:trHeight w:val="366"/>
        </w:trPr>
        <w:tc>
          <w:tcPr>
            <w:tcW w:w="1418" w:type="dxa"/>
          </w:tcPr>
          <w:p w14:paraId="53F3C9CD" w14:textId="6E2389DC" w:rsidR="0021590D" w:rsidRPr="0021590D" w:rsidRDefault="0021590D" w:rsidP="0021590D">
            <w:pPr>
              <w:rPr>
                <w:rFonts w:asciiTheme="minorHAnsi" w:hAnsiTheme="minorHAnsi" w:cstheme="minorHAnsi"/>
                <w:sz w:val="18"/>
                <w:szCs w:val="18"/>
              </w:rPr>
            </w:pPr>
            <w:r w:rsidRPr="0021590D">
              <w:rPr>
                <w:sz w:val="18"/>
                <w:szCs w:val="18"/>
              </w:rPr>
              <w:t>Skill level 5</w:t>
            </w:r>
          </w:p>
        </w:tc>
        <w:tc>
          <w:tcPr>
            <w:tcW w:w="1086" w:type="dxa"/>
          </w:tcPr>
          <w:p w14:paraId="4A91912B" w14:textId="646CAEE3" w:rsidR="0021590D" w:rsidRPr="0021590D" w:rsidRDefault="0021590D" w:rsidP="0021590D">
            <w:pPr>
              <w:jc w:val="center"/>
              <w:rPr>
                <w:rFonts w:asciiTheme="minorHAnsi" w:hAnsiTheme="minorHAnsi" w:cstheme="minorHAnsi"/>
                <w:sz w:val="18"/>
                <w:szCs w:val="18"/>
              </w:rPr>
            </w:pPr>
            <w:r w:rsidRPr="0021590D">
              <w:rPr>
                <w:sz w:val="18"/>
                <w:szCs w:val="18"/>
              </w:rPr>
              <w:t xml:space="preserve"> 1,984.2 </w:t>
            </w:r>
          </w:p>
        </w:tc>
        <w:tc>
          <w:tcPr>
            <w:tcW w:w="1087" w:type="dxa"/>
          </w:tcPr>
          <w:p w14:paraId="4D7AF457" w14:textId="387E1EF2" w:rsidR="0021590D" w:rsidRPr="0021590D" w:rsidRDefault="0021590D" w:rsidP="0021590D">
            <w:pPr>
              <w:jc w:val="center"/>
              <w:rPr>
                <w:rFonts w:asciiTheme="minorHAnsi" w:hAnsiTheme="minorHAnsi" w:cstheme="minorHAnsi"/>
                <w:sz w:val="18"/>
                <w:szCs w:val="18"/>
              </w:rPr>
            </w:pPr>
            <w:r w:rsidRPr="0021590D">
              <w:rPr>
                <w:sz w:val="18"/>
                <w:szCs w:val="18"/>
              </w:rPr>
              <w:t>13.8%</w:t>
            </w:r>
          </w:p>
        </w:tc>
        <w:tc>
          <w:tcPr>
            <w:tcW w:w="1087" w:type="dxa"/>
          </w:tcPr>
          <w:p w14:paraId="00FC7FA8" w14:textId="5975F3A4" w:rsidR="0021590D" w:rsidRPr="0021590D" w:rsidRDefault="0021590D" w:rsidP="0021590D">
            <w:pPr>
              <w:jc w:val="center"/>
              <w:rPr>
                <w:rFonts w:asciiTheme="minorHAnsi" w:hAnsiTheme="minorHAnsi" w:cstheme="minorHAnsi"/>
                <w:sz w:val="18"/>
                <w:szCs w:val="18"/>
              </w:rPr>
            </w:pPr>
            <w:r w:rsidRPr="0021590D">
              <w:rPr>
                <w:sz w:val="18"/>
                <w:szCs w:val="18"/>
              </w:rPr>
              <w:t xml:space="preserve"> 2,096.5 </w:t>
            </w:r>
          </w:p>
        </w:tc>
        <w:tc>
          <w:tcPr>
            <w:tcW w:w="851" w:type="dxa"/>
          </w:tcPr>
          <w:p w14:paraId="71B9FF88" w14:textId="1D10D098" w:rsidR="0021590D" w:rsidRPr="0021590D" w:rsidRDefault="0021590D" w:rsidP="0021590D">
            <w:pPr>
              <w:jc w:val="center"/>
              <w:rPr>
                <w:rFonts w:asciiTheme="minorHAnsi" w:hAnsiTheme="minorHAnsi" w:cstheme="minorHAnsi"/>
                <w:sz w:val="18"/>
                <w:szCs w:val="18"/>
              </w:rPr>
            </w:pPr>
            <w:r w:rsidRPr="0021590D">
              <w:rPr>
                <w:sz w:val="18"/>
                <w:szCs w:val="18"/>
              </w:rPr>
              <w:t>12.84%</w:t>
            </w:r>
          </w:p>
        </w:tc>
        <w:tc>
          <w:tcPr>
            <w:tcW w:w="1323" w:type="dxa"/>
          </w:tcPr>
          <w:p w14:paraId="078D0AC2" w14:textId="291F0DEB" w:rsidR="0021590D" w:rsidRPr="0021590D" w:rsidRDefault="0021590D" w:rsidP="0021590D">
            <w:pPr>
              <w:jc w:val="center"/>
              <w:rPr>
                <w:rFonts w:asciiTheme="minorHAnsi" w:hAnsiTheme="minorHAnsi" w:cstheme="minorHAnsi"/>
                <w:sz w:val="18"/>
                <w:szCs w:val="18"/>
              </w:rPr>
            </w:pPr>
            <w:r w:rsidRPr="0021590D">
              <w:rPr>
                <w:sz w:val="18"/>
                <w:szCs w:val="18"/>
              </w:rPr>
              <w:t xml:space="preserve"> 2,103.7 </w:t>
            </w:r>
          </w:p>
        </w:tc>
        <w:tc>
          <w:tcPr>
            <w:tcW w:w="1087" w:type="dxa"/>
          </w:tcPr>
          <w:p w14:paraId="48E2675A" w14:textId="2765BAC7" w:rsidR="0021590D" w:rsidRPr="0021590D" w:rsidRDefault="0021590D" w:rsidP="0021590D">
            <w:pPr>
              <w:jc w:val="center"/>
              <w:rPr>
                <w:rFonts w:asciiTheme="minorHAnsi" w:hAnsiTheme="minorHAnsi" w:cstheme="minorHAnsi"/>
                <w:sz w:val="18"/>
                <w:szCs w:val="18"/>
              </w:rPr>
            </w:pPr>
            <w:r w:rsidRPr="0021590D">
              <w:rPr>
                <w:sz w:val="18"/>
                <w:szCs w:val="18"/>
              </w:rPr>
              <w:t>12.9%</w:t>
            </w:r>
          </w:p>
        </w:tc>
        <w:tc>
          <w:tcPr>
            <w:tcW w:w="1087" w:type="dxa"/>
          </w:tcPr>
          <w:p w14:paraId="30A3CE59" w14:textId="04BB25EF" w:rsidR="0021590D" w:rsidRPr="0021590D" w:rsidRDefault="0021590D" w:rsidP="0021590D">
            <w:pPr>
              <w:jc w:val="center"/>
              <w:rPr>
                <w:rFonts w:asciiTheme="minorHAnsi" w:hAnsiTheme="minorHAnsi" w:cstheme="minorHAnsi"/>
                <w:sz w:val="18"/>
                <w:szCs w:val="18"/>
              </w:rPr>
            </w:pPr>
            <w:r w:rsidRPr="0021590D">
              <w:rPr>
                <w:sz w:val="18"/>
                <w:szCs w:val="18"/>
              </w:rPr>
              <w:t xml:space="preserve"> 7.3 </w:t>
            </w:r>
          </w:p>
        </w:tc>
      </w:tr>
    </w:tbl>
    <w:p w14:paraId="38EF80DF" w14:textId="3CB8230A" w:rsidR="00AC2606" w:rsidRDefault="00AC2606" w:rsidP="00A17C4D">
      <w:pPr>
        <w:pStyle w:val="Source"/>
      </w:pPr>
      <w:r w:rsidRPr="00037377">
        <w:t>Source: 2024-2034 Employment projections (unrestricted skills supply scenario), produced by V</w:t>
      </w:r>
      <w:r w:rsidR="00FA220C">
        <w:t>ictoria University</w:t>
      </w:r>
      <w:r w:rsidRPr="00037377">
        <w:t xml:space="preserve"> for J</w:t>
      </w:r>
      <w:r w:rsidR="008D0284">
        <w:t xml:space="preserve">obs and Skills Australia. </w:t>
      </w:r>
    </w:p>
    <w:p w14:paraId="03EC280F" w14:textId="53EE5993" w:rsidR="00C84576" w:rsidRPr="004869AF" w:rsidRDefault="00C84576" w:rsidP="004869AF">
      <w:pPr>
        <w:pStyle w:val="ChartorTableNote"/>
      </w:pPr>
      <w:r w:rsidRPr="004869AF">
        <w:t>Note: Some occupations in the employment projections data with an 'NFD' status cannot be assigned a skill level. Therefore, the sum of employment by skill levels will not add up to the total employment presented in other tables.</w:t>
      </w:r>
    </w:p>
    <w:p w14:paraId="313B79AF" w14:textId="46163EA6" w:rsidR="004869AF" w:rsidRPr="004869AF" w:rsidRDefault="004869AF" w:rsidP="004869AF">
      <w:pPr>
        <w:pStyle w:val="ChartorTableNote"/>
      </w:pPr>
      <w:r w:rsidRPr="004869AF">
        <w:t>Note: In the unconstrained scenario, educational and training attainment is fully responsive to labour market demand, whereas in the baseline scenario it is based on recently observed trends in educational attainment by age, gender, and level and field of education.</w:t>
      </w:r>
    </w:p>
    <w:p w14:paraId="572FD017" w14:textId="77777777" w:rsidR="00AC2606" w:rsidRPr="00AC0957" w:rsidRDefault="00AC2606" w:rsidP="00AC2606">
      <w:pPr>
        <w:pStyle w:val="Heading2"/>
        <w:rPr>
          <w:rFonts w:cs="Arial"/>
        </w:rPr>
      </w:pPr>
      <w:bookmarkStart w:id="231" w:name="_Toc181371601"/>
      <w:bookmarkStart w:id="232" w:name="_Toc179887404"/>
      <w:r w:rsidRPr="00AC0957">
        <w:rPr>
          <w:rFonts w:cs="Arial"/>
        </w:rPr>
        <w:t>Emerging roles in the Australian labour market</w:t>
      </w:r>
      <w:bookmarkEnd w:id="231"/>
      <w:r w:rsidRPr="00AC0957">
        <w:rPr>
          <w:rFonts w:cs="Arial"/>
        </w:rPr>
        <w:t> </w:t>
      </w:r>
      <w:bookmarkEnd w:id="232"/>
    </w:p>
    <w:p w14:paraId="604EDD77" w14:textId="77777777" w:rsidR="00C77743" w:rsidRPr="00C77743" w:rsidRDefault="00C77743" w:rsidP="00C77743">
      <w:pPr>
        <w:rPr>
          <w:rFonts w:cs="Arial"/>
        </w:rPr>
      </w:pPr>
      <w:r w:rsidRPr="00C77743">
        <w:rPr>
          <w:rFonts w:cs="Arial"/>
        </w:rPr>
        <w:t>Work has continuously changed over time as new skills and ways of working arise. Often, this happens in response to new technology, innovation, and changing consumer preferences. While these changes are often incorporated into existing roles in the labour force by changing parts of roles or how work is undertaken, sometimes entirely new roles are created.</w:t>
      </w:r>
    </w:p>
    <w:p w14:paraId="5B1583C9" w14:textId="62B006FE" w:rsidR="00C77743" w:rsidRPr="00C77743" w:rsidRDefault="00C77743" w:rsidP="00C77743">
      <w:pPr>
        <w:rPr>
          <w:rFonts w:cs="Arial"/>
        </w:rPr>
      </w:pPr>
      <w:r w:rsidRPr="00C77743">
        <w:rPr>
          <w:rFonts w:cs="Arial"/>
        </w:rPr>
        <w:t>The Australian Bureau of Statistics maintains Australia’s official framework for classifying occupations in the labour market. The Australian and New Zealand Standard Classification of Occupations (ANZSCO) was first published in 2006, and the ABS has recently completed a major update, introducing nearly 300 new occupations and retiring over 200. The new classification will be called the Occupation Standard Classification for Australia (OSCA) and will be released on Friday 6 December 2024.</w:t>
      </w:r>
    </w:p>
    <w:p w14:paraId="60ECF0CD" w14:textId="13708D64" w:rsidR="00C77743" w:rsidRPr="00C77743" w:rsidRDefault="00C77743" w:rsidP="00C77743">
      <w:pPr>
        <w:rPr>
          <w:rFonts w:cs="Arial"/>
        </w:rPr>
      </w:pPr>
      <w:r w:rsidRPr="00C77743">
        <w:rPr>
          <w:rFonts w:cs="Arial"/>
        </w:rPr>
        <w:t>JSA has conducted research to identify new insights on emerging roles in the job market. Emerging roles may not meet workforce size and other guidelines designed to ensure statistical reliability in ANZSCO and OSCA. Identifying emerging roles provides an early indication of new developments in the labour market which may need to be incorporated into official statistics in the future. It may also provide useful information to education and training providers about new demands in the labour market that they may need to take into account when developing education and training products.</w:t>
      </w:r>
    </w:p>
    <w:p w14:paraId="424B6246" w14:textId="43061982" w:rsidR="00AC2606" w:rsidRPr="00AC0957" w:rsidRDefault="00C77743" w:rsidP="00E307AB">
      <w:pPr>
        <w:keepLines/>
        <w:rPr>
          <w:rFonts w:cs="Arial"/>
        </w:rPr>
      </w:pPr>
      <w:r w:rsidRPr="00C77743">
        <w:rPr>
          <w:rFonts w:cs="Arial"/>
        </w:rPr>
        <w:t xml:space="preserve">JSA’s emerging roles work takes a broad approach, both qualitatively and quantitatively, as well as through stakeholder consultation. To be determined as emerging, the role must meet the principles for validation shown in </w:t>
      </w:r>
      <w:r>
        <w:rPr>
          <w:rFonts w:cs="Arial"/>
        </w:rPr>
        <w:fldChar w:fldCharType="begin"/>
      </w:r>
      <w:r>
        <w:rPr>
          <w:rFonts w:cs="Arial"/>
        </w:rPr>
        <w:instrText xml:space="preserve"> REF _Ref179898242 \h </w:instrText>
      </w:r>
      <w:r>
        <w:rPr>
          <w:rFonts w:cs="Arial"/>
        </w:rPr>
      </w:r>
      <w:r>
        <w:rPr>
          <w:rFonts w:cs="Arial"/>
        </w:rPr>
        <w:fldChar w:fldCharType="separate"/>
      </w:r>
      <w:r w:rsidR="00C47A81">
        <w:t xml:space="preserve">Figure </w:t>
      </w:r>
      <w:r w:rsidR="00C47A81">
        <w:rPr>
          <w:noProof/>
        </w:rPr>
        <w:t>47</w:t>
      </w:r>
      <w:r>
        <w:rPr>
          <w:rFonts w:cs="Arial"/>
        </w:rPr>
        <w:fldChar w:fldCharType="end"/>
      </w:r>
      <w:r w:rsidR="00310DFD">
        <w:rPr>
          <w:rFonts w:cs="Arial"/>
        </w:rPr>
        <w:t xml:space="preserve"> </w:t>
      </w:r>
      <w:r w:rsidRPr="00C77743">
        <w:rPr>
          <w:rFonts w:cs="Arial"/>
        </w:rPr>
        <w:t>–</w:t>
      </w:r>
      <w:r>
        <w:rPr>
          <w:rFonts w:cs="Arial"/>
        </w:rPr>
        <w:t xml:space="preserve"> </w:t>
      </w:r>
      <w:r w:rsidRPr="00C77743">
        <w:rPr>
          <w:rFonts w:cs="Arial"/>
        </w:rPr>
        <w:t>it must be found to be distinctive from well-established roles in the labour market, require a new/emerging/diverse skill set, be growing in demand (either appearing in the labour market for the first time in recent years or growing quickly from a small base), and a reasonably large size (at least 50 job ads in 2022 and at least 100 job ads over the past 5 years, between 2018-2022).</w:t>
      </w:r>
      <w:r w:rsidR="00AC2606" w:rsidRPr="00AC0957">
        <w:rPr>
          <w:rFonts w:cs="Arial"/>
        </w:rPr>
        <w:t xml:space="preserve"> </w:t>
      </w:r>
    </w:p>
    <w:p w14:paraId="1226F4C6" w14:textId="0F42CFF8" w:rsidR="00037377" w:rsidRDefault="00037377" w:rsidP="00037377">
      <w:pPr>
        <w:pStyle w:val="Caption"/>
      </w:pPr>
      <w:bookmarkStart w:id="233" w:name="_Ref179898242"/>
      <w:bookmarkStart w:id="234" w:name="_Toc181370349"/>
      <w:r>
        <w:t xml:space="preserve">Figure </w:t>
      </w:r>
      <w:r>
        <w:fldChar w:fldCharType="begin"/>
      </w:r>
      <w:r>
        <w:instrText xml:space="preserve"> SEQ Figure \* ARABIC </w:instrText>
      </w:r>
      <w:r>
        <w:fldChar w:fldCharType="separate"/>
      </w:r>
      <w:r w:rsidR="00C47A81">
        <w:rPr>
          <w:noProof/>
        </w:rPr>
        <w:t>47</w:t>
      </w:r>
      <w:r>
        <w:fldChar w:fldCharType="end"/>
      </w:r>
      <w:bookmarkEnd w:id="233"/>
      <w:r>
        <w:t xml:space="preserve">: </w:t>
      </w:r>
      <w:r w:rsidRPr="00E73C1B">
        <w:t>Principles for validation</w:t>
      </w:r>
      <w:bookmarkEnd w:id="234"/>
    </w:p>
    <w:p w14:paraId="3B3C7ECB" w14:textId="4893A21D" w:rsidR="00AC2606" w:rsidRPr="00AC0957" w:rsidRDefault="00BE1742" w:rsidP="00AC2606">
      <w:pPr>
        <w:rPr>
          <w:rFonts w:cs="Arial"/>
        </w:rPr>
      </w:pPr>
      <w:r>
        <w:rPr>
          <w:noProof/>
        </w:rPr>
        <w:drawing>
          <wp:inline distT="0" distB="0" distL="0" distR="0" wp14:anchorId="7FF306E5" wp14:editId="1EA738F9">
            <wp:extent cx="5731510" cy="1301750"/>
            <wp:effectExtent l="0" t="0" r="2540" b="0"/>
            <wp:docPr id="3" name="Picture 2" descr="Graphic representation of the principles for validation underlying the JSA emerging roles work. It shows they must be distinctive from well-established roles in the labour market, require new, emerging, or diverse skill set, be growing in demand, and be a reasonably large size. ">
              <a:extLst xmlns:a="http://schemas.openxmlformats.org/drawingml/2006/main">
                <a:ext uri="{FF2B5EF4-FFF2-40B4-BE49-F238E27FC236}">
                  <a16:creationId xmlns:a16="http://schemas.microsoft.com/office/drawing/2014/main" id="{D28F65D0-7C96-C924-ABE5-E9AC702F03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Graphic representation of the principles for validation underlying the JSA emerging roles work. It shows they must be distinctive from well-established roles in the labour market, require new, emerging, or diverse skill set, be growing in demand, and be a reasonably large size. ">
                      <a:extLst>
                        <a:ext uri="{FF2B5EF4-FFF2-40B4-BE49-F238E27FC236}">
                          <a16:creationId xmlns:a16="http://schemas.microsoft.com/office/drawing/2014/main" id="{D28F65D0-7C96-C924-ABE5-E9AC702F03C5}"/>
                        </a:ext>
                      </a:extLst>
                    </pic:cNvPr>
                    <pic:cNvPicPr>
                      <a:picLocks noChangeAspect="1"/>
                    </pic:cNvPicPr>
                  </pic:nvPicPr>
                  <pic:blipFill>
                    <a:blip r:embed="rId94"/>
                    <a:stretch>
                      <a:fillRect/>
                    </a:stretch>
                  </pic:blipFill>
                  <pic:spPr>
                    <a:xfrm>
                      <a:off x="0" y="0"/>
                      <a:ext cx="5731510" cy="1301750"/>
                    </a:xfrm>
                    <a:prstGeom prst="rect">
                      <a:avLst/>
                    </a:prstGeom>
                  </pic:spPr>
                </pic:pic>
              </a:graphicData>
            </a:graphic>
          </wp:inline>
        </w:drawing>
      </w:r>
    </w:p>
    <w:p w14:paraId="1AD8F8B5" w14:textId="344FBE0F" w:rsidR="00AC2606" w:rsidRPr="00AC0957" w:rsidRDefault="00AC2606" w:rsidP="00AC2606">
      <w:pPr>
        <w:rPr>
          <w:rFonts w:cs="Arial"/>
        </w:rPr>
      </w:pPr>
      <w:r w:rsidRPr="00AC0957">
        <w:rPr>
          <w:rFonts w:cs="Arial"/>
        </w:rPr>
        <w:t xml:space="preserve">As a result, 37 emerging roles in the Australian labour market were identified. As shown in </w:t>
      </w:r>
      <w:r w:rsidR="000F2D15">
        <w:rPr>
          <w:rFonts w:cs="Arial"/>
        </w:rPr>
        <w:fldChar w:fldCharType="begin"/>
      </w:r>
      <w:r w:rsidR="000F2D15">
        <w:rPr>
          <w:rFonts w:cs="Arial"/>
        </w:rPr>
        <w:instrText xml:space="preserve"> REF _Ref179898252 \h </w:instrText>
      </w:r>
      <w:r w:rsidR="000F2D15">
        <w:rPr>
          <w:rFonts w:cs="Arial"/>
        </w:rPr>
      </w:r>
      <w:r w:rsidR="000F2D15">
        <w:rPr>
          <w:rFonts w:cs="Arial"/>
        </w:rPr>
        <w:fldChar w:fldCharType="separate"/>
      </w:r>
      <w:r w:rsidR="00C47A81">
        <w:t xml:space="preserve">Figure </w:t>
      </w:r>
      <w:r w:rsidR="00C47A81">
        <w:rPr>
          <w:noProof/>
        </w:rPr>
        <w:t>48</w:t>
      </w:r>
      <w:r w:rsidR="000F2D15">
        <w:rPr>
          <w:rFonts w:cs="Arial"/>
        </w:rPr>
        <w:fldChar w:fldCharType="end"/>
      </w:r>
      <w:r w:rsidRPr="00AC0957">
        <w:rPr>
          <w:rFonts w:cs="Arial"/>
        </w:rPr>
        <w:t>,</w:t>
      </w:r>
      <w:r w:rsidR="004A7736">
        <w:rPr>
          <w:rFonts w:cs="Arial"/>
        </w:rPr>
        <w:t xml:space="preserve"> </w:t>
      </w:r>
      <w:r w:rsidR="004A7736">
        <w:rPr>
          <w:rFonts w:cs="Arial"/>
        </w:rPr>
        <w:fldChar w:fldCharType="begin"/>
      </w:r>
      <w:r w:rsidR="004A7736">
        <w:rPr>
          <w:rFonts w:cs="Arial"/>
        </w:rPr>
        <w:instrText xml:space="preserve"> REF _Ref179898276 \h </w:instrText>
      </w:r>
      <w:r w:rsidR="004A7736">
        <w:rPr>
          <w:rFonts w:cs="Arial"/>
        </w:rPr>
      </w:r>
      <w:r w:rsidR="004A7736">
        <w:rPr>
          <w:rFonts w:cs="Arial"/>
        </w:rPr>
        <w:fldChar w:fldCharType="separate"/>
      </w:r>
      <w:r w:rsidR="00C47A81">
        <w:t xml:space="preserve">Figure </w:t>
      </w:r>
      <w:r w:rsidR="00C47A81">
        <w:rPr>
          <w:noProof/>
        </w:rPr>
        <w:t>49</w:t>
      </w:r>
      <w:r w:rsidR="004A7736">
        <w:rPr>
          <w:rFonts w:cs="Arial"/>
        </w:rPr>
        <w:fldChar w:fldCharType="end"/>
      </w:r>
      <w:r w:rsidR="004A7736">
        <w:rPr>
          <w:rFonts w:cs="Arial"/>
        </w:rPr>
        <w:t xml:space="preserve">, </w:t>
      </w:r>
      <w:r w:rsidR="004A7736">
        <w:rPr>
          <w:rFonts w:cs="Arial"/>
        </w:rPr>
        <w:fldChar w:fldCharType="begin"/>
      </w:r>
      <w:r w:rsidR="004A7736">
        <w:rPr>
          <w:rFonts w:cs="Arial"/>
        </w:rPr>
        <w:instrText xml:space="preserve"> REF _Ref179898280 \h </w:instrText>
      </w:r>
      <w:r w:rsidR="004A7736">
        <w:rPr>
          <w:rFonts w:cs="Arial"/>
        </w:rPr>
      </w:r>
      <w:r w:rsidR="004A7736">
        <w:rPr>
          <w:rFonts w:cs="Arial"/>
        </w:rPr>
        <w:fldChar w:fldCharType="separate"/>
      </w:r>
      <w:r w:rsidR="00C47A81">
        <w:t xml:space="preserve">Figure </w:t>
      </w:r>
      <w:r w:rsidR="00C47A81">
        <w:rPr>
          <w:noProof/>
        </w:rPr>
        <w:t>50</w:t>
      </w:r>
      <w:r w:rsidR="004A7736">
        <w:rPr>
          <w:rFonts w:cs="Arial"/>
        </w:rPr>
        <w:fldChar w:fldCharType="end"/>
      </w:r>
      <w:r w:rsidR="004A7736">
        <w:rPr>
          <w:rFonts w:cs="Arial"/>
        </w:rPr>
        <w:t xml:space="preserve">, and </w:t>
      </w:r>
      <w:r w:rsidR="004A7736">
        <w:rPr>
          <w:rFonts w:cs="Arial"/>
        </w:rPr>
        <w:fldChar w:fldCharType="begin"/>
      </w:r>
      <w:r w:rsidR="004A7736">
        <w:rPr>
          <w:rFonts w:cs="Arial"/>
        </w:rPr>
        <w:instrText xml:space="preserve"> REF _Ref179898287 \h </w:instrText>
      </w:r>
      <w:r w:rsidR="004A7736">
        <w:rPr>
          <w:rFonts w:cs="Arial"/>
        </w:rPr>
      </w:r>
      <w:r w:rsidR="004A7736">
        <w:rPr>
          <w:rFonts w:cs="Arial"/>
        </w:rPr>
        <w:fldChar w:fldCharType="separate"/>
      </w:r>
      <w:r w:rsidR="00C47A81">
        <w:t xml:space="preserve">Figure </w:t>
      </w:r>
      <w:r w:rsidR="00C47A81">
        <w:rPr>
          <w:noProof/>
        </w:rPr>
        <w:t>51</w:t>
      </w:r>
      <w:r w:rsidR="004A7736">
        <w:rPr>
          <w:rFonts w:cs="Arial"/>
        </w:rPr>
        <w:fldChar w:fldCharType="end"/>
      </w:r>
      <w:r w:rsidR="004A7736">
        <w:rPr>
          <w:rFonts w:cs="Arial"/>
        </w:rPr>
        <w:t>,</w:t>
      </w:r>
      <w:r w:rsidRPr="00AC0957">
        <w:rPr>
          <w:rFonts w:cs="Arial"/>
        </w:rPr>
        <w:t xml:space="preserve"> </w:t>
      </w:r>
      <w:r w:rsidR="001133DA" w:rsidRPr="001133DA">
        <w:rPr>
          <w:rFonts w:cs="Arial"/>
        </w:rPr>
        <w:t>the roles were identified across 4 key themes that align broadly with the major forces shaping our economy – Health, Care and Medical, Data and Technologies, Net Zero, and Science and Engineering. The largest number of roles were identified within Health, Care, and Medical, although this was closely followed by Data and Technologies</w:t>
      </w:r>
      <w:r w:rsidRPr="00AC0957">
        <w:rPr>
          <w:rFonts w:cs="Arial"/>
        </w:rPr>
        <w:t xml:space="preserve">. </w:t>
      </w:r>
    </w:p>
    <w:p w14:paraId="447B74C4" w14:textId="138E1420" w:rsidR="00C20A50" w:rsidRDefault="00C20A50" w:rsidP="00C20A50">
      <w:pPr>
        <w:pStyle w:val="Caption"/>
      </w:pPr>
      <w:bookmarkStart w:id="235" w:name="_Ref179898252"/>
      <w:bookmarkStart w:id="236" w:name="_Toc181370350"/>
      <w:r>
        <w:t xml:space="preserve">Figure </w:t>
      </w:r>
      <w:r>
        <w:fldChar w:fldCharType="begin"/>
      </w:r>
      <w:r>
        <w:instrText xml:space="preserve"> SEQ Figure \* ARABIC </w:instrText>
      </w:r>
      <w:r>
        <w:fldChar w:fldCharType="separate"/>
      </w:r>
      <w:r w:rsidR="00C47A81">
        <w:rPr>
          <w:noProof/>
        </w:rPr>
        <w:t>48</w:t>
      </w:r>
      <w:r>
        <w:fldChar w:fldCharType="end"/>
      </w:r>
      <w:bookmarkEnd w:id="235"/>
      <w:r>
        <w:t xml:space="preserve">: </w:t>
      </w:r>
      <w:r w:rsidRPr="00D73CF8">
        <w:t xml:space="preserve">Emerging roles in the Australian </w:t>
      </w:r>
      <w:r w:rsidR="008D0284">
        <w:t>l</w:t>
      </w:r>
      <w:r w:rsidRPr="00D73CF8">
        <w:t xml:space="preserve">abour </w:t>
      </w:r>
      <w:r w:rsidR="008D0284">
        <w:t>m</w:t>
      </w:r>
      <w:r w:rsidRPr="00D73CF8">
        <w:t>arket with online job ad counts in 2022</w:t>
      </w:r>
      <w:r>
        <w:t xml:space="preserve"> – Health, care and medical</w:t>
      </w:r>
      <w:bookmarkEnd w:id="236"/>
    </w:p>
    <w:p w14:paraId="6025CDAE" w14:textId="117925BC" w:rsidR="00FF7743" w:rsidRPr="00FF7743" w:rsidRDefault="0093701A" w:rsidP="0093701A">
      <w:pPr>
        <w:jc w:val="center"/>
      </w:pPr>
      <w:r>
        <w:rPr>
          <w:noProof/>
        </w:rPr>
        <w:drawing>
          <wp:inline distT="0" distB="0" distL="0" distR="0" wp14:anchorId="5F4E5A08" wp14:editId="1BD5C331">
            <wp:extent cx="4619708" cy="3196779"/>
            <wp:effectExtent l="0" t="0" r="0" b="3810"/>
            <wp:docPr id="344375051" name="Picture 64" descr="This bar chart shows the identified emerging roles within the Health, Care and Medical theme by online job ad counts in 2022. Community Mental Health Worker had the highest number of job ad counts (over 5,200), followed by Mental Health Practitioner (over 4,700), and Allied Health Assistant (over 2,300). Genetic Counsellor was at the bottom of the chart (80 job ads), followed by Music Therapist (over 85 job a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75051" name="Picture 64" descr="This bar chart shows the identified emerging roles within the Health, Care and Medical theme by online job ad counts in 2022. Community Mental Health Worker had the highest number of job ad counts (over 5,200), followed by Mental Health Practitioner (over 4,700), and Allied Health Assistant (over 2,300). Genetic Counsellor was at the bottom of the chart (80 job ads), followed by Music Therapist (over 85 job ads). "/>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623883" cy="3199668"/>
                    </a:xfrm>
                    <a:prstGeom prst="rect">
                      <a:avLst/>
                    </a:prstGeom>
                    <a:noFill/>
                  </pic:spPr>
                </pic:pic>
              </a:graphicData>
            </a:graphic>
          </wp:inline>
        </w:drawing>
      </w:r>
    </w:p>
    <w:p w14:paraId="4D6716B3" w14:textId="6019901D" w:rsidR="00C20A50" w:rsidRPr="00C20A50" w:rsidRDefault="00C20A50" w:rsidP="00A17C4D">
      <w:pPr>
        <w:pStyle w:val="Source"/>
      </w:pPr>
      <w:r w:rsidRPr="00C20A50">
        <w:t>Source: Lightcast data 2022, Jobs and Skills Australia</w:t>
      </w:r>
      <w:r w:rsidR="009F5A2B">
        <w:t>’s</w:t>
      </w:r>
      <w:r w:rsidRPr="00C20A50">
        <w:t xml:space="preserve"> analysis</w:t>
      </w:r>
      <w:r w:rsidR="008D0284">
        <w:t>.</w:t>
      </w:r>
    </w:p>
    <w:p w14:paraId="44A34948" w14:textId="5B223098" w:rsidR="00C20A50" w:rsidRDefault="00C20A50" w:rsidP="00C20A50">
      <w:pPr>
        <w:pStyle w:val="Caption"/>
      </w:pPr>
      <w:bookmarkStart w:id="237" w:name="_Ref179898276"/>
      <w:bookmarkStart w:id="238" w:name="_Toc181370351"/>
      <w:r>
        <w:t xml:space="preserve">Figure </w:t>
      </w:r>
      <w:r>
        <w:fldChar w:fldCharType="begin"/>
      </w:r>
      <w:r>
        <w:instrText xml:space="preserve"> SEQ Figure \* ARABIC </w:instrText>
      </w:r>
      <w:r>
        <w:fldChar w:fldCharType="separate"/>
      </w:r>
      <w:r w:rsidR="00C47A81">
        <w:rPr>
          <w:noProof/>
        </w:rPr>
        <w:t>49</w:t>
      </w:r>
      <w:r>
        <w:fldChar w:fldCharType="end"/>
      </w:r>
      <w:bookmarkEnd w:id="237"/>
      <w:r>
        <w:t>:</w:t>
      </w:r>
      <w:r w:rsidR="005363DF">
        <w:t xml:space="preserve"> </w:t>
      </w:r>
      <w:r w:rsidRPr="006A6C2D">
        <w:t xml:space="preserve">Emerging roles in the Australian </w:t>
      </w:r>
      <w:r w:rsidR="008D0284">
        <w:t>l</w:t>
      </w:r>
      <w:r w:rsidRPr="006A6C2D">
        <w:t xml:space="preserve">abour </w:t>
      </w:r>
      <w:r w:rsidR="008D0284">
        <w:t>m</w:t>
      </w:r>
      <w:r w:rsidRPr="006A6C2D">
        <w:t xml:space="preserve">arket with online job ad counts in 2022 – </w:t>
      </w:r>
      <w:r>
        <w:t>Data and technologies</w:t>
      </w:r>
      <w:bookmarkEnd w:id="238"/>
    </w:p>
    <w:p w14:paraId="3BE3CA58" w14:textId="5918899E" w:rsidR="00FF7743" w:rsidRPr="00FF7743" w:rsidRDefault="00A20564" w:rsidP="00A20564">
      <w:pPr>
        <w:jc w:val="center"/>
      </w:pPr>
      <w:r>
        <w:rPr>
          <w:noProof/>
        </w:rPr>
        <w:drawing>
          <wp:inline distT="0" distB="0" distL="0" distR="0" wp14:anchorId="5575D2BB" wp14:editId="1B395A48">
            <wp:extent cx="4539597" cy="3131126"/>
            <wp:effectExtent l="0" t="0" r="0" b="0"/>
            <wp:docPr id="1878948756" name="Picture 65" descr="This bar chart shows the identified emerging roles within the Data and Technologies theme by online job ad counts in 2022. Cloud Developer had the highest number of job ad counts (over 9,200), followed by Solutions Architect (over 8,000), and Automation Engineer (over 5,000). Remote Sensing Specialist was at the bottom of the chart (50 job ads), followed by Quantum Computing Scientist (55 job 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48756" name="Picture 65" descr="This bar chart shows the identified emerging roles within the Data and Technologies theme by online job ad counts in 2022. Cloud Developer had the highest number of job ad counts (over 9,200), followed by Solutions Architect (over 8,000), and Automation Engineer (over 5,000). Remote Sensing Specialist was at the bottom of the chart (50 job ads), followed by Quantum Computing Scientist (55 job ads)."/>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542567" cy="3133174"/>
                    </a:xfrm>
                    <a:prstGeom prst="rect">
                      <a:avLst/>
                    </a:prstGeom>
                    <a:noFill/>
                  </pic:spPr>
                </pic:pic>
              </a:graphicData>
            </a:graphic>
          </wp:inline>
        </w:drawing>
      </w:r>
    </w:p>
    <w:p w14:paraId="4D44C541" w14:textId="59419154" w:rsidR="00C20A50" w:rsidRPr="00C20A50" w:rsidRDefault="00C20A50" w:rsidP="00A17C4D">
      <w:pPr>
        <w:pStyle w:val="Source"/>
      </w:pPr>
      <w:r w:rsidRPr="00C20A50">
        <w:t>Source: Lightcast data 2022, Jobs and Skills Australia</w:t>
      </w:r>
      <w:r w:rsidR="005363DF">
        <w:t>’s</w:t>
      </w:r>
      <w:r w:rsidRPr="00C20A50">
        <w:t xml:space="preserve"> analysis</w:t>
      </w:r>
      <w:r w:rsidR="008D0284">
        <w:t>.</w:t>
      </w:r>
    </w:p>
    <w:p w14:paraId="5CC064CC" w14:textId="2F51866E" w:rsidR="00C20A50" w:rsidRDefault="00C20A50" w:rsidP="00C20A50">
      <w:pPr>
        <w:pStyle w:val="Caption"/>
      </w:pPr>
      <w:bookmarkStart w:id="239" w:name="_Ref179898280"/>
      <w:bookmarkStart w:id="240" w:name="_Toc181370352"/>
      <w:r>
        <w:t xml:space="preserve">Figure </w:t>
      </w:r>
      <w:r>
        <w:fldChar w:fldCharType="begin"/>
      </w:r>
      <w:r>
        <w:instrText xml:space="preserve"> SEQ Figure \* ARABIC </w:instrText>
      </w:r>
      <w:r>
        <w:fldChar w:fldCharType="separate"/>
      </w:r>
      <w:r w:rsidR="00C47A81">
        <w:rPr>
          <w:noProof/>
        </w:rPr>
        <w:t>50</w:t>
      </w:r>
      <w:r>
        <w:fldChar w:fldCharType="end"/>
      </w:r>
      <w:bookmarkEnd w:id="239"/>
      <w:r>
        <w:t xml:space="preserve">: </w:t>
      </w:r>
      <w:r w:rsidRPr="00D25826">
        <w:t xml:space="preserve">Emerging roles in the Australian </w:t>
      </w:r>
      <w:r w:rsidR="008D0284">
        <w:t>l</w:t>
      </w:r>
      <w:r w:rsidRPr="00D25826">
        <w:t xml:space="preserve">abour </w:t>
      </w:r>
      <w:r w:rsidR="008D0284">
        <w:t>m</w:t>
      </w:r>
      <w:r w:rsidRPr="00D25826">
        <w:t xml:space="preserve">arket with online job ad counts in 2022 – </w:t>
      </w:r>
      <w:r>
        <w:t xml:space="preserve">Net </w:t>
      </w:r>
      <w:r w:rsidR="00E90E09">
        <w:t>z</w:t>
      </w:r>
      <w:r>
        <w:t>ero</w:t>
      </w:r>
      <w:bookmarkEnd w:id="240"/>
    </w:p>
    <w:p w14:paraId="5FFB5513" w14:textId="23EBB72B" w:rsidR="00FF7743" w:rsidRPr="00FF7743" w:rsidRDefault="00662B99" w:rsidP="00662B99">
      <w:pPr>
        <w:jc w:val="center"/>
      </w:pPr>
      <w:r>
        <w:rPr>
          <w:noProof/>
        </w:rPr>
        <w:drawing>
          <wp:inline distT="0" distB="0" distL="0" distR="0" wp14:anchorId="3BEFD05E" wp14:editId="0D9E2916">
            <wp:extent cx="4493122" cy="3109183"/>
            <wp:effectExtent l="0" t="0" r="3175" b="0"/>
            <wp:docPr id="1714307132" name="Picture 66" descr="This bar chart shows the identified emerging roles within the Net Zero theme by online job ad counts in 2022. Electric Vehicle Technician had the highest number of job ad counts (over 1,700), followed by Sustainability Consultant (over 1,500), and Battery Design Specialist (over 1,200). Energy Broker was at the bottom of the chart (87 job ads), followed by Solar Energy Systems Engineer (93 job 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307132" name="Picture 66" descr="This bar chart shows the identified emerging roles within the Net Zero theme by online job ad counts in 2022. Electric Vehicle Technician had the highest number of job ad counts (over 1,700), followed by Sustainability Consultant (over 1,500), and Battery Design Specialist (over 1,200). Energy Broker was at the bottom of the chart (87 job ads), followed by Solar Energy Systems Engineer (93 job ads)."/>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495255" cy="3110659"/>
                    </a:xfrm>
                    <a:prstGeom prst="rect">
                      <a:avLst/>
                    </a:prstGeom>
                    <a:noFill/>
                  </pic:spPr>
                </pic:pic>
              </a:graphicData>
            </a:graphic>
          </wp:inline>
        </w:drawing>
      </w:r>
    </w:p>
    <w:p w14:paraId="505F32FF" w14:textId="310E47BA" w:rsidR="00C20A50" w:rsidRPr="00C20A50" w:rsidRDefault="00C20A50" w:rsidP="00A17C4D">
      <w:pPr>
        <w:pStyle w:val="Source"/>
      </w:pPr>
      <w:r w:rsidRPr="00C20A50">
        <w:t>Source: Lightcast data 2022, Jobs and Skills Australia</w:t>
      </w:r>
      <w:r w:rsidR="00E86310">
        <w:t>’s</w:t>
      </w:r>
      <w:r w:rsidRPr="00C20A50">
        <w:t xml:space="preserve"> analysis</w:t>
      </w:r>
      <w:r w:rsidR="008D0284">
        <w:t>.</w:t>
      </w:r>
    </w:p>
    <w:p w14:paraId="09D8C734" w14:textId="5FF5A809" w:rsidR="00C20A50" w:rsidRDefault="00C20A50" w:rsidP="00C20A50">
      <w:pPr>
        <w:pStyle w:val="Caption"/>
      </w:pPr>
      <w:bookmarkStart w:id="241" w:name="_Ref179898287"/>
      <w:bookmarkStart w:id="242" w:name="_Toc181370353"/>
      <w:r>
        <w:t xml:space="preserve">Figure </w:t>
      </w:r>
      <w:r>
        <w:fldChar w:fldCharType="begin"/>
      </w:r>
      <w:r>
        <w:instrText xml:space="preserve"> SEQ Figure \* ARABIC </w:instrText>
      </w:r>
      <w:r>
        <w:fldChar w:fldCharType="separate"/>
      </w:r>
      <w:r w:rsidR="00C47A81">
        <w:rPr>
          <w:noProof/>
        </w:rPr>
        <w:t>51</w:t>
      </w:r>
      <w:r>
        <w:fldChar w:fldCharType="end"/>
      </w:r>
      <w:bookmarkEnd w:id="241"/>
      <w:r>
        <w:t xml:space="preserve">: </w:t>
      </w:r>
      <w:r w:rsidRPr="00CF5EF8">
        <w:t xml:space="preserve">Emerging roles in the Australian </w:t>
      </w:r>
      <w:r w:rsidR="008D0284">
        <w:t>l</w:t>
      </w:r>
      <w:r w:rsidRPr="00CF5EF8">
        <w:t xml:space="preserve">abour </w:t>
      </w:r>
      <w:r w:rsidR="008D0284">
        <w:t>m</w:t>
      </w:r>
      <w:r w:rsidRPr="00CF5EF8">
        <w:t xml:space="preserve">arket with online job ad counts in 2022 – </w:t>
      </w:r>
      <w:r>
        <w:t>Science and engineering</w:t>
      </w:r>
      <w:bookmarkEnd w:id="242"/>
    </w:p>
    <w:p w14:paraId="6E14F12D" w14:textId="15E71745" w:rsidR="00FF7743" w:rsidRPr="00FF7743" w:rsidRDefault="00BF186C" w:rsidP="00BF186C">
      <w:pPr>
        <w:jc w:val="center"/>
      </w:pPr>
      <w:r>
        <w:rPr>
          <w:noProof/>
        </w:rPr>
        <w:drawing>
          <wp:inline distT="0" distB="0" distL="0" distR="0" wp14:anchorId="1378ABF3" wp14:editId="143DAEBC">
            <wp:extent cx="4572635" cy="3164205"/>
            <wp:effectExtent l="0" t="0" r="0" b="0"/>
            <wp:docPr id="1145620687" name="Picture 67" descr="This bar chart shows the identified emerging roles within the Science and Engineering theme by online job ad counts in 2022. Reliability Engineer had the highest number of job ad counts (over 1,900), followed by Logistics Engineer (over 600), and Molecular Biologist (160). Bioinformatician was at the bottom of the chart (131 job ads), followed by Robotics Engineer (158 job 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620687" name="Picture 67" descr="This bar chart shows the identified emerging roles within the Science and Engineering theme by online job ad counts in 2022. Reliability Engineer had the highest number of job ad counts (over 1,900), followed by Logistics Engineer (over 600), and Molecular Biologist (160). Bioinformatician was at the bottom of the chart (131 job ads), followed by Robotics Engineer (158 job ads)."/>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572635" cy="3164205"/>
                    </a:xfrm>
                    <a:prstGeom prst="rect">
                      <a:avLst/>
                    </a:prstGeom>
                    <a:noFill/>
                  </pic:spPr>
                </pic:pic>
              </a:graphicData>
            </a:graphic>
          </wp:inline>
        </w:drawing>
      </w:r>
    </w:p>
    <w:p w14:paraId="6A2FAFAE" w14:textId="7132A696" w:rsidR="00AC2606" w:rsidRPr="00C20A50" w:rsidRDefault="00AC2606" w:rsidP="00A17C4D">
      <w:pPr>
        <w:pStyle w:val="Source"/>
      </w:pPr>
      <w:r w:rsidRPr="00C20A50">
        <w:t>Source: Lightcast data 2022, Jobs and Skills Australia</w:t>
      </w:r>
      <w:r w:rsidR="00E17470">
        <w:t>’s</w:t>
      </w:r>
      <w:r w:rsidRPr="00C20A50">
        <w:t xml:space="preserve"> analysis</w:t>
      </w:r>
      <w:r w:rsidR="008D0284">
        <w:t>.</w:t>
      </w:r>
    </w:p>
    <w:p w14:paraId="4273A01F" w14:textId="30592E2C" w:rsidR="00AC2606" w:rsidRPr="00AC0957" w:rsidRDefault="00945A14" w:rsidP="00AC2606">
      <w:pPr>
        <w:rPr>
          <w:rFonts w:cs="Arial"/>
        </w:rPr>
      </w:pPr>
      <w:r w:rsidRPr="00945A14">
        <w:rPr>
          <w:rFonts w:cs="Arial"/>
        </w:rPr>
        <w:t>The identified emerging roles reflect growing trends in the labour market such as the rising need for allied health services, rapid advances in technology uptake, the clean energy transformation, and innovation that may be closely related to other key themes. While emerging roles are not a prediction of a role that might appear in the future, they experience growing demand and grew quickly from a small base. By continuously monitoring these changes to the labour market and offering detailed skills analysis, JSA plays a crucial role in preparing Australia to adapt to economic changes and meet the demand for specific skills</w:t>
      </w:r>
      <w:r w:rsidR="00AC2606" w:rsidRPr="00AC0957">
        <w:rPr>
          <w:rFonts w:cs="Arial"/>
        </w:rPr>
        <w:t xml:space="preserve">. </w:t>
      </w:r>
    </w:p>
    <w:p w14:paraId="68D28D0A" w14:textId="77777777" w:rsidR="00AC2606" w:rsidRPr="00AC0957" w:rsidRDefault="00AC2606" w:rsidP="00AC2606">
      <w:pPr>
        <w:pStyle w:val="Heading3"/>
        <w:rPr>
          <w:rFonts w:cs="Arial"/>
        </w:rPr>
      </w:pPr>
      <w:bookmarkStart w:id="243" w:name="_Toc179887405"/>
      <w:bookmarkStart w:id="244" w:name="_Toc181371602"/>
      <w:r w:rsidRPr="00AC0957">
        <w:rPr>
          <w:rFonts w:cs="Arial"/>
        </w:rPr>
        <w:t>The rise of artificial intelligence</w:t>
      </w:r>
      <w:bookmarkEnd w:id="243"/>
      <w:bookmarkEnd w:id="244"/>
    </w:p>
    <w:p w14:paraId="0276D42C" w14:textId="77777777" w:rsidR="00D22271" w:rsidRPr="00D22271" w:rsidRDefault="00D22271" w:rsidP="00D22271">
      <w:pPr>
        <w:rPr>
          <w:rFonts w:cs="Arial"/>
        </w:rPr>
      </w:pPr>
      <w:r w:rsidRPr="00D22271">
        <w:rPr>
          <w:rFonts w:cs="Arial"/>
        </w:rPr>
        <w:t xml:space="preserve">Artificial intelligence (AI) is predicted to transform the way we work. While new applications for AI are emerging every day, and it has the potential to revolutionise industries, streamline tasks and create new opportunities; evidence from current Australian internet job advertisement data suggests the take up of AI to date is modest. Analysis indicates that the proportion of online job ads listing AI skills increased between 2018 and 2020 but declined in more recent years. AI skills were more prominent among technical occupations related to data and technologies. </w:t>
      </w:r>
    </w:p>
    <w:p w14:paraId="08C5FAA4" w14:textId="1F9EA41B" w:rsidR="00AC2606" w:rsidRPr="00AC0957" w:rsidRDefault="00D22271" w:rsidP="00D22271">
      <w:pPr>
        <w:rPr>
          <w:rFonts w:cs="Arial"/>
        </w:rPr>
      </w:pPr>
      <w:r w:rsidRPr="00D22271">
        <w:rPr>
          <w:rFonts w:cs="Arial"/>
        </w:rPr>
        <w:t xml:space="preserve">Roles requiring AI skills in Australia were predominantly found in ICT, Data, and Professional Services. The most common roles with internet job ads listing AI skills were Data Scientist and Systems Engineer, with 13% and 7% of all AI related job ads, respectively </w:t>
      </w:r>
      <w:r w:rsidR="00AC2606" w:rsidRPr="00AC0957">
        <w:rPr>
          <w:rFonts w:cs="Arial"/>
        </w:rPr>
        <w:t>(</w:t>
      </w:r>
      <w:r w:rsidR="004A7736">
        <w:rPr>
          <w:rFonts w:cs="Arial"/>
        </w:rPr>
        <w:fldChar w:fldCharType="begin"/>
      </w:r>
      <w:r w:rsidR="004A7736">
        <w:rPr>
          <w:rFonts w:cs="Arial"/>
        </w:rPr>
        <w:instrText xml:space="preserve"> REF _Ref179898314 \h </w:instrText>
      </w:r>
      <w:r w:rsidR="004A7736">
        <w:rPr>
          <w:rFonts w:cs="Arial"/>
        </w:rPr>
      </w:r>
      <w:r w:rsidR="004A7736">
        <w:rPr>
          <w:rFonts w:cs="Arial"/>
        </w:rPr>
        <w:fldChar w:fldCharType="separate"/>
      </w:r>
      <w:r w:rsidR="00C47A81" w:rsidRPr="00403526">
        <w:t xml:space="preserve">Figure </w:t>
      </w:r>
      <w:r w:rsidR="00C47A81">
        <w:rPr>
          <w:noProof/>
        </w:rPr>
        <w:t>52</w:t>
      </w:r>
      <w:r w:rsidR="004A7736">
        <w:rPr>
          <w:rFonts w:cs="Arial"/>
        </w:rPr>
        <w:fldChar w:fldCharType="end"/>
      </w:r>
      <w:r w:rsidR="00AC2606" w:rsidRPr="00AC0957">
        <w:rPr>
          <w:rFonts w:cs="Arial"/>
        </w:rPr>
        <w:t>).</w:t>
      </w:r>
    </w:p>
    <w:p w14:paraId="78AE02FC" w14:textId="3623FCF8" w:rsidR="00C20A50" w:rsidRDefault="00C20A50" w:rsidP="00C20A50">
      <w:pPr>
        <w:pStyle w:val="Caption"/>
      </w:pPr>
      <w:bookmarkStart w:id="245" w:name="_Ref179898314"/>
      <w:bookmarkStart w:id="246" w:name="_Toc181370354"/>
      <w:r w:rsidRPr="00403526">
        <w:t xml:space="preserve">Figure </w:t>
      </w:r>
      <w:r w:rsidRPr="00403526">
        <w:fldChar w:fldCharType="begin"/>
      </w:r>
      <w:r w:rsidRPr="00403526">
        <w:instrText xml:space="preserve"> SEQ Figure \* ARABIC </w:instrText>
      </w:r>
      <w:r w:rsidRPr="00403526">
        <w:fldChar w:fldCharType="separate"/>
      </w:r>
      <w:r w:rsidR="00C47A81">
        <w:rPr>
          <w:noProof/>
        </w:rPr>
        <w:t>52</w:t>
      </w:r>
      <w:r w:rsidRPr="00403526">
        <w:fldChar w:fldCharType="end"/>
      </w:r>
      <w:bookmarkEnd w:id="245"/>
      <w:r w:rsidRPr="00403526">
        <w:t>: Top 10 AI skills-related job titles</w:t>
      </w:r>
      <w:bookmarkEnd w:id="246"/>
      <w:r w:rsidR="0035447B" w:rsidRPr="00403526">
        <w:t xml:space="preserve"> </w:t>
      </w:r>
    </w:p>
    <w:p w14:paraId="1BC61AD5" w14:textId="4F12BF76" w:rsidR="00FF7743" w:rsidRPr="00FF7743" w:rsidRDefault="008C4170" w:rsidP="00FF7743">
      <w:r>
        <w:rPr>
          <w:noProof/>
        </w:rPr>
        <w:drawing>
          <wp:inline distT="0" distB="0" distL="0" distR="0" wp14:anchorId="59B30E68" wp14:editId="156A5DAF">
            <wp:extent cx="5713200" cy="2934000"/>
            <wp:effectExtent l="0" t="0" r="1905" b="0"/>
            <wp:docPr id="1835097370" name="Picture 68" descr="This bubble chart shows the top 10 roles with the largest share of AI skills. The chart illustrates that these remain concentrated in ICT, Data and Professional Services such as Data Scientist (13%) and Systems Engineer (7%). Other roles include Science Professional (1%) and University Lectur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097370" name="Picture 68" descr="This bubble chart shows the top 10 roles with the largest share of AI skills. The chart illustrates that these remain concentrated in ICT, Data and Professional Services such as Data Scientist (13%) and Systems Engineer (7%). Other roles include Science Professional (1%) and University Lecturer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13200" cy="2934000"/>
                    </a:xfrm>
                    <a:prstGeom prst="rect">
                      <a:avLst/>
                    </a:prstGeom>
                    <a:noFill/>
                  </pic:spPr>
                </pic:pic>
              </a:graphicData>
            </a:graphic>
          </wp:inline>
        </w:drawing>
      </w:r>
    </w:p>
    <w:p w14:paraId="2A975BA0" w14:textId="4DD36B95" w:rsidR="00AC2606" w:rsidRPr="00C20A50" w:rsidRDefault="00AC2606" w:rsidP="00A17C4D">
      <w:pPr>
        <w:pStyle w:val="Source"/>
        <w:rPr>
          <w:lang w:val="en-US"/>
        </w:rPr>
      </w:pPr>
      <w:r w:rsidRPr="00C20A50">
        <w:t>Source: Lightcast data 2018 - 2023, Jobs and Skills Australia’s analysis</w:t>
      </w:r>
      <w:r w:rsidR="000418C3">
        <w:t>.</w:t>
      </w:r>
    </w:p>
    <w:p w14:paraId="0BA2CC90" w14:textId="77777777" w:rsidR="00AE2CF0" w:rsidRPr="00AE2CF0" w:rsidRDefault="00AE2CF0" w:rsidP="00AE2CF0">
      <w:pPr>
        <w:rPr>
          <w:rFonts w:cs="Arial"/>
          <w:lang w:val="en-US"/>
        </w:rPr>
      </w:pPr>
      <w:r w:rsidRPr="00AE2CF0">
        <w:rPr>
          <w:rFonts w:cs="Arial"/>
          <w:lang w:val="en-US"/>
        </w:rPr>
        <w:t xml:space="preserve">The majority of job ads requiring AI skills were specifically seeking candidates with expertise in Machine Learning, accounting for 93% of the total AI skills-related job market. The second most common cluster was Deep Learning, which includes skills related to neural networks and large language modeling, accounting for 43% of all AI listings. The Artificial Intelligence cluster, covering high level or generic descriptions of skills and techniques used widely in AI, accounted for 26% of AI related job ads. </w:t>
      </w:r>
    </w:p>
    <w:p w14:paraId="7F8E7611" w14:textId="77777777" w:rsidR="00AE2CF0" w:rsidRPr="00AE2CF0" w:rsidRDefault="00AE2CF0" w:rsidP="00AE2CF0">
      <w:pPr>
        <w:rPr>
          <w:rFonts w:cs="Arial"/>
          <w:lang w:val="en-US"/>
        </w:rPr>
      </w:pPr>
      <w:r w:rsidRPr="00AE2CF0">
        <w:rPr>
          <w:rFonts w:cs="Arial"/>
          <w:lang w:val="en-US"/>
        </w:rPr>
        <w:t xml:space="preserve">Ethical AI and Risk Management appeared in 11% of ads listing AI skills. This highlights the importance of ensuring AI technologies are developed and used responsibly. Promoting ethical practices can help to mitigate potential risks associated with AI. </w:t>
      </w:r>
    </w:p>
    <w:p w14:paraId="17546E81" w14:textId="77777777" w:rsidR="00AC2606" w:rsidRPr="00AC0957" w:rsidRDefault="00AE2CF0" w:rsidP="00AE2CF0">
      <w:pPr>
        <w:rPr>
          <w:rFonts w:cs="Arial"/>
        </w:rPr>
      </w:pPr>
      <w:r w:rsidRPr="00AE2CF0">
        <w:rPr>
          <w:rFonts w:cs="Arial"/>
          <w:lang w:val="en-US"/>
        </w:rPr>
        <w:t>While AI skills such as Machine Learning, Deep Learning and Generative AI can overlap, this analysis categorises them distinctly. It’s important to note that job postings list various AI skills that could fall under multiple categories</w:t>
      </w:r>
      <w:r w:rsidR="00AC2606" w:rsidRPr="00AC0957">
        <w:rPr>
          <w:rFonts w:cs="Arial"/>
        </w:rPr>
        <w:t>.</w:t>
      </w:r>
    </w:p>
    <w:p w14:paraId="1D1FF5F3" w14:textId="77777777" w:rsidR="00AC2606" w:rsidRPr="00AC0957" w:rsidRDefault="00AC2606" w:rsidP="00AC2606">
      <w:pPr>
        <w:pStyle w:val="Heading4"/>
      </w:pPr>
      <w:r w:rsidRPr="00AC0957">
        <w:t>AI Engineer appears to be an emerging role </w:t>
      </w:r>
    </w:p>
    <w:p w14:paraId="3B33F2D3" w14:textId="6BD953CB" w:rsidR="00FA1638" w:rsidRPr="00FA1638" w:rsidRDefault="00FA1638" w:rsidP="00FA1638">
      <w:pPr>
        <w:rPr>
          <w:rFonts w:cs="Arial"/>
        </w:rPr>
      </w:pPr>
      <w:r w:rsidRPr="00FA1638">
        <w:rPr>
          <w:rFonts w:cs="Arial"/>
        </w:rPr>
        <w:t xml:space="preserve">Although AI skills are embedded in a wide range of jobs, including both technical and non-technical roles, online job ad data from Lightcast suggests that AI Engineer itself could be an emerging role. AI Engineers build software that can perform various tasks without human involvement. AI Engineers are also responsible for developing, programming and training complex networks of algorithms that function like a human brain </w:t>
      </w:r>
      <w:sdt>
        <w:sdtPr>
          <w:rPr>
            <w:rFonts w:cs="Arial"/>
          </w:rPr>
          <w:id w:val="1049575172"/>
          <w:citation/>
        </w:sdtPr>
        <w:sdtEndPr/>
        <w:sdtContent>
          <w:r w:rsidR="007D7AAF">
            <w:rPr>
              <w:rFonts w:cs="Arial"/>
            </w:rPr>
            <w:fldChar w:fldCharType="begin"/>
          </w:r>
          <w:r w:rsidR="007D7AAF">
            <w:rPr>
              <w:rFonts w:cs="Arial"/>
            </w:rPr>
            <w:instrText xml:space="preserve"> CITATION Mic24 \l 3081 </w:instrText>
          </w:r>
          <w:r w:rsidR="007D7AAF">
            <w:rPr>
              <w:rFonts w:cs="Arial"/>
            </w:rPr>
            <w:fldChar w:fldCharType="separate"/>
          </w:r>
          <w:r w:rsidR="00CA3587" w:rsidRPr="00CA3587">
            <w:rPr>
              <w:rFonts w:cs="Arial"/>
              <w:noProof/>
            </w:rPr>
            <w:t>(Microsoft, 2024)</w:t>
          </w:r>
          <w:r w:rsidR="007D7AAF">
            <w:rPr>
              <w:rFonts w:cs="Arial"/>
            </w:rPr>
            <w:fldChar w:fldCharType="end"/>
          </w:r>
        </w:sdtContent>
      </w:sdt>
      <w:r w:rsidRPr="00FA1638">
        <w:rPr>
          <w:rFonts w:cs="Arial"/>
        </w:rPr>
        <w:t>.</w:t>
      </w:r>
      <w:r w:rsidR="008C52B1">
        <w:rPr>
          <w:rFonts w:cs="Arial"/>
        </w:rPr>
        <w:t xml:space="preserve"> </w:t>
      </w:r>
      <w:r w:rsidRPr="00FA1638">
        <w:rPr>
          <w:rFonts w:cs="Arial"/>
        </w:rPr>
        <w:t>Starting from a very low base, online job ads increased significantly (about 300%) between 2018 and 2022. However, the number of job ads remains low at 105 job listings. Similarly, data from Census of Population and Housing 2021 also recorded a small number of Australians who reported their occupation as AI Engineer (41 people).</w:t>
      </w:r>
      <w:r w:rsidR="008C52B1">
        <w:rPr>
          <w:rFonts w:cs="Arial"/>
        </w:rPr>
        <w:t xml:space="preserve"> </w:t>
      </w:r>
    </w:p>
    <w:p w14:paraId="09D4266F" w14:textId="52F76470" w:rsidR="00AC2606" w:rsidRDefault="00FA1638" w:rsidP="00FA1638">
      <w:pPr>
        <w:rPr>
          <w:rFonts w:cs="Arial"/>
        </w:rPr>
      </w:pPr>
      <w:r w:rsidRPr="00FA1638">
        <w:rPr>
          <w:rFonts w:cs="Arial"/>
        </w:rPr>
        <w:t>Within the AI Engineer workforce, 12% are female and 88% are aged between 25 and 44 years old. The majority of AI Engineers worked in a full-time capacity (81%). Similar to other emerging roles in the technology space, AI Engineer is a high-skill – high-paying role, with 90% of the workforce holding a bachelor’s degree or above, and 59% earning at least $2,000 per week</w:t>
      </w:r>
      <w:r w:rsidR="00AC2606" w:rsidRPr="00AC0957">
        <w:rPr>
          <w:rFonts w:cs="Arial"/>
        </w:rPr>
        <w:t>. </w:t>
      </w:r>
    </w:p>
    <w:p w14:paraId="41DA78EF" w14:textId="77777777" w:rsidR="0068274C" w:rsidRPr="00AC0957" w:rsidRDefault="0068274C" w:rsidP="00FA1638">
      <w:pPr>
        <w:rPr>
          <w:rFonts w:cs="Arial"/>
        </w:rPr>
      </w:pPr>
    </w:p>
    <w:tbl>
      <w:tblPr>
        <w:tblStyle w:val="TableGrid"/>
        <w:tblW w:w="0" w:type="auto"/>
        <w:tblLook w:val="04A0" w:firstRow="1" w:lastRow="0" w:firstColumn="1" w:lastColumn="0" w:noHBand="0" w:noVBand="1"/>
      </w:tblPr>
      <w:tblGrid>
        <w:gridCol w:w="9016"/>
      </w:tblGrid>
      <w:tr w:rsidR="00AC2606" w:rsidRPr="00AC0957" w14:paraId="30B84246" w14:textId="77777777" w:rsidTr="00A66550">
        <w:tc>
          <w:tcPr>
            <w:tcW w:w="9016" w:type="dxa"/>
            <w:tcBorders>
              <w:top w:val="nil"/>
              <w:left w:val="nil"/>
              <w:bottom w:val="nil"/>
              <w:right w:val="nil"/>
            </w:tcBorders>
            <w:shd w:val="clear" w:color="auto" w:fill="E0D1F5" w:themeFill="accent1" w:themeFillTint="33"/>
          </w:tcPr>
          <w:p w14:paraId="7ECC9B44" w14:textId="071BAA9A" w:rsidR="00AC2606" w:rsidRPr="00AC0957" w:rsidRDefault="00AC2606" w:rsidP="00A17C4D">
            <w:pPr>
              <w:pStyle w:val="Heading5"/>
            </w:pPr>
            <w:r w:rsidRPr="00AC0957">
              <w:t>Case study: AI Engineer</w:t>
            </w:r>
            <w:r w:rsidR="00A632C3">
              <w:t xml:space="preserve"> </w:t>
            </w:r>
          </w:p>
          <w:p w14:paraId="2404CDB9" w14:textId="7428F1D3" w:rsidR="00AC2606" w:rsidRPr="00AC0957" w:rsidRDefault="00AC2606">
            <w:pPr>
              <w:rPr>
                <w:rFonts w:cs="Arial"/>
              </w:rPr>
            </w:pPr>
            <w:r w:rsidRPr="00AC0957">
              <w:rPr>
                <w:rFonts w:cs="Arial"/>
              </w:rPr>
              <w:t xml:space="preserve">Artificial intelligence (AI) Engineers are responsible for developing tools, systems, and processes to enable the application of artificial intelligence in real-world contexts. </w:t>
            </w:r>
          </w:p>
          <w:p w14:paraId="410A4494" w14:textId="61D231B3" w:rsidR="00AC2606" w:rsidRDefault="00AC2606" w:rsidP="00A17C4D">
            <w:pPr>
              <w:pStyle w:val="Heading6"/>
            </w:pPr>
            <w:r w:rsidRPr="00AC0957">
              <w:t>Workforce profile (obtained from Census of Population and Housing 2021)</w:t>
            </w:r>
          </w:p>
          <w:p w14:paraId="32866860" w14:textId="57404C85" w:rsidR="00145918" w:rsidRDefault="00145918" w:rsidP="00145918">
            <w:pPr>
              <w:pStyle w:val="Caption"/>
            </w:pPr>
            <w:bookmarkStart w:id="247" w:name="_Toc181370355"/>
            <w:r>
              <w:t xml:space="preserve">Figure </w:t>
            </w:r>
            <w:r>
              <w:fldChar w:fldCharType="begin"/>
            </w:r>
            <w:r>
              <w:instrText>SEQ Figure \* ARABIC</w:instrText>
            </w:r>
            <w:r>
              <w:fldChar w:fldCharType="separate"/>
            </w:r>
            <w:r w:rsidR="00C47A81">
              <w:rPr>
                <w:noProof/>
              </w:rPr>
              <w:t>53</w:t>
            </w:r>
            <w:r>
              <w:fldChar w:fldCharType="end"/>
            </w:r>
            <w:r>
              <w:t xml:space="preserve">: </w:t>
            </w:r>
            <w:r w:rsidR="000418C3">
              <w:t>W</w:t>
            </w:r>
            <w:r>
              <w:t>orkforce profile – AI Engineer</w:t>
            </w:r>
            <w:bookmarkEnd w:id="247"/>
          </w:p>
          <w:p w14:paraId="443F57AD" w14:textId="2C28FC35" w:rsidR="00007DD2" w:rsidRPr="00007DD2" w:rsidRDefault="00007DD2" w:rsidP="00007DD2">
            <w:r>
              <w:rPr>
                <w:noProof/>
              </w:rPr>
              <w:drawing>
                <wp:inline distT="0" distB="0" distL="0" distR="0" wp14:anchorId="3B604F14" wp14:editId="67629F60">
                  <wp:extent cx="5452883" cy="1539243"/>
                  <wp:effectExtent l="0" t="0" r="0" b="3810"/>
                  <wp:docPr id="736908423" name="Picture 1" descr="This graphic shows workforce characteristics for AI engineer. It shows that the workforce size is 41 people, that 12% of the workforce is female, that 88% are aged between 25 and 44, and that 81% of the workforce works full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908423" name="Picture 1" descr="This graphic shows workforce characteristics for AI engineer. It shows that the workforce size is 41 people, that 12% of the workforce is female, that 88% are aged between 25 and 44, and that 81% of the workforce works full time."/>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452883" cy="1539243"/>
                          </a:xfrm>
                          <a:prstGeom prst="rect">
                            <a:avLst/>
                          </a:prstGeom>
                        </pic:spPr>
                      </pic:pic>
                    </a:graphicData>
                  </a:graphic>
                </wp:inline>
              </w:drawing>
            </w:r>
          </w:p>
          <w:p w14:paraId="3A09FA48" w14:textId="4881292B" w:rsidR="00145918" w:rsidRPr="00AC0957" w:rsidRDefault="00145918">
            <w:pPr>
              <w:rPr>
                <w:rFonts w:cs="Arial"/>
              </w:rPr>
            </w:pPr>
            <w:r>
              <w:rPr>
                <w:rFonts w:cs="Arial"/>
                <w:sz w:val="18"/>
                <w:szCs w:val="18"/>
              </w:rPr>
              <w:t xml:space="preserve">Source: </w:t>
            </w:r>
            <w:r w:rsidRPr="009F617C">
              <w:rPr>
                <w:rFonts w:cs="Arial"/>
                <w:sz w:val="18"/>
                <w:szCs w:val="18"/>
              </w:rPr>
              <w:t>Census of Population and Housing 2021, Jobs and Skills Australia</w:t>
            </w:r>
            <w:r>
              <w:rPr>
                <w:rFonts w:cs="Arial"/>
                <w:sz w:val="18"/>
                <w:szCs w:val="18"/>
              </w:rPr>
              <w:t>’s</w:t>
            </w:r>
            <w:r w:rsidRPr="009F617C">
              <w:rPr>
                <w:rFonts w:cs="Arial"/>
                <w:sz w:val="18"/>
                <w:szCs w:val="18"/>
              </w:rPr>
              <w:t xml:space="preserve"> analysis</w:t>
            </w:r>
            <w:r w:rsidR="000418C3">
              <w:rPr>
                <w:rFonts w:cs="Arial"/>
                <w:sz w:val="18"/>
                <w:szCs w:val="18"/>
              </w:rPr>
              <w:t>.</w:t>
            </w:r>
          </w:p>
          <w:p w14:paraId="0B8C2F59" w14:textId="42268994" w:rsidR="009F617C" w:rsidRDefault="009F617C" w:rsidP="009F617C">
            <w:pPr>
              <w:pStyle w:val="Caption"/>
            </w:pPr>
            <w:bookmarkStart w:id="248" w:name="_Toc181370356"/>
            <w:r>
              <w:t xml:space="preserve">Figure </w:t>
            </w:r>
            <w:r>
              <w:fldChar w:fldCharType="begin"/>
            </w:r>
            <w:r>
              <w:instrText>SEQ Figure \* ARABIC</w:instrText>
            </w:r>
            <w:r>
              <w:fldChar w:fldCharType="separate"/>
            </w:r>
            <w:r w:rsidR="00C47A81">
              <w:rPr>
                <w:noProof/>
              </w:rPr>
              <w:t>54</w:t>
            </w:r>
            <w:r>
              <w:fldChar w:fldCharType="end"/>
            </w:r>
            <w:r>
              <w:t xml:space="preserve">: </w:t>
            </w:r>
            <w:r w:rsidR="000418C3">
              <w:t>W</w:t>
            </w:r>
            <w:r>
              <w:t xml:space="preserve">eekly income </w:t>
            </w:r>
            <w:r w:rsidR="00620B76">
              <w:t>–</w:t>
            </w:r>
            <w:r>
              <w:t xml:space="preserve"> AI Engineer</w:t>
            </w:r>
            <w:bookmarkEnd w:id="248"/>
          </w:p>
          <w:p w14:paraId="017C029B" w14:textId="56A8249F" w:rsidR="00AC2606" w:rsidRPr="00AC0957" w:rsidRDefault="00F13418">
            <w:pPr>
              <w:jc w:val="center"/>
              <w:rPr>
                <w:rFonts w:cs="Arial"/>
              </w:rPr>
            </w:pPr>
            <w:r>
              <w:rPr>
                <w:rFonts w:cs="Arial"/>
                <w:noProof/>
              </w:rPr>
              <w:drawing>
                <wp:inline distT="0" distB="0" distL="0" distR="0" wp14:anchorId="74B42442" wp14:editId="7996FA35">
                  <wp:extent cx="4381169" cy="2791998"/>
                  <wp:effectExtent l="0" t="0" r="635" b="8890"/>
                  <wp:docPr id="655895718" name="Picture 69" descr="This column chart shows the weekly income for AI engineers. 41% of the workforce received less than $2,000, 59% received $2000 or above on a weekly bas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895718" name="Picture 69" descr="This column chart shows the weekly income for AI engineers. 41% of the workforce received less than $2,000, 59% received $2000 or above on a weekly basis. "/>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398845" cy="2803262"/>
                          </a:xfrm>
                          <a:prstGeom prst="rect">
                            <a:avLst/>
                          </a:prstGeom>
                          <a:noFill/>
                        </pic:spPr>
                      </pic:pic>
                    </a:graphicData>
                  </a:graphic>
                </wp:inline>
              </w:drawing>
            </w:r>
          </w:p>
          <w:p w14:paraId="0D7CA2B1" w14:textId="358B9EC0" w:rsidR="00AC2606" w:rsidRDefault="00AC2606">
            <w:pPr>
              <w:rPr>
                <w:rFonts w:cs="Arial"/>
                <w:sz w:val="18"/>
                <w:szCs w:val="18"/>
              </w:rPr>
            </w:pPr>
            <w:r w:rsidRPr="009F617C">
              <w:rPr>
                <w:rFonts w:cs="Arial"/>
                <w:sz w:val="18"/>
                <w:szCs w:val="18"/>
              </w:rPr>
              <w:t>Source: Lightcast data 2018 – 2022 and Census of Population and Housing 2021, Jobs and Skills Australia</w:t>
            </w:r>
            <w:r w:rsidR="002D1C7E">
              <w:rPr>
                <w:rFonts w:cs="Arial"/>
                <w:sz w:val="18"/>
                <w:szCs w:val="18"/>
              </w:rPr>
              <w:t>’s</w:t>
            </w:r>
            <w:r w:rsidRPr="009F617C">
              <w:rPr>
                <w:rFonts w:cs="Arial"/>
                <w:sz w:val="18"/>
                <w:szCs w:val="18"/>
              </w:rPr>
              <w:t xml:space="preserve"> analysis</w:t>
            </w:r>
            <w:r w:rsidR="00B528D0">
              <w:rPr>
                <w:rFonts w:cs="Arial"/>
                <w:sz w:val="18"/>
                <w:szCs w:val="18"/>
              </w:rPr>
              <w:t>.</w:t>
            </w:r>
          </w:p>
          <w:p w14:paraId="28F014E5" w14:textId="7322A565" w:rsidR="00620B76" w:rsidRDefault="00620B76" w:rsidP="00620B76">
            <w:pPr>
              <w:pStyle w:val="Caption"/>
            </w:pPr>
            <w:bookmarkStart w:id="249" w:name="_Toc181370357"/>
            <w:r>
              <w:t xml:space="preserve">Figure </w:t>
            </w:r>
            <w:r>
              <w:fldChar w:fldCharType="begin"/>
            </w:r>
            <w:r>
              <w:instrText>SEQ Figure \* ARABIC</w:instrText>
            </w:r>
            <w:r>
              <w:fldChar w:fldCharType="separate"/>
            </w:r>
            <w:r w:rsidR="00C47A81">
              <w:rPr>
                <w:noProof/>
              </w:rPr>
              <w:t>55</w:t>
            </w:r>
            <w:r>
              <w:fldChar w:fldCharType="end"/>
            </w:r>
            <w:r>
              <w:t xml:space="preserve">: </w:t>
            </w:r>
            <w:r w:rsidR="000418C3">
              <w:t>H</w:t>
            </w:r>
            <w:r>
              <w:t>ighest qualification attainment – AI Engineer</w:t>
            </w:r>
            <w:bookmarkEnd w:id="249"/>
          </w:p>
          <w:p w14:paraId="0BA212B8" w14:textId="7FE05D6F" w:rsidR="00747B41" w:rsidRPr="00747B41" w:rsidRDefault="00AE53D2" w:rsidP="00770693">
            <w:pPr>
              <w:jc w:val="center"/>
            </w:pPr>
            <w:r>
              <w:rPr>
                <w:noProof/>
              </w:rPr>
              <w:drawing>
                <wp:inline distT="0" distB="0" distL="0" distR="0" wp14:anchorId="20685638" wp14:editId="2CA8D65D">
                  <wp:extent cx="4461317" cy="2676418"/>
                  <wp:effectExtent l="0" t="0" r="0" b="0"/>
                  <wp:docPr id="584953235" name="Picture 70" descr="This column chart shows the highest qualification attainment for AI engineers. 90% of the workforce held a Bachelor level degree or above, and 10% held a Certificate I-IV or Dipl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953235" name="Picture 70" descr="This column chart shows the highest qualification attainment for AI engineers. 90% of the workforce held a Bachelor level degree or above, and 10% held a Certificate I-IV or Diplom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463503" cy="2677729"/>
                          </a:xfrm>
                          <a:prstGeom prst="rect">
                            <a:avLst/>
                          </a:prstGeom>
                          <a:noFill/>
                        </pic:spPr>
                      </pic:pic>
                    </a:graphicData>
                  </a:graphic>
                </wp:inline>
              </w:drawing>
            </w:r>
          </w:p>
          <w:p w14:paraId="34BE699D" w14:textId="4C23A10D" w:rsidR="00620B76" w:rsidRDefault="00620B76" w:rsidP="00620B76">
            <w:pPr>
              <w:rPr>
                <w:rFonts w:cs="Arial"/>
                <w:sz w:val="18"/>
                <w:szCs w:val="18"/>
              </w:rPr>
            </w:pPr>
            <w:r w:rsidRPr="009F617C">
              <w:rPr>
                <w:rFonts w:cs="Arial"/>
                <w:sz w:val="18"/>
                <w:szCs w:val="18"/>
              </w:rPr>
              <w:t>Source: Lightcast data 2018 – 2022 and Census of Population and Housing 2021, Jobs and Skills Australia</w:t>
            </w:r>
            <w:r>
              <w:rPr>
                <w:rFonts w:cs="Arial"/>
                <w:sz w:val="18"/>
                <w:szCs w:val="18"/>
              </w:rPr>
              <w:t>’s</w:t>
            </w:r>
            <w:r w:rsidRPr="009F617C">
              <w:rPr>
                <w:rFonts w:cs="Arial"/>
                <w:sz w:val="18"/>
                <w:szCs w:val="18"/>
              </w:rPr>
              <w:t xml:space="preserve"> analysis</w:t>
            </w:r>
            <w:r w:rsidR="000418C3">
              <w:rPr>
                <w:rFonts w:cs="Arial"/>
                <w:sz w:val="18"/>
                <w:szCs w:val="18"/>
              </w:rPr>
              <w:t>.</w:t>
            </w:r>
          </w:p>
          <w:p w14:paraId="54D078E3" w14:textId="55942DFA" w:rsidR="00AC2606" w:rsidRPr="00AC0957" w:rsidRDefault="00AC2606" w:rsidP="009F617C">
            <w:pPr>
              <w:pStyle w:val="Heading6"/>
            </w:pPr>
            <w:r w:rsidRPr="00AC0957">
              <w:t>Demand from online job ad</w:t>
            </w:r>
            <w:r w:rsidR="009F617C">
              <w:t>vertisement</w:t>
            </w:r>
            <w:r w:rsidRPr="00AC0957">
              <w:t>s</w:t>
            </w:r>
          </w:p>
          <w:p w14:paraId="15E3CDAD" w14:textId="4CFA9054" w:rsidR="00D05B45" w:rsidRDefault="00D05B45" w:rsidP="00D05B45">
            <w:pPr>
              <w:pStyle w:val="Caption"/>
            </w:pPr>
            <w:bookmarkStart w:id="250" w:name="_Toc181370358"/>
            <w:r>
              <w:t xml:space="preserve">Figure </w:t>
            </w:r>
            <w:r>
              <w:fldChar w:fldCharType="begin"/>
            </w:r>
            <w:r>
              <w:instrText>SEQ Figure \* ARABIC</w:instrText>
            </w:r>
            <w:r>
              <w:fldChar w:fldCharType="separate"/>
            </w:r>
            <w:r w:rsidR="00C47A81">
              <w:rPr>
                <w:noProof/>
              </w:rPr>
              <w:t>56</w:t>
            </w:r>
            <w:r>
              <w:fldChar w:fldCharType="end"/>
            </w:r>
            <w:r>
              <w:t xml:space="preserve">: Number of online job ads </w:t>
            </w:r>
            <w:r w:rsidR="00620B76">
              <w:t xml:space="preserve">– </w:t>
            </w:r>
            <w:r>
              <w:t>AI Engineer</w:t>
            </w:r>
            <w:bookmarkEnd w:id="250"/>
          </w:p>
          <w:p w14:paraId="796A73B8" w14:textId="69EC22FB" w:rsidR="00AC2606" w:rsidRPr="00AC0957" w:rsidRDefault="00235ADF" w:rsidP="00277DD5">
            <w:pPr>
              <w:jc w:val="center"/>
              <w:rPr>
                <w:rFonts w:cs="Arial"/>
              </w:rPr>
            </w:pPr>
            <w:r>
              <w:rPr>
                <w:rFonts w:cs="Arial"/>
                <w:noProof/>
              </w:rPr>
              <w:drawing>
                <wp:inline distT="0" distB="0" distL="0" distR="0" wp14:anchorId="455D8E7D" wp14:editId="4987F700">
                  <wp:extent cx="4364440" cy="2705578"/>
                  <wp:effectExtent l="0" t="0" r="0" b="0"/>
                  <wp:docPr id="794451720" name="Picture 71" descr="This chart shows the number of online job ads for AI Engineer between 2018-2022.  There were 28 AI Engineer job ads in 2018, followed by 32 in 2019, 61 in 2020, 98 in 2021, and the number of job ads increased to 105 by 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451720" name="Picture 71" descr="This chart shows the number of online job ads for AI Engineer between 2018-2022.  There were 28 AI Engineer job ads in 2018, followed by 32 in 2019, 61 in 2020, 98 in 2021, and the number of job ads increased to 105 by 2022. "/>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376408" cy="2712997"/>
                          </a:xfrm>
                          <a:prstGeom prst="rect">
                            <a:avLst/>
                          </a:prstGeom>
                          <a:noFill/>
                        </pic:spPr>
                      </pic:pic>
                    </a:graphicData>
                  </a:graphic>
                </wp:inline>
              </w:drawing>
            </w:r>
          </w:p>
          <w:p w14:paraId="7F8F1F7F" w14:textId="359062F7" w:rsidR="00AC2606" w:rsidRPr="00E307AB" w:rsidRDefault="00AC2606" w:rsidP="00E307AB">
            <w:pPr>
              <w:pStyle w:val="Source"/>
            </w:pPr>
            <w:r w:rsidRPr="009F617C">
              <w:t>Source: Lightcast data 2018 – 2022 and Census of Population and Housing 2021, Jobs and Skills Australia</w:t>
            </w:r>
            <w:r w:rsidR="008B58ED">
              <w:t>’s</w:t>
            </w:r>
            <w:r w:rsidRPr="009F617C">
              <w:t xml:space="preserve"> analysis</w:t>
            </w:r>
            <w:r w:rsidR="000418C3">
              <w:t>.</w:t>
            </w:r>
          </w:p>
        </w:tc>
      </w:tr>
    </w:tbl>
    <w:p w14:paraId="2AE5DA61" w14:textId="77777777" w:rsidR="00E307AB" w:rsidRDefault="00E307AB" w:rsidP="00E307AB">
      <w:bookmarkStart w:id="251" w:name="_Toc179887406"/>
    </w:p>
    <w:tbl>
      <w:tblPr>
        <w:tblStyle w:val="TableGrid"/>
        <w:tblW w:w="0" w:type="auto"/>
        <w:tblLook w:val="04A0" w:firstRow="1" w:lastRow="0" w:firstColumn="1" w:lastColumn="0" w:noHBand="0" w:noVBand="1"/>
      </w:tblPr>
      <w:tblGrid>
        <w:gridCol w:w="9016"/>
      </w:tblGrid>
      <w:tr w:rsidR="00E307AB" w:rsidRPr="00AC0957" w14:paraId="57503956" w14:textId="77777777" w:rsidTr="0086718C">
        <w:tc>
          <w:tcPr>
            <w:tcW w:w="9016" w:type="dxa"/>
            <w:tcBorders>
              <w:top w:val="nil"/>
              <w:left w:val="nil"/>
              <w:bottom w:val="nil"/>
              <w:right w:val="nil"/>
            </w:tcBorders>
            <w:shd w:val="clear" w:color="auto" w:fill="E0D1F5" w:themeFill="accent1" w:themeFillTint="33"/>
          </w:tcPr>
          <w:p w14:paraId="3CC784D3" w14:textId="683D62E5" w:rsidR="00E307AB" w:rsidRDefault="00E307AB" w:rsidP="0086718C">
            <w:pPr>
              <w:pStyle w:val="Caption"/>
              <w:keepLines/>
            </w:pPr>
            <w:bookmarkStart w:id="252" w:name="_Toc181370359"/>
            <w:r>
              <w:t xml:space="preserve">Figure </w:t>
            </w:r>
            <w:r>
              <w:fldChar w:fldCharType="begin"/>
            </w:r>
            <w:r>
              <w:instrText>SEQ Figure \* ARABIC</w:instrText>
            </w:r>
            <w:r>
              <w:fldChar w:fldCharType="separate"/>
            </w:r>
            <w:r w:rsidR="00C47A81">
              <w:rPr>
                <w:noProof/>
              </w:rPr>
              <w:t>57</w:t>
            </w:r>
            <w:r>
              <w:fldChar w:fldCharType="end"/>
            </w:r>
            <w:r>
              <w:t>: Top ten skills required for AI Engineer</w:t>
            </w:r>
            <w:bookmarkEnd w:id="252"/>
          </w:p>
          <w:p w14:paraId="4D3F5C9B" w14:textId="77777777" w:rsidR="00E307AB" w:rsidRPr="00D80347" w:rsidRDefault="00E307AB" w:rsidP="0086718C">
            <w:pPr>
              <w:jc w:val="center"/>
            </w:pPr>
            <w:r>
              <w:rPr>
                <w:noProof/>
              </w:rPr>
              <w:drawing>
                <wp:inline distT="0" distB="0" distL="0" distR="0" wp14:anchorId="09FB72DA" wp14:editId="0E71CCF2">
                  <wp:extent cx="4616888" cy="2769748"/>
                  <wp:effectExtent l="0" t="0" r="0" b="0"/>
                  <wp:docPr id="1784369813" name="Picture 72" descr="This bar chart shows the top 10 skills for AI Engineer between 2018-2022.  The most commonly listed skill was AI (61%), followed by Machine Learning (52%) and Python (40%). Towards the bottom of the chart is Natural Language Processing (21%), followed by Software Engineering (22%), followed by Teamwork / Collaboratio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111495" name="Picture 72" descr="This bar chart shows the top 10 skills for AI Engineer between 2018-2022.  The most commonly listed skill was AI (61%), followed by Machine Learning (52%) and Python (40%). Towards the bottom of the chart is Natural Language Processing (21%), followed by Software Engineering (22%), followed by Teamwork / Collaboration (2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623949" cy="2773984"/>
                          </a:xfrm>
                          <a:prstGeom prst="rect">
                            <a:avLst/>
                          </a:prstGeom>
                          <a:noFill/>
                        </pic:spPr>
                      </pic:pic>
                    </a:graphicData>
                  </a:graphic>
                </wp:inline>
              </w:drawing>
            </w:r>
          </w:p>
          <w:p w14:paraId="12D08ADE" w14:textId="77777777" w:rsidR="00E307AB" w:rsidRDefault="00E307AB" w:rsidP="0086718C">
            <w:pPr>
              <w:rPr>
                <w:rFonts w:cs="Arial"/>
                <w:sz w:val="18"/>
                <w:szCs w:val="18"/>
              </w:rPr>
            </w:pPr>
            <w:r w:rsidRPr="009F617C">
              <w:rPr>
                <w:rFonts w:cs="Arial"/>
                <w:sz w:val="18"/>
                <w:szCs w:val="18"/>
              </w:rPr>
              <w:t>Source: Lightcast data 2018 – 2022 and Census of Population and Housing 2021, Jobs and Skills Australia</w:t>
            </w:r>
            <w:r>
              <w:rPr>
                <w:rFonts w:cs="Arial"/>
                <w:sz w:val="18"/>
                <w:szCs w:val="18"/>
              </w:rPr>
              <w:t>’s</w:t>
            </w:r>
            <w:r w:rsidRPr="009F617C">
              <w:rPr>
                <w:rFonts w:cs="Arial"/>
                <w:sz w:val="18"/>
                <w:szCs w:val="18"/>
              </w:rPr>
              <w:t xml:space="preserve"> analysis</w:t>
            </w:r>
            <w:r>
              <w:rPr>
                <w:rFonts w:cs="Arial"/>
                <w:sz w:val="18"/>
                <w:szCs w:val="18"/>
              </w:rPr>
              <w:t>.</w:t>
            </w:r>
          </w:p>
          <w:p w14:paraId="656C10FB" w14:textId="77777777" w:rsidR="00E307AB" w:rsidRPr="00AC0957" w:rsidRDefault="00E307AB" w:rsidP="0086718C">
            <w:pPr>
              <w:rPr>
                <w:rFonts w:cs="Arial"/>
              </w:rPr>
            </w:pPr>
            <w:r w:rsidRPr="00AC0957">
              <w:rPr>
                <w:rFonts w:cs="Arial"/>
              </w:rPr>
              <w:t xml:space="preserve">Sample job ad text: </w:t>
            </w:r>
          </w:p>
          <w:p w14:paraId="7DD45F12" w14:textId="77777777" w:rsidR="00E307AB" w:rsidRPr="00AC0957" w:rsidRDefault="00E307AB" w:rsidP="0086718C">
            <w:pPr>
              <w:rPr>
                <w:rFonts w:cs="Arial"/>
              </w:rPr>
            </w:pPr>
            <w:r w:rsidRPr="00FD394C">
              <w:rPr>
                <w:rFonts w:cs="Arial"/>
              </w:rPr>
              <w:t>We are seeking an Artificial Intelligence Engineer to join our qualified team. We are looking for expertise in building Retrieval-Augmented Generation (RAG) factories using any large language models, and integrating the RAG components (retrieval models, generation models, ranking models) into a functional pipeline for efficient information retrieval and generation. You will build Gen AI-based applications on cloud platforms</w:t>
            </w:r>
            <w:r w:rsidRPr="00AC0957">
              <w:rPr>
                <w:rFonts w:cs="Arial"/>
              </w:rPr>
              <w:t xml:space="preserve">. </w:t>
            </w:r>
          </w:p>
        </w:tc>
      </w:tr>
    </w:tbl>
    <w:p w14:paraId="546F264D" w14:textId="77777777" w:rsidR="00E307AB" w:rsidRDefault="00E307AB" w:rsidP="00E307AB"/>
    <w:p w14:paraId="3ED2978C" w14:textId="0EC15BA7" w:rsidR="00AC2606" w:rsidRPr="00AC0957" w:rsidRDefault="00AC2606" w:rsidP="00AC2606">
      <w:pPr>
        <w:pStyle w:val="Heading2"/>
        <w:rPr>
          <w:rFonts w:cs="Arial"/>
        </w:rPr>
      </w:pPr>
      <w:bookmarkStart w:id="253" w:name="_Toc181371603"/>
      <w:r w:rsidRPr="00AC0957">
        <w:rPr>
          <w:rFonts w:cs="Arial"/>
        </w:rPr>
        <w:t>Capacity studies – understanding the forces of change</w:t>
      </w:r>
      <w:bookmarkEnd w:id="251"/>
      <w:bookmarkEnd w:id="253"/>
      <w:r w:rsidRPr="00AC0957">
        <w:rPr>
          <w:rFonts w:cs="Arial"/>
        </w:rPr>
        <w:t> </w:t>
      </w:r>
    </w:p>
    <w:p w14:paraId="02717512" w14:textId="77777777" w:rsidR="006772CE" w:rsidRPr="006772CE" w:rsidRDefault="006772CE" w:rsidP="006772CE">
      <w:pPr>
        <w:rPr>
          <w:rFonts w:cs="Arial"/>
        </w:rPr>
      </w:pPr>
      <w:r w:rsidRPr="006772CE">
        <w:rPr>
          <w:rFonts w:cs="Arial"/>
        </w:rPr>
        <w:t xml:space="preserve">JSA undertakes targeted capacity studies to help inform decision-making about how to prepare for a likely future labour market. These studies help us to better understand how industries and workforces are changing and emerging – and ensure we have an adaptable workforce with the right skills to benefit from the opportunities of the future. </w:t>
      </w:r>
    </w:p>
    <w:p w14:paraId="55A4E464" w14:textId="25C417A5" w:rsidR="006772CE" w:rsidRPr="006772CE" w:rsidRDefault="006772CE" w:rsidP="006772CE">
      <w:pPr>
        <w:rPr>
          <w:rFonts w:cs="Arial"/>
        </w:rPr>
      </w:pPr>
      <w:r w:rsidRPr="006772CE">
        <w:rPr>
          <w:rFonts w:cs="Arial"/>
        </w:rPr>
        <w:t xml:space="preserve">The 2023 Jobs and Skills report included findings from </w:t>
      </w:r>
      <w:r w:rsidRPr="006772CE">
        <w:rPr>
          <w:rFonts w:cs="Arial"/>
          <w:i/>
          <w:iCs/>
        </w:rPr>
        <w:t>The Clean Energy Generation: Workforce needs for a net zero economy</w:t>
      </w:r>
      <w:r w:rsidRPr="006772CE">
        <w:rPr>
          <w:rFonts w:cs="Arial"/>
        </w:rPr>
        <w:t xml:space="preserve">. Findings from the report have already supported a range of government and industry measures. Analysis and advice on the skills and workforce needs of the sector informed the </w:t>
      </w:r>
      <w:r w:rsidR="009E3F8C">
        <w:rPr>
          <w:rFonts w:cs="Arial"/>
        </w:rPr>
        <w:t>Australian</w:t>
      </w:r>
      <w:r w:rsidRPr="006772CE">
        <w:rPr>
          <w:rFonts w:cs="Arial"/>
        </w:rPr>
        <w:t xml:space="preserve"> Government through outcomes of the 2024-25 Budget, such as the expanded New Energy Apprenticeships program and various measures under the Skilling the Clean Energy Workforce package, including climate careers advocacy and promotion activities, a pilot program for Group Training Organisation (GTO) reimbursements, a new capital and equipment investment fund for facility upgrades, and investment to turbocharge the VET teacher, trainer and assessor workforce for clean energy. The study also informed government strategies such as the Migration Strategy, the Universities Accord, the Employment White Paper and upcoming National Energy Workforce Strategy. It supported new TAFE Centres of Excellence for Electric Vehicles (ACT) and Clean Energy (WA), and Batteries (QLD), will inform the government’s net zero sectoral plans and has been a valuable resource for Jobs and Skills Council workforce plans.</w:t>
      </w:r>
    </w:p>
    <w:p w14:paraId="758030C1" w14:textId="433839A4" w:rsidR="00AC2606" w:rsidRPr="00AC0957" w:rsidRDefault="006772CE" w:rsidP="006772CE">
      <w:pPr>
        <w:rPr>
          <w:rFonts w:cs="Arial"/>
        </w:rPr>
      </w:pPr>
      <w:r w:rsidRPr="006772CE">
        <w:rPr>
          <w:rFonts w:cs="Arial"/>
        </w:rPr>
        <w:t xml:space="preserve">Since the study’s release, JSA has </w:t>
      </w:r>
      <w:r w:rsidR="00B528D0">
        <w:rPr>
          <w:rFonts w:cs="Arial"/>
        </w:rPr>
        <w:t>finalised</w:t>
      </w:r>
      <w:r w:rsidRPr="006772CE">
        <w:rPr>
          <w:rFonts w:cs="Arial"/>
        </w:rPr>
        <w:t xml:space="preserve"> reports from two further capacity studies – </w:t>
      </w:r>
      <w:r w:rsidRPr="0038313F">
        <w:rPr>
          <w:rFonts w:cs="Arial"/>
          <w:i/>
          <w:iCs/>
        </w:rPr>
        <w:t>An Essential Ingredient: The Food Supply Chain Workforce</w:t>
      </w:r>
      <w:r w:rsidRPr="006772CE">
        <w:rPr>
          <w:rFonts w:cs="Arial"/>
        </w:rPr>
        <w:t xml:space="preserve"> and </w:t>
      </w:r>
      <w:r w:rsidRPr="0038313F">
        <w:rPr>
          <w:rFonts w:cs="Arial"/>
          <w:i/>
          <w:iCs/>
        </w:rPr>
        <w:t>The Future of the Early Childhood Education Profession: Early Childhood Education and Care Workforce Capacity Study</w:t>
      </w:r>
      <w:r w:rsidRPr="006772CE">
        <w:rPr>
          <w:rFonts w:cs="Arial"/>
        </w:rPr>
        <w:t>. JSA’s capacity studies provide critical evidence, insights, and recommendations as appropriate to support current and future workforce planning, policy development and program design to build and strengthen the sectors</w:t>
      </w:r>
      <w:r w:rsidR="00AC2606" w:rsidRPr="00AC0957">
        <w:rPr>
          <w:rFonts w:cs="Arial"/>
        </w:rPr>
        <w:t xml:space="preserve">. </w:t>
      </w:r>
    </w:p>
    <w:p w14:paraId="51DB496F" w14:textId="5DE9C711" w:rsidR="00AC2606" w:rsidRPr="00AC0957" w:rsidRDefault="00AC2606" w:rsidP="00AC2606">
      <w:pPr>
        <w:pStyle w:val="Heading3"/>
        <w:rPr>
          <w:rFonts w:cs="Arial"/>
        </w:rPr>
      </w:pPr>
      <w:bookmarkStart w:id="254" w:name="_Toc179887407"/>
      <w:bookmarkStart w:id="255" w:name="_Toc181371604"/>
      <w:r w:rsidRPr="00AC0957">
        <w:rPr>
          <w:rFonts w:cs="Arial"/>
        </w:rPr>
        <w:t>A resilient food supply chain</w:t>
      </w:r>
      <w:bookmarkEnd w:id="254"/>
      <w:bookmarkEnd w:id="255"/>
    </w:p>
    <w:p w14:paraId="1D502E58" w14:textId="77777777" w:rsidR="003F4F5B" w:rsidRDefault="00301E16" w:rsidP="003F4F5B">
      <w:pPr>
        <w:rPr>
          <w:rFonts w:cs="Arial"/>
        </w:rPr>
      </w:pPr>
      <w:r w:rsidRPr="00301E16">
        <w:rPr>
          <w:rFonts w:cs="Arial"/>
        </w:rPr>
        <w:t>A resilient workforce is essential to Australia’s food security and strong export industries. The future of Australia’s food supply chain will be shaped by multiple interacting shifts, including climate change and net zero, technological advances, and demographic changes. Concerns around sovereign capability, industry viability and cost of living also have an impact</w:t>
      </w:r>
      <w:r w:rsidR="003F4F5B" w:rsidRPr="008E049B">
        <w:rPr>
          <w:rFonts w:cs="Arial"/>
        </w:rPr>
        <w:t>.</w:t>
      </w:r>
    </w:p>
    <w:p w14:paraId="3306549B" w14:textId="77777777" w:rsidR="0074769A" w:rsidRDefault="0074769A" w:rsidP="0074769A">
      <w:r>
        <w:t>Our study supports a food supply chain workforce that can:</w:t>
      </w:r>
    </w:p>
    <w:p w14:paraId="14E88B0A" w14:textId="77777777" w:rsidR="0074769A" w:rsidRDefault="0074769A" w:rsidP="0074769A">
      <w:pPr>
        <w:pStyle w:val="ListBullet"/>
      </w:pPr>
      <w:r w:rsidRPr="0074769A">
        <w:rPr>
          <w:b/>
          <w:bCs/>
        </w:rPr>
        <w:t>sustain regional Australia</w:t>
      </w:r>
      <w:r>
        <w:t>. Employment in the food supply chain is heavily concentrated in regional and rural Australia, with Food Production and Manufacturing acting as anchor industries for many communities.</w:t>
      </w:r>
    </w:p>
    <w:p w14:paraId="382AB21C" w14:textId="43BA07FE" w:rsidR="0074769A" w:rsidRDefault="0074769A" w:rsidP="0074769A">
      <w:pPr>
        <w:pStyle w:val="ListBullet"/>
      </w:pPr>
      <w:r w:rsidRPr="0074769A">
        <w:rPr>
          <w:b/>
          <w:bCs/>
        </w:rPr>
        <w:t>strengthen the economy</w:t>
      </w:r>
      <w:r>
        <w:t>. Industries throughout the food supply chain make a significant contribution to the Australian economy. Without an adequate and sustainable workforce, the viability of these sectors</w:t>
      </w:r>
      <w:r w:rsidR="003F5E5E">
        <w:t xml:space="preserve"> – </w:t>
      </w:r>
      <w:r>
        <w:t>and the regional economies they sustain</w:t>
      </w:r>
      <w:r w:rsidR="003F5E5E">
        <w:t xml:space="preserve"> – </w:t>
      </w:r>
      <w:r>
        <w:t>will be at risk.</w:t>
      </w:r>
    </w:p>
    <w:p w14:paraId="58FFADD8" w14:textId="77777777" w:rsidR="0074769A" w:rsidRDefault="0074769A" w:rsidP="0074769A">
      <w:pPr>
        <w:pStyle w:val="ListBullet"/>
      </w:pPr>
      <w:r w:rsidRPr="0074769A">
        <w:rPr>
          <w:b/>
          <w:bCs/>
        </w:rPr>
        <w:t>maintain food security</w:t>
      </w:r>
      <w:r>
        <w:t>. Access to labour and skills has been widely recognised as a risk to Australia’s food security. While awareness of this risk was heightened by the COVID-19 outbreak and the particular challenges it posed, workforce pressures in Australia’s food supply chain pre-date and extend beyond the pandemic.</w:t>
      </w:r>
    </w:p>
    <w:p w14:paraId="63BD10DB" w14:textId="77777777" w:rsidR="0074769A" w:rsidRDefault="0074769A" w:rsidP="0074769A">
      <w:pPr>
        <w:pStyle w:val="ListBullet"/>
      </w:pPr>
      <w:r w:rsidRPr="0074769A">
        <w:rPr>
          <w:b/>
          <w:bCs/>
        </w:rPr>
        <w:t>overcome challenges</w:t>
      </w:r>
      <w:r>
        <w:t>. Australia’s food supply chain will need to navigate multiple interacting challenges over the coming years, including managing high levels of market and climate variability while unlocking opportunities from disruptive technologies.</w:t>
      </w:r>
    </w:p>
    <w:p w14:paraId="437446DA" w14:textId="6902CA3B" w:rsidR="003F4F5B" w:rsidRDefault="0074769A" w:rsidP="0074769A">
      <w:r>
        <w:t xml:space="preserve">While there are many activities vital to the food supply chain, the primary purpose of this capacity study was to explore the production, manufacturing and distribution of food </w:t>
      </w:r>
      <w:r w:rsidR="00B528D0">
        <w:br/>
      </w:r>
      <w:r w:rsidR="003F4F5B">
        <w:t>(</w:t>
      </w:r>
      <w:r w:rsidR="00CC095C">
        <w:fldChar w:fldCharType="begin"/>
      </w:r>
      <w:r w:rsidR="00CC095C">
        <w:instrText xml:space="preserve"> REF _Ref180167906 \h </w:instrText>
      </w:r>
      <w:r w:rsidR="00CC095C">
        <w:fldChar w:fldCharType="separate"/>
      </w:r>
      <w:r w:rsidR="00C47A81">
        <w:t xml:space="preserve">Figure </w:t>
      </w:r>
      <w:r w:rsidR="00C47A81">
        <w:rPr>
          <w:noProof/>
        </w:rPr>
        <w:t>58</w:t>
      </w:r>
      <w:r w:rsidR="00CC095C">
        <w:fldChar w:fldCharType="end"/>
      </w:r>
      <w:r w:rsidR="00CC095C">
        <w:t>).</w:t>
      </w:r>
      <w:r w:rsidR="003F4F5B">
        <w:t xml:space="preserve"> </w:t>
      </w:r>
    </w:p>
    <w:p w14:paraId="44413DFC" w14:textId="5B2AA12D" w:rsidR="00CC095C" w:rsidRDefault="00CC095C" w:rsidP="00CC095C">
      <w:pPr>
        <w:pStyle w:val="Caption"/>
      </w:pPr>
      <w:bookmarkStart w:id="256" w:name="_Ref180167906"/>
      <w:bookmarkStart w:id="257" w:name="_Toc181370360"/>
      <w:r>
        <w:t xml:space="preserve">Figure </w:t>
      </w:r>
      <w:r>
        <w:fldChar w:fldCharType="begin"/>
      </w:r>
      <w:r>
        <w:instrText xml:space="preserve"> SEQ Figure \* ARABIC </w:instrText>
      </w:r>
      <w:r>
        <w:fldChar w:fldCharType="separate"/>
      </w:r>
      <w:r w:rsidR="00C47A81">
        <w:rPr>
          <w:noProof/>
        </w:rPr>
        <w:t>58</w:t>
      </w:r>
      <w:r>
        <w:fldChar w:fldCharType="end"/>
      </w:r>
      <w:bookmarkEnd w:id="256"/>
      <w:r>
        <w:t xml:space="preserve">: </w:t>
      </w:r>
      <w:r w:rsidR="009A0718">
        <w:t>Our</w:t>
      </w:r>
      <w:r>
        <w:t xml:space="preserve"> food supply chain workforce</w:t>
      </w:r>
      <w:bookmarkEnd w:id="257"/>
    </w:p>
    <w:p w14:paraId="45B2E1E8" w14:textId="0F833DE9" w:rsidR="003F4F5B" w:rsidRPr="008E049B" w:rsidRDefault="009A0718" w:rsidP="003F4F5B">
      <w:pPr>
        <w:spacing w:after="0"/>
        <w:jc w:val="center"/>
        <w:rPr>
          <w:rFonts w:cs="Arial"/>
        </w:rPr>
      </w:pPr>
      <w:r>
        <w:rPr>
          <w:rFonts w:cs="Arial"/>
          <w:noProof/>
        </w:rPr>
        <w:drawing>
          <wp:inline distT="0" distB="0" distL="0" distR="0" wp14:anchorId="0D2D0D44" wp14:editId="12FF2FD9">
            <wp:extent cx="5606411" cy="5425200"/>
            <wp:effectExtent l="0" t="0" r="0" b="4445"/>
            <wp:docPr id="1866121631" name="Picture 77" descr="This is a conceptual diagram of the food supply chain workforce . It includes Food Production, Food Manufacturing, Transport and Distribution as the primary focus. It also acknowledges key inputs like imports and machinery, and key outputs like retailers and hospit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121631" name="Picture 77" descr="This is a conceptual diagram of the food supply chain workforce . It includes Food Production, Food Manufacturing, Transport and Distribution as the primary focus. It also acknowledges key inputs like imports and machinery, and key outputs like retailers and hospitality."/>
                    <pic:cNvPicPr>
                      <a:picLocks noChangeAspect="1" noChangeArrowheads="1"/>
                    </pic:cNvPicPr>
                  </pic:nvPicPr>
                  <pic:blipFill>
                    <a:blip r:embed="rId105" cstate="print">
                      <a:extLst>
                        <a:ext uri="{28A0092B-C50C-407E-A947-70E740481C1C}">
                          <a14:useLocalDpi xmlns:a14="http://schemas.microsoft.com/office/drawing/2010/main" val="0"/>
                        </a:ext>
                      </a:extLst>
                    </a:blip>
                    <a:stretch>
                      <a:fillRect/>
                    </a:stretch>
                  </pic:blipFill>
                  <pic:spPr bwMode="auto">
                    <a:xfrm>
                      <a:off x="0" y="0"/>
                      <a:ext cx="5606411" cy="5425200"/>
                    </a:xfrm>
                    <a:prstGeom prst="rect">
                      <a:avLst/>
                    </a:prstGeom>
                    <a:noFill/>
                  </pic:spPr>
                </pic:pic>
              </a:graphicData>
            </a:graphic>
          </wp:inline>
        </w:drawing>
      </w:r>
    </w:p>
    <w:p w14:paraId="7A914E61" w14:textId="5F5C5C3F" w:rsidR="003F4F5B" w:rsidRDefault="003F4F5B" w:rsidP="00C21231">
      <w:pPr>
        <w:pStyle w:val="Source"/>
      </w:pPr>
      <w:r w:rsidRPr="008E049B">
        <w:t xml:space="preserve">Source: </w:t>
      </w:r>
      <w:r w:rsidR="007746F8" w:rsidRPr="007746F8">
        <w:t>ABS Census of Population and Housing, 2021, employment counts by aggregated industry codes</w:t>
      </w:r>
      <w:r w:rsidR="00C379E9">
        <w:t>.</w:t>
      </w:r>
    </w:p>
    <w:p w14:paraId="46C70444" w14:textId="36B4E8D6" w:rsidR="007746F8" w:rsidRPr="007746F8" w:rsidRDefault="00203C12" w:rsidP="00203C12">
      <w:pPr>
        <w:pStyle w:val="ChartorTableNote"/>
      </w:pPr>
      <w:r w:rsidRPr="00203C12">
        <w:t>Note: This Census data only captures those directly employed in relevant industries as their main job. JSA acknowledges that Census is an imperfect measure of workforce size. We explore these data limitations and challenges in the full report.</w:t>
      </w:r>
    </w:p>
    <w:p w14:paraId="5BD0BC75" w14:textId="6C7F2889" w:rsidR="00242231" w:rsidRDefault="00242231" w:rsidP="00242231">
      <w:pPr>
        <w:pStyle w:val="Heading4"/>
        <w:spacing w:before="360" w:after="120"/>
      </w:pPr>
      <w:r>
        <w:t>Education and training</w:t>
      </w:r>
    </w:p>
    <w:p w14:paraId="3378DBEC" w14:textId="23E882A6" w:rsidR="002D0E57" w:rsidRPr="002D0E57" w:rsidRDefault="002D0E57" w:rsidP="002D0E57">
      <w:pPr>
        <w:spacing w:before="120"/>
        <w:rPr>
          <w:rFonts w:cs="Arial"/>
        </w:rPr>
      </w:pPr>
      <w:r w:rsidRPr="002D0E57">
        <w:rPr>
          <w:rFonts w:cs="Arial"/>
        </w:rPr>
        <w:t>In an increasingly skilled and qualified labour market, the food supply chain may struggle to attract and retain workers in lower skill roles. Offering attractive and rewarding career pathways for young people will be critical to securing the next generation of workers. This includes more opportunities to complete recognised qualifications that reflect industry needs and provide tangible employment outcomes for students. There are also strong opportunities to develop and support work-based learning, including apprenticeships and traineeships. For these to be successful, supports must be fit-for-purpose and industry buy-in is essential.</w:t>
      </w:r>
    </w:p>
    <w:p w14:paraId="3E99A9CD" w14:textId="77777777" w:rsidR="002D0E57" w:rsidRPr="002D0E57" w:rsidRDefault="002D0E57" w:rsidP="00E307AB">
      <w:pPr>
        <w:keepLines/>
        <w:spacing w:before="120"/>
        <w:rPr>
          <w:rFonts w:cs="Arial"/>
        </w:rPr>
      </w:pPr>
      <w:r w:rsidRPr="002D0E57">
        <w:rPr>
          <w:rFonts w:cs="Arial"/>
        </w:rPr>
        <w:t>The food supply chain draws on a wide range of broad-based, specialised and industry specific training. Delivery of smaller courses can be particularly challenging due to geographic and occupational thin markets. Several key courses across the food supply chain are only delivered by a small number of providers nationally. Additionally, the number of providers delivering training in some larger disciplines, including food and meat processing, has declined significantly since 2015.</w:t>
      </w:r>
    </w:p>
    <w:p w14:paraId="2813F8BD" w14:textId="0E4C6D8E" w:rsidR="003F4F5B" w:rsidRDefault="002D0E57" w:rsidP="002D0E57">
      <w:pPr>
        <w:spacing w:before="120"/>
        <w:rPr>
          <w:rFonts w:cs="Arial"/>
        </w:rPr>
      </w:pPr>
      <w:r w:rsidRPr="002D0E57">
        <w:rPr>
          <w:rFonts w:cs="Arial"/>
        </w:rPr>
        <w:t xml:space="preserve">Education and training is delivered by a broad mix of providers, including TAFE institutes, universities, schools, enterprise and private providers. Specialist providers, including agricultural colleges and other private RTOs, play a particularly important role delivering industry-specific training that is not offered elsewhere </w:t>
      </w:r>
      <w:r w:rsidR="003F4F5B">
        <w:rPr>
          <w:rFonts w:cs="Arial"/>
        </w:rPr>
        <w:t>(</w:t>
      </w:r>
      <w:r w:rsidR="00CC095C">
        <w:rPr>
          <w:rFonts w:cs="Arial"/>
        </w:rPr>
        <w:fldChar w:fldCharType="begin"/>
      </w:r>
      <w:r w:rsidR="00CC095C">
        <w:rPr>
          <w:rFonts w:cs="Arial"/>
        </w:rPr>
        <w:instrText xml:space="preserve"> REF _Ref180167971 \h </w:instrText>
      </w:r>
      <w:r w:rsidR="00CC095C">
        <w:rPr>
          <w:rFonts w:cs="Arial"/>
        </w:rPr>
      </w:r>
      <w:r w:rsidR="00CC095C">
        <w:rPr>
          <w:rFonts w:cs="Arial"/>
        </w:rPr>
        <w:fldChar w:fldCharType="separate"/>
      </w:r>
      <w:r w:rsidR="00C47A81">
        <w:t xml:space="preserve">Figure </w:t>
      </w:r>
      <w:r w:rsidR="00C47A81">
        <w:rPr>
          <w:noProof/>
        </w:rPr>
        <w:t>59</w:t>
      </w:r>
      <w:r w:rsidR="00CC095C">
        <w:rPr>
          <w:rFonts w:cs="Arial"/>
        </w:rPr>
        <w:fldChar w:fldCharType="end"/>
      </w:r>
      <w:r w:rsidR="003F4F5B">
        <w:rPr>
          <w:rFonts w:cs="Arial"/>
        </w:rPr>
        <w:t>).</w:t>
      </w:r>
    </w:p>
    <w:p w14:paraId="26B14629" w14:textId="695B90F2" w:rsidR="00CC095C" w:rsidRDefault="00CC095C" w:rsidP="00CC095C">
      <w:pPr>
        <w:pStyle w:val="Caption"/>
      </w:pPr>
      <w:bookmarkStart w:id="258" w:name="_Ref180167971"/>
      <w:bookmarkStart w:id="259" w:name="_Toc181370361"/>
      <w:r>
        <w:t xml:space="preserve">Figure </w:t>
      </w:r>
      <w:r>
        <w:fldChar w:fldCharType="begin"/>
      </w:r>
      <w:r>
        <w:instrText xml:space="preserve"> SEQ Figure \* ARABIC </w:instrText>
      </w:r>
      <w:r>
        <w:fldChar w:fldCharType="separate"/>
      </w:r>
      <w:r w:rsidR="00C47A81">
        <w:rPr>
          <w:noProof/>
        </w:rPr>
        <w:t>59</w:t>
      </w:r>
      <w:r>
        <w:fldChar w:fldCharType="end"/>
      </w:r>
      <w:bookmarkEnd w:id="258"/>
      <w:r>
        <w:t>: Proportion of VET student completions in food production by provider type</w:t>
      </w:r>
      <w:r w:rsidR="00303A9D">
        <w:t xml:space="preserve"> in 2022</w:t>
      </w:r>
      <w:bookmarkEnd w:id="259"/>
    </w:p>
    <w:p w14:paraId="4F01A69C" w14:textId="281CB5EC" w:rsidR="003F4F5B" w:rsidRDefault="00536F95" w:rsidP="003F4F5B">
      <w:pPr>
        <w:jc w:val="center"/>
        <w:rPr>
          <w:rFonts w:cs="Arial"/>
          <w:noProof/>
        </w:rPr>
      </w:pPr>
      <w:r>
        <w:rPr>
          <w:rFonts w:cs="Arial"/>
          <w:noProof/>
        </w:rPr>
        <w:drawing>
          <wp:inline distT="0" distB="0" distL="0" distR="0" wp14:anchorId="19BB0606" wp14:editId="23B18F3C">
            <wp:extent cx="5709600" cy="2926800"/>
            <wp:effectExtent l="0" t="0" r="5715" b="6985"/>
            <wp:docPr id="837056329" name="Picture 73" descr="This figure shows the mix of VET providers that deliver courses across key food supply chain disciplines. While the vast majority of training in agronomy, poultry production and food processing is delivered by private providers, TAFEs delivering the majority of courses in disciplines such as viticulture and veterinary nur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056329" name="Picture 73" descr="This figure shows the mix of VET providers that deliver courses across key food supply chain disciplines. While the vast majority of training in agronomy, poultry production and food processing is delivered by private providers, TAFEs delivering the majority of courses in disciplines such as viticulture and veterinary nursi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09600" cy="2926800"/>
                    </a:xfrm>
                    <a:prstGeom prst="rect">
                      <a:avLst/>
                    </a:prstGeom>
                    <a:noFill/>
                  </pic:spPr>
                </pic:pic>
              </a:graphicData>
            </a:graphic>
          </wp:inline>
        </w:drawing>
      </w:r>
    </w:p>
    <w:p w14:paraId="48862117" w14:textId="6FF0C957" w:rsidR="00781905" w:rsidRPr="00AC0957" w:rsidRDefault="00303A9D" w:rsidP="00303A9D">
      <w:pPr>
        <w:pStyle w:val="Source"/>
        <w:rPr>
          <w:rFonts w:cs="Arial"/>
        </w:rPr>
      </w:pPr>
      <w:r w:rsidRPr="00303A9D">
        <w:t>Source: J</w:t>
      </w:r>
      <w:r w:rsidR="007356D1">
        <w:t xml:space="preserve">obs and Skills Australia’s </w:t>
      </w:r>
      <w:r w:rsidRPr="00303A9D">
        <w:t>analysis of NCVER TVA program completions 2015-2022, Year by Type of accreditation by Provider type, for 2022. Number of providers refers to how many providers had program completions in that discipline in 2022.</w:t>
      </w:r>
    </w:p>
    <w:p w14:paraId="0E2D69B6" w14:textId="1F19E4FB" w:rsidR="00242231" w:rsidRDefault="00242231" w:rsidP="00C21231">
      <w:pPr>
        <w:pStyle w:val="Heading4"/>
      </w:pPr>
      <w:r w:rsidRPr="00C21231">
        <w:t>Migration</w:t>
      </w:r>
    </w:p>
    <w:p w14:paraId="0D618405" w14:textId="6035D5D3" w:rsidR="003F4F5B" w:rsidRDefault="00C95ECD" w:rsidP="003F4F5B">
      <w:pPr>
        <w:spacing w:before="120" w:after="120"/>
        <w:rPr>
          <w:rFonts w:cs="Arial"/>
        </w:rPr>
      </w:pPr>
      <w:r w:rsidRPr="00C95ECD">
        <w:rPr>
          <w:rFonts w:cs="Arial"/>
        </w:rPr>
        <w:t xml:space="preserve">Migration is an important pathway to addressing the diverse workforce needs of the food supply chain where local labour or skills are not available. For example, the Horticulture sector exhibits a high concentration of temporary migrant workers used to address labour supply challenges associated with highly seasonal work, often in regional, rural and remote locations </w:t>
      </w:r>
      <w:r w:rsidR="003F4F5B">
        <w:rPr>
          <w:rFonts w:cs="Arial"/>
        </w:rPr>
        <w:t>(</w:t>
      </w:r>
      <w:r w:rsidR="00CC095C">
        <w:rPr>
          <w:rFonts w:cs="Arial"/>
        </w:rPr>
        <w:fldChar w:fldCharType="begin"/>
      </w:r>
      <w:r w:rsidR="00CC095C">
        <w:rPr>
          <w:rFonts w:cs="Arial"/>
        </w:rPr>
        <w:instrText xml:space="preserve"> REF _Ref180168018 \h </w:instrText>
      </w:r>
      <w:r w:rsidR="00CC095C">
        <w:rPr>
          <w:rFonts w:cs="Arial"/>
        </w:rPr>
      </w:r>
      <w:r w:rsidR="00CC095C">
        <w:rPr>
          <w:rFonts w:cs="Arial"/>
        </w:rPr>
        <w:fldChar w:fldCharType="separate"/>
      </w:r>
      <w:r w:rsidR="00C47A81">
        <w:t xml:space="preserve">Figure </w:t>
      </w:r>
      <w:r w:rsidR="00C47A81">
        <w:rPr>
          <w:noProof/>
        </w:rPr>
        <w:t>60</w:t>
      </w:r>
      <w:r w:rsidR="00CC095C">
        <w:rPr>
          <w:rFonts w:cs="Arial"/>
        </w:rPr>
        <w:fldChar w:fldCharType="end"/>
      </w:r>
      <w:r w:rsidR="003F4F5B">
        <w:rPr>
          <w:rFonts w:cs="Arial"/>
        </w:rPr>
        <w:t>)</w:t>
      </w:r>
      <w:r w:rsidR="003F4F5B" w:rsidRPr="00D27456">
        <w:rPr>
          <w:rFonts w:cs="Arial"/>
        </w:rPr>
        <w:t>.</w:t>
      </w:r>
      <w:r w:rsidR="003F4F5B" w:rsidRPr="001636CF">
        <w:rPr>
          <w:rFonts w:cs="Arial"/>
        </w:rPr>
        <w:t xml:space="preserve"> </w:t>
      </w:r>
    </w:p>
    <w:p w14:paraId="2A640D07" w14:textId="3B09022C" w:rsidR="00CC095C" w:rsidRDefault="00CC095C" w:rsidP="00CC095C">
      <w:pPr>
        <w:pStyle w:val="Caption"/>
      </w:pPr>
      <w:bookmarkStart w:id="260" w:name="_Ref180168018"/>
      <w:bookmarkStart w:id="261" w:name="_Toc181370362"/>
      <w:r>
        <w:t xml:space="preserve">Figure </w:t>
      </w:r>
      <w:r>
        <w:fldChar w:fldCharType="begin"/>
      </w:r>
      <w:r>
        <w:instrText xml:space="preserve"> SEQ Figure \* ARABIC </w:instrText>
      </w:r>
      <w:r>
        <w:fldChar w:fldCharType="separate"/>
      </w:r>
      <w:r w:rsidR="00C47A81">
        <w:rPr>
          <w:noProof/>
        </w:rPr>
        <w:t>60</w:t>
      </w:r>
      <w:r>
        <w:fldChar w:fldCharType="end"/>
      </w:r>
      <w:bookmarkEnd w:id="260"/>
      <w:r>
        <w:t>: Weekly payroll jobs in select Horticulture industries</w:t>
      </w:r>
      <w:bookmarkEnd w:id="261"/>
    </w:p>
    <w:p w14:paraId="696DA14A" w14:textId="7544EAD5" w:rsidR="003F4F5B" w:rsidRDefault="00903817" w:rsidP="003F4F5B">
      <w:pPr>
        <w:jc w:val="center"/>
        <w:rPr>
          <w:rFonts w:cs="Arial"/>
          <w:sz w:val="18"/>
          <w:szCs w:val="18"/>
        </w:rPr>
      </w:pPr>
      <w:r>
        <w:rPr>
          <w:rFonts w:cs="Arial"/>
          <w:noProof/>
        </w:rPr>
        <w:drawing>
          <wp:inline distT="0" distB="0" distL="0" distR="0" wp14:anchorId="5B374C07" wp14:editId="490F3FF4">
            <wp:extent cx="4637708" cy="2634784"/>
            <wp:effectExtent l="0" t="0" r="0" b="0"/>
            <wp:docPr id="2048252433" name="Picture 74" descr="This line chart shows seasonal employment in key horticulture industries, including Apple and Pear Growing, Berry Fruit Growing, and Stone Fruit Growing. Jobs tend to peak in January of each year for several weeks, before returning relatively steady base for the rest of the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52433" name="Picture 74" descr="This line chart shows seasonal employment in key horticulture industries, including Apple and Pear Growing, Berry Fruit Growing, and Stone Fruit Growing. Jobs tend to peak in January of each year for several weeks, before returning relatively steady base for the rest of the year. "/>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646155" cy="2639583"/>
                    </a:xfrm>
                    <a:prstGeom prst="rect">
                      <a:avLst/>
                    </a:prstGeom>
                    <a:noFill/>
                  </pic:spPr>
                </pic:pic>
              </a:graphicData>
            </a:graphic>
          </wp:inline>
        </w:drawing>
      </w:r>
      <w:r w:rsidR="003F4F5B">
        <w:rPr>
          <w:rFonts w:cs="Arial"/>
        </w:rPr>
        <w:t xml:space="preserve"> </w:t>
      </w:r>
    </w:p>
    <w:p w14:paraId="2DD17212" w14:textId="4EEDFF6A" w:rsidR="003F4F5B" w:rsidRDefault="003F4F5B" w:rsidP="00C52800">
      <w:pPr>
        <w:pStyle w:val="Source"/>
      </w:pPr>
      <w:r w:rsidRPr="007C73A1">
        <w:t>Source: J</w:t>
      </w:r>
      <w:r w:rsidR="007356D1">
        <w:t>obs and Skills Australia’s</w:t>
      </w:r>
      <w:r w:rsidRPr="007C73A1">
        <w:t xml:space="preserve"> analysis of linked Single Touch Payroll data</w:t>
      </w:r>
      <w:r w:rsidR="001C7175">
        <w:t>, 2024</w:t>
      </w:r>
      <w:r w:rsidR="00C379E9">
        <w:t>.</w:t>
      </w:r>
    </w:p>
    <w:p w14:paraId="202EAFBD" w14:textId="545BDFF7" w:rsidR="009534C9" w:rsidRPr="009534C9" w:rsidRDefault="009534C9" w:rsidP="009534C9">
      <w:r w:rsidRPr="009534C9">
        <w:t>There is a genuine opportunity to rethink the current patchwork of migration pathways available to the food supply chain, including within the Working Holiday Maker (WHM) program and P</w:t>
      </w:r>
      <w:r w:rsidR="004108BA">
        <w:t>acific Australia Labour Mobility (P</w:t>
      </w:r>
      <w:r w:rsidRPr="009534C9">
        <w:t>ALM</w:t>
      </w:r>
      <w:r w:rsidR="004108BA">
        <w:t>)</w:t>
      </w:r>
      <w:r w:rsidRPr="009534C9">
        <w:t xml:space="preserve"> scheme. However, given high levels of reliance on current pathways in parts of the workforce, changes will need to be approached carefully to avoid unintended consequences for employers and workers. </w:t>
      </w:r>
    </w:p>
    <w:p w14:paraId="3A18B8AE" w14:textId="77777777" w:rsidR="009534C9" w:rsidRPr="009534C9" w:rsidRDefault="009534C9" w:rsidP="009534C9">
      <w:r w:rsidRPr="009534C9">
        <w:t xml:space="preserve">In designing any changes to the WHM program, it will be important that the Australian Government considers: </w:t>
      </w:r>
    </w:p>
    <w:p w14:paraId="6171CEF0" w14:textId="77777777" w:rsidR="009534C9" w:rsidRPr="009534C9" w:rsidRDefault="009534C9" w:rsidP="009534C9">
      <w:pPr>
        <w:pStyle w:val="ListBullet"/>
        <w:rPr>
          <w:rFonts w:eastAsiaTheme="minorHAnsi" w:cs="Arial"/>
          <w:spacing w:val="0"/>
          <w:szCs w:val="22"/>
          <w:lang w:val="en-AU" w:eastAsia="en-US"/>
        </w:rPr>
      </w:pPr>
      <w:r w:rsidRPr="009534C9">
        <w:rPr>
          <w:rFonts w:eastAsiaTheme="minorHAnsi" w:cs="Arial"/>
          <w:spacing w:val="0"/>
          <w:szCs w:val="22"/>
          <w:lang w:val="en-AU" w:eastAsia="en-US"/>
        </w:rPr>
        <w:t>the diverse workforce needs of the food supply chain</w:t>
      </w:r>
    </w:p>
    <w:p w14:paraId="661CC452" w14:textId="77777777" w:rsidR="009534C9" w:rsidRPr="009534C9" w:rsidRDefault="009534C9" w:rsidP="009534C9">
      <w:pPr>
        <w:pStyle w:val="ListBullet"/>
        <w:rPr>
          <w:rFonts w:eastAsiaTheme="minorHAnsi" w:cs="Arial"/>
          <w:spacing w:val="0"/>
          <w:szCs w:val="22"/>
          <w:lang w:val="en-AU" w:eastAsia="en-US"/>
        </w:rPr>
      </w:pPr>
      <w:r w:rsidRPr="009534C9">
        <w:rPr>
          <w:rFonts w:eastAsiaTheme="minorHAnsi" w:cs="Arial"/>
          <w:spacing w:val="0"/>
          <w:szCs w:val="22"/>
          <w:lang w:val="en-AU" w:eastAsia="en-US"/>
        </w:rPr>
        <w:t>the extent to which any contemplated changes would impact the ability to meet workforce needs</w:t>
      </w:r>
    </w:p>
    <w:p w14:paraId="78A476A5" w14:textId="77777777" w:rsidR="009534C9" w:rsidRPr="009534C9" w:rsidRDefault="009534C9" w:rsidP="009534C9">
      <w:pPr>
        <w:pStyle w:val="ListBullet"/>
        <w:rPr>
          <w:rFonts w:eastAsiaTheme="minorHAnsi" w:cs="Arial"/>
          <w:spacing w:val="0"/>
          <w:szCs w:val="22"/>
          <w:lang w:val="en-AU" w:eastAsia="en-US"/>
        </w:rPr>
      </w:pPr>
      <w:r w:rsidRPr="009534C9">
        <w:rPr>
          <w:rFonts w:eastAsiaTheme="minorHAnsi" w:cs="Arial"/>
          <w:spacing w:val="0"/>
          <w:szCs w:val="22"/>
          <w:lang w:val="en-AU" w:eastAsia="en-US"/>
        </w:rPr>
        <w:t>the extent to which other viable options are available</w:t>
      </w:r>
    </w:p>
    <w:p w14:paraId="5868979E" w14:textId="77777777" w:rsidR="009534C9" w:rsidRPr="009534C9" w:rsidRDefault="009534C9" w:rsidP="009534C9">
      <w:pPr>
        <w:pStyle w:val="ListBullet"/>
        <w:rPr>
          <w:rFonts w:eastAsiaTheme="minorHAnsi" w:cs="Arial"/>
          <w:spacing w:val="0"/>
          <w:szCs w:val="22"/>
          <w:lang w:val="en-AU" w:eastAsia="en-US"/>
        </w:rPr>
      </w:pPr>
      <w:r w:rsidRPr="009534C9">
        <w:rPr>
          <w:rFonts w:eastAsiaTheme="minorHAnsi" w:cs="Arial"/>
          <w:spacing w:val="0"/>
          <w:szCs w:val="22"/>
          <w:lang w:val="en-AU" w:eastAsia="en-US"/>
        </w:rPr>
        <w:t>the range of levers available to combat migrant worker exploitation</w:t>
      </w:r>
    </w:p>
    <w:p w14:paraId="3F8D7605" w14:textId="77777777" w:rsidR="009534C9" w:rsidRPr="009534C9" w:rsidRDefault="009534C9" w:rsidP="009534C9">
      <w:pPr>
        <w:pStyle w:val="ListBullet"/>
        <w:rPr>
          <w:rFonts w:eastAsiaTheme="minorHAnsi" w:cs="Arial"/>
          <w:spacing w:val="0"/>
          <w:szCs w:val="22"/>
          <w:lang w:val="en-AU" w:eastAsia="en-US"/>
        </w:rPr>
      </w:pPr>
      <w:r w:rsidRPr="009534C9">
        <w:rPr>
          <w:rFonts w:eastAsiaTheme="minorHAnsi" w:cs="Arial"/>
          <w:spacing w:val="0"/>
          <w:szCs w:val="22"/>
          <w:lang w:val="en-AU" w:eastAsia="en-US"/>
        </w:rPr>
        <w:t>the importance of rigorous monitoring and evaluation.</w:t>
      </w:r>
    </w:p>
    <w:p w14:paraId="30F56DB1" w14:textId="77777777" w:rsidR="009534C9" w:rsidRPr="009534C9" w:rsidRDefault="009534C9" w:rsidP="009534C9">
      <w:r w:rsidRPr="009534C9">
        <w:t>While the PALM scheme delivers important benefits for employers and workers in the food supply chain, there are also opportunities to enhance this scheme through:</w:t>
      </w:r>
    </w:p>
    <w:p w14:paraId="527DEAE7" w14:textId="77777777" w:rsidR="009534C9" w:rsidRPr="009534C9" w:rsidRDefault="009534C9" w:rsidP="009534C9">
      <w:pPr>
        <w:pStyle w:val="ListBullet"/>
        <w:rPr>
          <w:rFonts w:eastAsiaTheme="minorHAnsi" w:cs="Arial"/>
          <w:spacing w:val="0"/>
          <w:szCs w:val="22"/>
          <w:lang w:val="en-AU" w:eastAsia="en-US"/>
        </w:rPr>
      </w:pPr>
      <w:r w:rsidRPr="009534C9">
        <w:rPr>
          <w:rFonts w:eastAsiaTheme="minorHAnsi" w:cs="Arial"/>
          <w:spacing w:val="0"/>
          <w:szCs w:val="22"/>
          <w:lang w:val="en-AU" w:eastAsia="en-US"/>
        </w:rPr>
        <w:t>trialling worker-initiated movement</w:t>
      </w:r>
    </w:p>
    <w:p w14:paraId="43A98452" w14:textId="77777777" w:rsidR="009534C9" w:rsidRPr="009534C9" w:rsidRDefault="009534C9" w:rsidP="009534C9">
      <w:pPr>
        <w:pStyle w:val="ListBullet"/>
        <w:rPr>
          <w:rFonts w:eastAsiaTheme="minorHAnsi" w:cs="Arial"/>
          <w:spacing w:val="0"/>
          <w:szCs w:val="22"/>
          <w:lang w:val="en-AU" w:eastAsia="en-US"/>
        </w:rPr>
      </w:pPr>
      <w:r w:rsidRPr="009534C9">
        <w:rPr>
          <w:rFonts w:eastAsiaTheme="minorHAnsi" w:cs="Arial"/>
          <w:spacing w:val="0"/>
          <w:szCs w:val="22"/>
          <w:lang w:val="en-AU" w:eastAsia="en-US"/>
        </w:rPr>
        <w:t>better planning and coordination</w:t>
      </w:r>
    </w:p>
    <w:p w14:paraId="594626EA" w14:textId="77777777" w:rsidR="009534C9" w:rsidRPr="009534C9" w:rsidRDefault="009534C9" w:rsidP="009534C9">
      <w:pPr>
        <w:pStyle w:val="ListBullet"/>
        <w:rPr>
          <w:rFonts w:eastAsiaTheme="minorHAnsi" w:cs="Arial"/>
          <w:spacing w:val="0"/>
          <w:szCs w:val="22"/>
          <w:lang w:val="en-AU" w:eastAsia="en-US"/>
        </w:rPr>
      </w:pPr>
      <w:r w:rsidRPr="009534C9">
        <w:rPr>
          <w:rFonts w:eastAsiaTheme="minorHAnsi" w:cs="Arial"/>
          <w:spacing w:val="0"/>
          <w:szCs w:val="22"/>
          <w:lang w:val="en-AU" w:eastAsia="en-US"/>
        </w:rPr>
        <w:t>reducing costs for employers and increasing benefits for workers in ways that are consistent with the integrity and objectives of the scheme</w:t>
      </w:r>
    </w:p>
    <w:p w14:paraId="60149947" w14:textId="734FB2C6" w:rsidR="003F4F5B" w:rsidRPr="001636CF" w:rsidRDefault="009534C9" w:rsidP="009534C9">
      <w:pPr>
        <w:pStyle w:val="ListBullet"/>
      </w:pPr>
      <w:r w:rsidRPr="009534C9">
        <w:rPr>
          <w:rFonts w:eastAsiaTheme="minorHAnsi" w:cs="Arial"/>
          <w:spacing w:val="0"/>
          <w:szCs w:val="22"/>
          <w:lang w:val="en-AU" w:eastAsia="en-US"/>
        </w:rPr>
        <w:t>increasing the stock of suitable worker accommodation in key regions</w:t>
      </w:r>
      <w:r w:rsidR="003F4F5B" w:rsidRPr="001636CF">
        <w:t>.</w:t>
      </w:r>
    </w:p>
    <w:p w14:paraId="07D1D3CB" w14:textId="0C6297D4" w:rsidR="00242231" w:rsidRDefault="00242231" w:rsidP="00242231">
      <w:pPr>
        <w:pStyle w:val="Heading4"/>
        <w:spacing w:before="360" w:after="120"/>
      </w:pPr>
      <w:r>
        <w:t>Recommendations</w:t>
      </w:r>
    </w:p>
    <w:p w14:paraId="0847C8F4" w14:textId="77777777" w:rsidR="00833E70" w:rsidRPr="00833E70" w:rsidRDefault="00833E70" w:rsidP="00833E70">
      <w:pPr>
        <w:rPr>
          <w:rFonts w:cs="Arial"/>
        </w:rPr>
      </w:pPr>
      <w:r w:rsidRPr="00833E70">
        <w:rPr>
          <w:rFonts w:cs="Arial"/>
        </w:rPr>
        <w:t xml:space="preserve">Through our recommendations, findings and analysis, we seek to progress a number of opportunities for the food supply chain. These include improvements in education, training, migration and other system settings to lift outcomes for students, workers and employers. However, many of the challenges around attraction, retention and career development will require industry-led solutions. </w:t>
      </w:r>
    </w:p>
    <w:p w14:paraId="44F4E3E0" w14:textId="77777777" w:rsidR="00833E70" w:rsidRPr="00833E70" w:rsidRDefault="00833E70" w:rsidP="00E307AB">
      <w:pPr>
        <w:keepNext/>
        <w:keepLines/>
        <w:rPr>
          <w:rFonts w:cs="Arial"/>
        </w:rPr>
      </w:pPr>
      <w:r w:rsidRPr="00833E70">
        <w:rPr>
          <w:rFonts w:cs="Arial"/>
        </w:rPr>
        <w:t>Our recommendations are grouped into 8 overarching themes:</w:t>
      </w:r>
    </w:p>
    <w:p w14:paraId="01D6F1CB" w14:textId="77777777" w:rsidR="00833E70" w:rsidRPr="00833E70" w:rsidRDefault="00833E70" w:rsidP="00833E70">
      <w:pPr>
        <w:pStyle w:val="ListBullet"/>
      </w:pPr>
      <w:r w:rsidRPr="00833E70">
        <w:t>Support apprenticeships and traineeships for critical roles.</w:t>
      </w:r>
    </w:p>
    <w:p w14:paraId="2E06B2BE" w14:textId="77777777" w:rsidR="00833E70" w:rsidRPr="00833E70" w:rsidRDefault="00833E70" w:rsidP="00833E70">
      <w:pPr>
        <w:pStyle w:val="ListBullet"/>
      </w:pPr>
      <w:r w:rsidRPr="00833E70">
        <w:t>Improve the relevance and delivery of tertiary education and training.</w:t>
      </w:r>
    </w:p>
    <w:p w14:paraId="5203ED21" w14:textId="77777777" w:rsidR="00833E70" w:rsidRPr="00833E70" w:rsidRDefault="00833E70" w:rsidP="00833E70">
      <w:pPr>
        <w:pStyle w:val="ListBullet"/>
      </w:pPr>
      <w:r w:rsidRPr="00833E70">
        <w:t>Invest in sustainable veterinary and biosecurity workforce pathways.</w:t>
      </w:r>
    </w:p>
    <w:p w14:paraId="7BACEE1D" w14:textId="77777777" w:rsidR="00833E70" w:rsidRPr="00833E70" w:rsidRDefault="00833E70" w:rsidP="00833E70">
      <w:pPr>
        <w:pStyle w:val="ListBullet"/>
      </w:pPr>
      <w:r w:rsidRPr="00833E70">
        <w:t>Combat worker exploitation and ensure migration continues to support regional Australia.</w:t>
      </w:r>
    </w:p>
    <w:p w14:paraId="3437DAA7" w14:textId="77777777" w:rsidR="00833E70" w:rsidRPr="00833E70" w:rsidRDefault="00833E70" w:rsidP="00833E70">
      <w:pPr>
        <w:pStyle w:val="ListBullet"/>
      </w:pPr>
      <w:r w:rsidRPr="00833E70">
        <w:t>Harness opportunities within the PALM scheme.</w:t>
      </w:r>
    </w:p>
    <w:p w14:paraId="5DCC05EB" w14:textId="77777777" w:rsidR="00833E70" w:rsidRPr="00833E70" w:rsidRDefault="00833E70" w:rsidP="00833E70">
      <w:pPr>
        <w:pStyle w:val="ListBullet"/>
      </w:pPr>
      <w:r w:rsidRPr="00833E70">
        <w:t>Improve labour hire practices, enforcement and information.</w:t>
      </w:r>
    </w:p>
    <w:p w14:paraId="770BEC9F" w14:textId="77777777" w:rsidR="00833E70" w:rsidRPr="00833E70" w:rsidRDefault="00833E70" w:rsidP="00833E70">
      <w:pPr>
        <w:pStyle w:val="ListBullet"/>
      </w:pPr>
      <w:r w:rsidRPr="00833E70">
        <w:t>Facilitate better planning of the food supply chain workforce.</w:t>
      </w:r>
    </w:p>
    <w:p w14:paraId="1F819151" w14:textId="77777777" w:rsidR="00833E70" w:rsidRPr="00833E70" w:rsidRDefault="00833E70" w:rsidP="00833E70">
      <w:pPr>
        <w:pStyle w:val="ListBullet"/>
      </w:pPr>
      <w:r w:rsidRPr="00833E70">
        <w:t>Address barriers in regional, rural and remote Australia.</w:t>
      </w:r>
    </w:p>
    <w:p w14:paraId="75B380F6" w14:textId="223388C2" w:rsidR="003F4F5B" w:rsidRPr="00A51512" w:rsidRDefault="00833E70" w:rsidP="003F4F5B">
      <w:pPr>
        <w:rPr>
          <w:rFonts w:cs="Arial"/>
        </w:rPr>
      </w:pPr>
      <w:r w:rsidRPr="00833E70">
        <w:rPr>
          <w:rFonts w:cs="Arial"/>
        </w:rPr>
        <w:t>This study alone is unable to resolve all underlying challenges facing this essential workforce, and invaluable opportunities cannot be realised by working in isolation. Concerted effort is required by all parties, including governments, industry and unions, to ensure the continuation of this important work.</w:t>
      </w:r>
      <w:r w:rsidR="008C52B1">
        <w:rPr>
          <w:rFonts w:cs="Arial"/>
        </w:rPr>
        <w:t xml:space="preserve"> </w:t>
      </w:r>
      <w:r w:rsidRPr="00833E70">
        <w:rPr>
          <w:rFonts w:cs="Arial"/>
        </w:rPr>
        <w:t>With the right investments and partnerships, our study finds that Australia can have a resilient food supply chain that provides rewarding employment opportunities right across the country and supports highly productive industries.</w:t>
      </w:r>
    </w:p>
    <w:p w14:paraId="2E27A315" w14:textId="77777777" w:rsidR="00AC2606" w:rsidRPr="00AC0957" w:rsidRDefault="00AC2606" w:rsidP="00AC2606">
      <w:pPr>
        <w:pStyle w:val="Heading3"/>
        <w:rPr>
          <w:rFonts w:cs="Arial"/>
        </w:rPr>
      </w:pPr>
      <w:bookmarkStart w:id="262" w:name="_Toc179887408"/>
      <w:bookmarkStart w:id="263" w:name="_Toc181371605"/>
      <w:r w:rsidRPr="00AC0957">
        <w:rPr>
          <w:rFonts w:cs="Arial"/>
        </w:rPr>
        <w:t>The future of the Early Childhood Education Profession</w:t>
      </w:r>
      <w:bookmarkEnd w:id="262"/>
      <w:bookmarkEnd w:id="263"/>
      <w:r w:rsidRPr="00AC0957">
        <w:rPr>
          <w:rFonts w:cs="Arial"/>
        </w:rPr>
        <w:t xml:space="preserve"> </w:t>
      </w:r>
    </w:p>
    <w:p w14:paraId="78090FBE" w14:textId="77777777" w:rsidR="00640736" w:rsidRPr="00640736" w:rsidRDefault="00640736" w:rsidP="00640736">
      <w:pPr>
        <w:rPr>
          <w:rFonts w:cs="Arial"/>
        </w:rPr>
      </w:pPr>
      <w:r w:rsidRPr="00640736">
        <w:rPr>
          <w:rFonts w:cs="Arial"/>
        </w:rPr>
        <w:t xml:space="preserve">Over 200,000 individuals are a part of Australia’s early childhood workforce – across roles that work directly with children (the majority of the workforce – Early Childhood Educators and Early Childhood Education Room Leaders), and provide educational and organisational leadership (Early Childhood Teachers and Children’s Education and Care Service Directors), as well as those who provide support (education and care professionals and assistants, as well as Administration Assistants, Cooks, and Cleaners). </w:t>
      </w:r>
    </w:p>
    <w:p w14:paraId="6B97DE46" w14:textId="11F1E797" w:rsidR="00AC2606" w:rsidRPr="00AC0957" w:rsidRDefault="00640736" w:rsidP="00640736">
      <w:pPr>
        <w:rPr>
          <w:rFonts w:cs="Arial"/>
        </w:rPr>
      </w:pPr>
      <w:r w:rsidRPr="00640736">
        <w:rPr>
          <w:rFonts w:cs="Arial"/>
        </w:rPr>
        <w:t>JSA’s capacity study, undertaken in partnership with the relevant Jobs and Skills Council, HumanAbility, focused on ECEC workforce and skills issues, with particular attention on training, attraction, and retention, to complement the broader scope of the other inquiries undertaken in this space, including by the Productivity Commission and the Australian Competition and Consumer Commission (ACCC)</w:t>
      </w:r>
      <w:sdt>
        <w:sdtPr>
          <w:rPr>
            <w:rFonts w:cs="Arial"/>
          </w:rPr>
          <w:id w:val="-1652285043"/>
          <w:citation/>
        </w:sdtPr>
        <w:sdtEndPr/>
        <w:sdtContent>
          <w:r w:rsidR="00AC2606" w:rsidRPr="00AC0957">
            <w:rPr>
              <w:rFonts w:cs="Arial"/>
            </w:rPr>
            <w:fldChar w:fldCharType="begin"/>
          </w:r>
          <w:r w:rsidR="009728B2">
            <w:rPr>
              <w:rFonts w:cs="Arial"/>
            </w:rPr>
            <w:instrText xml:space="preserve">CITATION Com232 \l 3081 </w:instrText>
          </w:r>
          <w:r w:rsidR="00AC2606" w:rsidRPr="00AC0957">
            <w:rPr>
              <w:rFonts w:cs="Arial"/>
            </w:rPr>
            <w:fldChar w:fldCharType="separate"/>
          </w:r>
          <w:r w:rsidR="00CA3587">
            <w:rPr>
              <w:rFonts w:cs="Arial"/>
              <w:noProof/>
            </w:rPr>
            <w:t xml:space="preserve"> </w:t>
          </w:r>
          <w:r w:rsidR="00CA3587" w:rsidRPr="00CA3587">
            <w:rPr>
              <w:rFonts w:cs="Arial"/>
              <w:noProof/>
            </w:rPr>
            <w:t>(Commonwealth of Australia, Australian Competition and Consumer Commission, 2023a)</w:t>
          </w:r>
          <w:r w:rsidR="00AC2606" w:rsidRPr="00AC0957">
            <w:rPr>
              <w:rFonts w:cs="Arial"/>
            </w:rPr>
            <w:fldChar w:fldCharType="end"/>
          </w:r>
        </w:sdtContent>
      </w:sdt>
      <w:sdt>
        <w:sdtPr>
          <w:rPr>
            <w:rFonts w:cs="Arial"/>
          </w:rPr>
          <w:id w:val="523363469"/>
          <w:citation/>
        </w:sdtPr>
        <w:sdtEndPr/>
        <w:sdtContent>
          <w:r w:rsidR="00AC2606" w:rsidRPr="00AC0957">
            <w:rPr>
              <w:rFonts w:cs="Arial"/>
            </w:rPr>
            <w:fldChar w:fldCharType="begin"/>
          </w:r>
          <w:r w:rsidR="00934658">
            <w:rPr>
              <w:rFonts w:cs="Arial"/>
            </w:rPr>
            <w:instrText xml:space="preserve">CITATION Pro241 \l 3081 </w:instrText>
          </w:r>
          <w:r w:rsidR="00AC2606" w:rsidRPr="00AC0957">
            <w:rPr>
              <w:rFonts w:cs="Arial"/>
            </w:rPr>
            <w:fldChar w:fldCharType="separate"/>
          </w:r>
          <w:r w:rsidR="00934658">
            <w:rPr>
              <w:rFonts w:cs="Arial"/>
              <w:noProof/>
            </w:rPr>
            <w:t xml:space="preserve"> </w:t>
          </w:r>
          <w:r w:rsidR="00934658" w:rsidRPr="00934658">
            <w:rPr>
              <w:rFonts w:cs="Arial"/>
              <w:noProof/>
            </w:rPr>
            <w:t>(Productivity Commission, 2024b)</w:t>
          </w:r>
          <w:r w:rsidR="00AC2606" w:rsidRPr="00AC0957">
            <w:rPr>
              <w:rFonts w:cs="Arial"/>
            </w:rPr>
            <w:fldChar w:fldCharType="end"/>
          </w:r>
        </w:sdtContent>
      </w:sdt>
      <w:r w:rsidR="00AC2606" w:rsidRPr="00AC0957">
        <w:rPr>
          <w:rFonts w:cs="Arial"/>
        </w:rPr>
        <w:t xml:space="preserve">. </w:t>
      </w:r>
      <w:r w:rsidR="00184DEA" w:rsidRPr="00184DEA">
        <w:rPr>
          <w:rFonts w:eastAsiaTheme="minorEastAsia" w:cs="Arial"/>
        </w:rPr>
        <w:t>The final report has a total of 28 findings and 41 recommendations to address the critical needs of the industry. It is important to note that from 8 October 2024, early learning providers were able to apply for Commonwealth Government funding to deliver early childhood education and care workers a wage increase of 15% above the modern award rates over 2 years.</w:t>
      </w:r>
      <w:r w:rsidR="00D26B9A">
        <w:rPr>
          <w:rFonts w:eastAsiaTheme="minorEastAsia" w:cs="Arial"/>
        </w:rPr>
        <w:t xml:space="preserve"> </w:t>
      </w:r>
    </w:p>
    <w:p w14:paraId="3C371B2A" w14:textId="77777777" w:rsidR="00AC2606" w:rsidRPr="00AC0957" w:rsidRDefault="00AC2606" w:rsidP="00AC2606">
      <w:pPr>
        <w:pStyle w:val="Heading4"/>
      </w:pPr>
      <w:r w:rsidRPr="00AC0957">
        <w:t>Existing and emerging gaps</w:t>
      </w:r>
    </w:p>
    <w:p w14:paraId="2919FE4A" w14:textId="2F5FEA72" w:rsidR="00AC2606" w:rsidRPr="00AC0957" w:rsidRDefault="00373E0A" w:rsidP="00AC2606">
      <w:pPr>
        <w:rPr>
          <w:rFonts w:cs="Arial"/>
        </w:rPr>
      </w:pPr>
      <w:r w:rsidRPr="00373E0A">
        <w:rPr>
          <w:rFonts w:cs="Arial"/>
        </w:rPr>
        <w:t xml:space="preserve">Ambitious policies are being implemented by Government to expand ECEC, including increased access for families. This will require a larger ECEC workforce, however the system is already experiencing shortages. The sector is also impacted by system settings that affect the ability to attract and retain staff by undermining job satisfaction, career progression opportunities, and cultural and gender inclusion, and wages are low relative to comparable occupations and sectors </w:t>
      </w:r>
      <w:r w:rsidR="00AC2606" w:rsidRPr="00AC0957">
        <w:rPr>
          <w:rFonts w:cs="Arial"/>
        </w:rPr>
        <w:t>(</w:t>
      </w:r>
      <w:r w:rsidR="0068463E">
        <w:rPr>
          <w:rFonts w:cs="Arial"/>
        </w:rPr>
        <w:fldChar w:fldCharType="begin"/>
      </w:r>
      <w:r w:rsidR="0068463E">
        <w:rPr>
          <w:rFonts w:cs="Arial"/>
        </w:rPr>
        <w:instrText xml:space="preserve"> REF _Ref179898400 \h </w:instrText>
      </w:r>
      <w:r w:rsidR="0068463E">
        <w:rPr>
          <w:rFonts w:cs="Arial"/>
        </w:rPr>
      </w:r>
      <w:r w:rsidR="0068463E">
        <w:rPr>
          <w:rFonts w:cs="Arial"/>
        </w:rPr>
        <w:fldChar w:fldCharType="separate"/>
      </w:r>
      <w:r w:rsidR="00C47A81">
        <w:t xml:space="preserve">Figure </w:t>
      </w:r>
      <w:r w:rsidR="00C47A81">
        <w:rPr>
          <w:noProof/>
        </w:rPr>
        <w:t>61</w:t>
      </w:r>
      <w:r w:rsidR="0068463E">
        <w:rPr>
          <w:rFonts w:cs="Arial"/>
        </w:rPr>
        <w:fldChar w:fldCharType="end"/>
      </w:r>
      <w:r w:rsidR="00AC2606" w:rsidRPr="00AC0957">
        <w:rPr>
          <w:rFonts w:cs="Arial"/>
        </w:rPr>
        <w:t xml:space="preserve">). </w:t>
      </w:r>
    </w:p>
    <w:p w14:paraId="45C4C941" w14:textId="1B2C043E" w:rsidR="00205FB8" w:rsidRDefault="00205FB8" w:rsidP="00205FB8">
      <w:pPr>
        <w:pStyle w:val="Caption"/>
      </w:pPr>
      <w:bookmarkStart w:id="264" w:name="_Ref179898400"/>
      <w:bookmarkStart w:id="265" w:name="_Toc181370363"/>
      <w:r>
        <w:t xml:space="preserve">Figure </w:t>
      </w:r>
      <w:r>
        <w:fldChar w:fldCharType="begin"/>
      </w:r>
      <w:r>
        <w:instrText xml:space="preserve"> SEQ Figure \* ARABIC </w:instrText>
      </w:r>
      <w:r>
        <w:fldChar w:fldCharType="separate"/>
      </w:r>
      <w:r w:rsidR="00C47A81">
        <w:rPr>
          <w:noProof/>
        </w:rPr>
        <w:t>61</w:t>
      </w:r>
      <w:r>
        <w:fldChar w:fldCharType="end"/>
      </w:r>
      <w:bookmarkEnd w:id="264"/>
      <w:r>
        <w:t xml:space="preserve">: </w:t>
      </w:r>
      <w:r w:rsidRPr="0048211B">
        <w:t>Median weekly wages, ECEC and comparative occupations</w:t>
      </w:r>
      <w:bookmarkEnd w:id="265"/>
    </w:p>
    <w:p w14:paraId="757AEAA1" w14:textId="40B2C62E" w:rsidR="00AC2606" w:rsidRPr="00AC0957" w:rsidRDefault="00AD0E19" w:rsidP="00AC2606">
      <w:pPr>
        <w:jc w:val="center"/>
        <w:rPr>
          <w:rFonts w:cs="Arial"/>
        </w:rPr>
      </w:pPr>
      <w:r>
        <w:rPr>
          <w:rFonts w:cs="Arial"/>
          <w:noProof/>
        </w:rPr>
        <w:drawing>
          <wp:inline distT="0" distB="0" distL="0" distR="0" wp14:anchorId="14382652" wp14:editId="7D23F45D">
            <wp:extent cx="5731200" cy="3391200"/>
            <wp:effectExtent l="0" t="0" r="0" b="0"/>
            <wp:docPr id="1741702039" name="Picture 80" descr="A scatter plot showing median earnings in key 4-digit occupations (y-axis) across 2018, 2021, and 2023 (x-axis). The figure demonstrates that earnings have not markedly increased for ECEC occupations over the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702039" name="Picture 80" descr="A scatter plot showing median earnings in key 4-digit occupations (y-axis) across 2018, 2021, and 2023 (x-axis). The figure demonstrates that earnings have not markedly increased for ECEC occupations over the period."/>
                    <pic:cNvPicPr>
                      <a:picLocks noChangeAspect="1" noChangeArrowheads="1"/>
                    </pic:cNvPicPr>
                  </pic:nvPicPr>
                  <pic:blipFill>
                    <a:blip r:embed="rId108" cstate="print">
                      <a:extLst>
                        <a:ext uri="{28A0092B-C50C-407E-A947-70E740481C1C}">
                          <a14:useLocalDpi xmlns:a14="http://schemas.microsoft.com/office/drawing/2010/main" val="0"/>
                        </a:ext>
                      </a:extLst>
                    </a:blip>
                    <a:stretch>
                      <a:fillRect/>
                    </a:stretch>
                  </pic:blipFill>
                  <pic:spPr bwMode="auto">
                    <a:xfrm>
                      <a:off x="0" y="0"/>
                      <a:ext cx="5731200" cy="3391200"/>
                    </a:xfrm>
                    <a:prstGeom prst="rect">
                      <a:avLst/>
                    </a:prstGeom>
                    <a:noFill/>
                  </pic:spPr>
                </pic:pic>
              </a:graphicData>
            </a:graphic>
          </wp:inline>
        </w:drawing>
      </w:r>
    </w:p>
    <w:p w14:paraId="078823AB" w14:textId="1E51D9B1" w:rsidR="00AC2606" w:rsidRPr="00205FB8" w:rsidRDefault="00AC2606" w:rsidP="00AC2606">
      <w:pPr>
        <w:rPr>
          <w:rFonts w:cs="Arial"/>
          <w:sz w:val="18"/>
          <w:szCs w:val="18"/>
        </w:rPr>
      </w:pPr>
      <w:r w:rsidRPr="00205FB8">
        <w:rPr>
          <w:rFonts w:cs="Arial"/>
          <w:sz w:val="18"/>
          <w:szCs w:val="18"/>
        </w:rPr>
        <w:t>Source: ABS Employee Earnings and Hours, 2018, 2021, and 2023, Tablebuilder</w:t>
      </w:r>
      <w:r w:rsidR="00C379E9">
        <w:rPr>
          <w:rFonts w:cs="Arial"/>
          <w:sz w:val="18"/>
          <w:szCs w:val="18"/>
        </w:rPr>
        <w:t>.</w:t>
      </w:r>
    </w:p>
    <w:p w14:paraId="49AF0D0E" w14:textId="77777777" w:rsidR="00500A22" w:rsidRPr="00500A22" w:rsidRDefault="00500A22" w:rsidP="00500A22">
      <w:pPr>
        <w:rPr>
          <w:rFonts w:cs="Arial"/>
        </w:rPr>
      </w:pPr>
      <w:r w:rsidRPr="00500A22">
        <w:rPr>
          <w:rFonts w:cs="Arial"/>
        </w:rPr>
        <w:t>Modelling indicates that there is a current 2024 shortfall of around 21,000 qualified ECEC professionals needed to meet existing demand and support more sustainable working conditions. To break this figure down further:</w:t>
      </w:r>
    </w:p>
    <w:p w14:paraId="5B94A841" w14:textId="77777777" w:rsidR="00500A22" w:rsidRPr="00500A22" w:rsidRDefault="00500A22" w:rsidP="00500A22">
      <w:pPr>
        <w:pStyle w:val="ListBullet"/>
      </w:pPr>
      <w:r w:rsidRPr="00500A22">
        <w:t xml:space="preserve">There is a shortfall of 3,700 ECEC professionals just to meet the estimated enrolment to employment ratios currently in place (making no allowance for additional above-ratio staffing). </w:t>
      </w:r>
    </w:p>
    <w:p w14:paraId="71079B1B" w14:textId="77777777" w:rsidR="00500A22" w:rsidRPr="00500A22" w:rsidRDefault="00500A22" w:rsidP="00500A22">
      <w:pPr>
        <w:pStyle w:val="ListBullet"/>
      </w:pPr>
      <w:r w:rsidRPr="00500A22">
        <w:t xml:space="preserve">An additional 700 ECEC professionals (particularly early childhood teachers) are needed to resolve currently approved ratio waivers. </w:t>
      </w:r>
    </w:p>
    <w:p w14:paraId="4BD63E50" w14:textId="77777777" w:rsidR="00500A22" w:rsidRPr="00500A22" w:rsidRDefault="00500A22" w:rsidP="00500A22">
      <w:pPr>
        <w:pStyle w:val="ListBullet"/>
      </w:pPr>
      <w:r w:rsidRPr="00500A22">
        <w:t>To move the workforce to more sustainable working conditions with better provision for ongoing professional development and reduced reliance on overtime would require an additional 16,400 ECEC professionals.</w:t>
      </w:r>
    </w:p>
    <w:p w14:paraId="7521654A" w14:textId="77777777" w:rsidR="00500A22" w:rsidRPr="00500A22" w:rsidRDefault="00500A22" w:rsidP="00500A22">
      <w:pPr>
        <w:rPr>
          <w:rFonts w:cs="Arial"/>
        </w:rPr>
      </w:pPr>
      <w:r w:rsidRPr="00500A22">
        <w:rPr>
          <w:rFonts w:cs="Arial"/>
        </w:rPr>
        <w:t xml:space="preserve">To meet estimated unmet demand for places from children not already in care, and additional hours for children currently in services, would require a further 17,700 ECEC professionals. It is important to note though that workforce shortfalls are not the only constraint to meeting this unmet demand – additional places in services would also be required. This may require capital investment and planning and regulatory approval to open new services and/or expand existing services. </w:t>
      </w:r>
    </w:p>
    <w:p w14:paraId="5650FD8A" w14:textId="4BB2E9D0" w:rsidR="00AC2606" w:rsidRPr="00AC0957" w:rsidRDefault="00500A22" w:rsidP="00500A22">
      <w:pPr>
        <w:rPr>
          <w:rFonts w:cs="Arial"/>
        </w:rPr>
      </w:pPr>
      <w:r w:rsidRPr="00500A22">
        <w:rPr>
          <w:rFonts w:cs="Arial"/>
        </w:rPr>
        <w:t>Finally, to increase the number of places or alter the mix of places to fully meet the participation levels intended by the changes to Child Care Subsidy and expanded preschool provision would require an additional 18,400 ECEC professionals</w:t>
      </w:r>
      <w:r w:rsidR="00AC2606" w:rsidRPr="00AC0957">
        <w:rPr>
          <w:rFonts w:cs="Arial"/>
        </w:rPr>
        <w:t xml:space="preserve"> (see </w:t>
      </w:r>
      <w:r w:rsidR="0068463E">
        <w:rPr>
          <w:rFonts w:cs="Arial"/>
        </w:rPr>
        <w:fldChar w:fldCharType="begin"/>
      </w:r>
      <w:r w:rsidR="0068463E">
        <w:rPr>
          <w:rFonts w:cs="Arial"/>
        </w:rPr>
        <w:instrText xml:space="preserve"> REF _Ref179898406 \h </w:instrText>
      </w:r>
      <w:r w:rsidR="0068463E">
        <w:rPr>
          <w:rFonts w:cs="Arial"/>
        </w:rPr>
      </w:r>
      <w:r w:rsidR="0068463E">
        <w:rPr>
          <w:rFonts w:cs="Arial"/>
        </w:rPr>
        <w:fldChar w:fldCharType="separate"/>
      </w:r>
      <w:r w:rsidR="00C47A81">
        <w:t xml:space="preserve">Figure </w:t>
      </w:r>
      <w:r w:rsidR="00C47A81">
        <w:rPr>
          <w:noProof/>
        </w:rPr>
        <w:t>62</w:t>
      </w:r>
      <w:r w:rsidR="0068463E">
        <w:rPr>
          <w:rFonts w:cs="Arial"/>
        </w:rPr>
        <w:fldChar w:fldCharType="end"/>
      </w:r>
      <w:r w:rsidR="00AC2606" w:rsidRPr="00AC0957">
        <w:rPr>
          <w:rFonts w:cs="Arial"/>
        </w:rPr>
        <w:t>).</w:t>
      </w:r>
    </w:p>
    <w:p w14:paraId="09118A1C" w14:textId="650F09DB" w:rsidR="006E61DB" w:rsidRDefault="006E61DB" w:rsidP="006E61DB">
      <w:pPr>
        <w:pStyle w:val="Caption"/>
      </w:pPr>
      <w:bookmarkStart w:id="266" w:name="_Ref179898406"/>
      <w:bookmarkStart w:id="267" w:name="_Toc181370364"/>
      <w:r>
        <w:t xml:space="preserve">Figure </w:t>
      </w:r>
      <w:r>
        <w:fldChar w:fldCharType="begin"/>
      </w:r>
      <w:r>
        <w:instrText xml:space="preserve"> SEQ Figure \* ARABIC </w:instrText>
      </w:r>
      <w:r>
        <w:fldChar w:fldCharType="separate"/>
      </w:r>
      <w:r w:rsidR="00C47A81">
        <w:rPr>
          <w:noProof/>
        </w:rPr>
        <w:t>62</w:t>
      </w:r>
      <w:r>
        <w:fldChar w:fldCharType="end"/>
      </w:r>
      <w:bookmarkEnd w:id="266"/>
      <w:r>
        <w:t xml:space="preserve">: </w:t>
      </w:r>
      <w:r w:rsidRPr="00600621">
        <w:t>Nature of workforce shortfalls by component by workforce demand, 2024</w:t>
      </w:r>
      <w:bookmarkEnd w:id="267"/>
    </w:p>
    <w:p w14:paraId="432EB01E" w14:textId="578E1102" w:rsidR="00AC2606" w:rsidRPr="00AC0957" w:rsidRDefault="00404AC9" w:rsidP="00404AC9">
      <w:pPr>
        <w:rPr>
          <w:rFonts w:cs="Arial"/>
        </w:rPr>
      </w:pPr>
      <w:r>
        <w:rPr>
          <w:rFonts w:cs="Arial"/>
          <w:noProof/>
        </w:rPr>
        <w:drawing>
          <wp:inline distT="0" distB="0" distL="0" distR="0" wp14:anchorId="1CEB2ADF" wp14:editId="40999632">
            <wp:extent cx="5702400" cy="3621600"/>
            <wp:effectExtent l="0" t="0" r="0" b="0"/>
            <wp:docPr id="432597333" name="Picture 76" descr="This shows the nature of workforce shortfalls by component of workforce demand for 2024 in three columns. The first column shows additional workforce need for existing service levels, the next column shows unmet service demand and the third column to meet committed poli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597333" name="Picture 76" descr="This shows the nature of workforce shortfalls by component of workforce demand for 2024 in three columns. The first column shows additional workforce need for existing service levels, the next column shows unmet service demand and the third column to meet committed policies."/>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02400" cy="3621600"/>
                    </a:xfrm>
                    <a:prstGeom prst="rect">
                      <a:avLst/>
                    </a:prstGeom>
                    <a:noFill/>
                  </pic:spPr>
                </pic:pic>
              </a:graphicData>
            </a:graphic>
          </wp:inline>
        </w:drawing>
      </w:r>
    </w:p>
    <w:p w14:paraId="712737A7" w14:textId="324A02DC" w:rsidR="00AC2606" w:rsidRPr="006E61DB" w:rsidRDefault="00AC2606" w:rsidP="00AC2606">
      <w:pPr>
        <w:rPr>
          <w:rFonts w:cs="Arial"/>
          <w:sz w:val="18"/>
          <w:szCs w:val="18"/>
        </w:rPr>
      </w:pPr>
      <w:r w:rsidRPr="006E61DB">
        <w:rPr>
          <w:rFonts w:cs="Arial"/>
          <w:sz w:val="18"/>
          <w:szCs w:val="18"/>
        </w:rPr>
        <w:t>Source: Commissioned Deloitte Access Economics modelling for J</w:t>
      </w:r>
      <w:r w:rsidR="009D0B11">
        <w:rPr>
          <w:rFonts w:cs="Arial"/>
          <w:sz w:val="18"/>
          <w:szCs w:val="18"/>
        </w:rPr>
        <w:t>obs and Skills Australia’s</w:t>
      </w:r>
      <w:r w:rsidRPr="006E61DB">
        <w:rPr>
          <w:rFonts w:cs="Arial"/>
          <w:sz w:val="18"/>
          <w:szCs w:val="18"/>
        </w:rPr>
        <w:t xml:space="preserve"> ECEC Capacity Study</w:t>
      </w:r>
      <w:r w:rsidR="00C379E9">
        <w:rPr>
          <w:rFonts w:cs="Arial"/>
          <w:sz w:val="18"/>
          <w:szCs w:val="18"/>
        </w:rPr>
        <w:t>.</w:t>
      </w:r>
    </w:p>
    <w:p w14:paraId="05B29A49" w14:textId="77777777" w:rsidR="006802C5" w:rsidRPr="006802C5" w:rsidRDefault="006802C5" w:rsidP="006802C5">
      <w:pPr>
        <w:rPr>
          <w:rFonts w:cs="Arial"/>
        </w:rPr>
      </w:pPr>
      <w:r w:rsidRPr="006802C5">
        <w:rPr>
          <w:rFonts w:cs="Arial"/>
        </w:rPr>
        <w:t xml:space="preserve">Looking to the future, without any further intervention (such as wage increases), the shortfall of ECEC professionals to meet existing demand and support more sustainable working conditions would decrease to around 12,600 by 2034. This decrease is primarily due to a slight increase in projected workforce supply and changes in the expected population of children accessing services (both driven mainly by population forecasts). </w:t>
      </w:r>
    </w:p>
    <w:p w14:paraId="6DACE358" w14:textId="6EFBCA90" w:rsidR="00AC2606" w:rsidRPr="00AC0957" w:rsidRDefault="006802C5" w:rsidP="006802C5">
      <w:pPr>
        <w:rPr>
          <w:rFonts w:cs="Arial"/>
        </w:rPr>
      </w:pPr>
      <w:r w:rsidRPr="006802C5">
        <w:rPr>
          <w:rFonts w:cs="Arial"/>
        </w:rPr>
        <w:t xml:space="preserve">However, the estimated additional workforce shortfall in order to meet unmet service demand would change from 17,700 in 2024 to 20,100 in 2034. As more states and territories begin to implement expanded preschool, the additional workforce needed to meet policy changes would increase from 18,400 in 2024 to 34,000 in 2034 </w:t>
      </w:r>
      <w:r w:rsidR="00AC2606" w:rsidRPr="00AC0957">
        <w:rPr>
          <w:rFonts w:cs="Arial"/>
        </w:rPr>
        <w:t xml:space="preserve">(see </w:t>
      </w:r>
      <w:r w:rsidR="0068463E">
        <w:rPr>
          <w:rFonts w:cs="Arial"/>
        </w:rPr>
        <w:fldChar w:fldCharType="begin"/>
      </w:r>
      <w:r w:rsidR="0068463E">
        <w:rPr>
          <w:rFonts w:cs="Arial"/>
        </w:rPr>
        <w:instrText xml:space="preserve"> REF _Ref179898413 \h </w:instrText>
      </w:r>
      <w:r w:rsidR="0068463E">
        <w:rPr>
          <w:rFonts w:cs="Arial"/>
        </w:rPr>
      </w:r>
      <w:r w:rsidR="0068463E">
        <w:rPr>
          <w:rFonts w:cs="Arial"/>
        </w:rPr>
        <w:fldChar w:fldCharType="separate"/>
      </w:r>
      <w:r w:rsidR="00C47A81">
        <w:t xml:space="preserve">Figure </w:t>
      </w:r>
      <w:r w:rsidR="00C47A81">
        <w:rPr>
          <w:noProof/>
        </w:rPr>
        <w:t>63</w:t>
      </w:r>
      <w:r w:rsidR="0068463E">
        <w:rPr>
          <w:rFonts w:cs="Arial"/>
        </w:rPr>
        <w:fldChar w:fldCharType="end"/>
      </w:r>
      <w:r w:rsidR="00AC2606" w:rsidRPr="00AC0957">
        <w:rPr>
          <w:rFonts w:cs="Arial"/>
        </w:rPr>
        <w:t>).</w:t>
      </w:r>
    </w:p>
    <w:p w14:paraId="22C33973" w14:textId="743011D8" w:rsidR="00947A44" w:rsidRDefault="00947A44" w:rsidP="00947A44">
      <w:pPr>
        <w:pStyle w:val="Caption"/>
      </w:pPr>
      <w:bookmarkStart w:id="268" w:name="_Ref179898413"/>
      <w:bookmarkStart w:id="269" w:name="_Toc181370365"/>
      <w:r>
        <w:t xml:space="preserve">Figure </w:t>
      </w:r>
      <w:r>
        <w:fldChar w:fldCharType="begin"/>
      </w:r>
      <w:r>
        <w:instrText xml:space="preserve"> SEQ Figure \* ARABIC </w:instrText>
      </w:r>
      <w:r>
        <w:fldChar w:fldCharType="separate"/>
      </w:r>
      <w:r w:rsidR="00C47A81">
        <w:rPr>
          <w:noProof/>
        </w:rPr>
        <w:t>63</w:t>
      </w:r>
      <w:r>
        <w:fldChar w:fldCharType="end"/>
      </w:r>
      <w:bookmarkEnd w:id="268"/>
      <w:r>
        <w:t xml:space="preserve">: </w:t>
      </w:r>
      <w:r w:rsidRPr="00350B64">
        <w:t>Nature of workforce shortfalls by component by projected workforce demand, 2034</w:t>
      </w:r>
      <w:bookmarkEnd w:id="269"/>
    </w:p>
    <w:p w14:paraId="7317BFCC" w14:textId="3C565CB6" w:rsidR="00AC2606" w:rsidRPr="00AC0957" w:rsidRDefault="007E3CCC" w:rsidP="007E3CCC">
      <w:pPr>
        <w:rPr>
          <w:rFonts w:cs="Arial"/>
        </w:rPr>
      </w:pPr>
      <w:r>
        <w:rPr>
          <w:rFonts w:cs="Arial"/>
          <w:noProof/>
        </w:rPr>
        <w:drawing>
          <wp:inline distT="0" distB="0" distL="0" distR="0" wp14:anchorId="6B2FDA90" wp14:editId="048B34AA">
            <wp:extent cx="5709600" cy="3348000"/>
            <wp:effectExtent l="0" t="0" r="5715" b="5080"/>
            <wp:docPr id="810697923" name="Picture 77" descr="This shows the nature of workforce shortfalls by component of workforce demand for 2034 in three columns. The first column shows additional workforce need for existing service levels, the next column shows unmet service demand and the third column to meet committed poli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697923" name="Picture 77" descr="This shows the nature of workforce shortfalls by component of workforce demand for 2034 in three columns. The first column shows additional workforce need for existing service levels, the next column shows unmet service demand and the third column to meet committed policies."/>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709600" cy="3348000"/>
                    </a:xfrm>
                    <a:prstGeom prst="rect">
                      <a:avLst/>
                    </a:prstGeom>
                    <a:noFill/>
                  </pic:spPr>
                </pic:pic>
              </a:graphicData>
            </a:graphic>
          </wp:inline>
        </w:drawing>
      </w:r>
    </w:p>
    <w:p w14:paraId="7125E174" w14:textId="31843D7D" w:rsidR="00AC2606" w:rsidRPr="00947A44" w:rsidRDefault="00AC2606" w:rsidP="00C21231">
      <w:pPr>
        <w:pStyle w:val="Source"/>
      </w:pPr>
      <w:r w:rsidRPr="00947A44">
        <w:t>Source: Commissioned Deloitte Access Economics modelling for J</w:t>
      </w:r>
      <w:r w:rsidR="009D0B11">
        <w:t>obs and Skills Australia’s</w:t>
      </w:r>
      <w:r w:rsidRPr="00947A44">
        <w:t xml:space="preserve"> ECEC Capacity Study</w:t>
      </w:r>
      <w:r w:rsidR="00C379E9">
        <w:t>.</w:t>
      </w:r>
    </w:p>
    <w:p w14:paraId="55471228" w14:textId="77777777" w:rsidR="00AC2606" w:rsidRPr="00AC0957" w:rsidRDefault="00AC2606" w:rsidP="002070A6">
      <w:pPr>
        <w:pStyle w:val="Heading4"/>
      </w:pPr>
      <w:bookmarkStart w:id="270" w:name="_Toc179887409"/>
      <w:r w:rsidRPr="00AC0957">
        <w:t>First Nations quality delivery needs</w:t>
      </w:r>
      <w:bookmarkEnd w:id="270"/>
    </w:p>
    <w:p w14:paraId="22905B7B" w14:textId="5096F708" w:rsidR="00AC2606" w:rsidRPr="00AC0957" w:rsidRDefault="001660C8" w:rsidP="00AC2606">
      <w:pPr>
        <w:rPr>
          <w:rFonts w:cs="Arial"/>
        </w:rPr>
      </w:pPr>
      <w:r w:rsidRPr="001660C8">
        <w:rPr>
          <w:rFonts w:cs="Arial"/>
        </w:rPr>
        <w:t xml:space="preserve">A key part of the Closing the Gap Targets 3 and 4 that focus on the early years is to ensure that children engage in high quality, culturally appropriate ECEC. </w:t>
      </w:r>
      <w:r w:rsidRPr="001660C8">
        <w:rPr>
          <w:rFonts w:cs="Arial"/>
          <w:i/>
          <w:iCs/>
        </w:rPr>
        <w:t xml:space="preserve">The Sector Strengthening Plan: Early Childhood Care and Development </w:t>
      </w:r>
      <w:r w:rsidRPr="001660C8">
        <w:rPr>
          <w:rFonts w:cs="Arial"/>
        </w:rPr>
        <w:t xml:space="preserve">supports the Closing the Gap Target </w:t>
      </w:r>
      <w:r w:rsidRPr="00DF06F6">
        <w:t xml:space="preserve">and Priority Reform 2 (build the Aboriginal and Torres Strait Islander community-controlled organisations </w:t>
      </w:r>
      <w:r>
        <w:t xml:space="preserve">- </w:t>
      </w:r>
      <w:r w:rsidRPr="00DF06F6">
        <w:t>ACCOS</w:t>
      </w:r>
      <w:r>
        <w:t xml:space="preserve"> -</w:t>
      </w:r>
      <w:r w:rsidRPr="00DF06F6">
        <w:t xml:space="preserve"> sector) by supporting</w:t>
      </w:r>
      <w:r w:rsidRPr="001660C8">
        <w:rPr>
          <w:rFonts w:cs="Arial"/>
        </w:rPr>
        <w:t xml:space="preserve"> increased service delivery, coverage, capacity, quality and resources for Aboriginal and Torres Strait Islander community-controlled organisations</w:t>
      </w:r>
      <w:sdt>
        <w:sdtPr>
          <w:rPr>
            <w:rFonts w:cs="Arial"/>
          </w:rPr>
          <w:id w:val="520982114"/>
          <w:citation/>
        </w:sdtPr>
        <w:sdtEndPr/>
        <w:sdtContent>
          <w:r w:rsidR="00AC2606" w:rsidRPr="00AC0957">
            <w:rPr>
              <w:rFonts w:cs="Arial"/>
            </w:rPr>
            <w:fldChar w:fldCharType="begin"/>
          </w:r>
          <w:r w:rsidR="00934658">
            <w:rPr>
              <w:rFonts w:cs="Arial"/>
            </w:rPr>
            <w:instrText xml:space="preserve">CITATION JCCG1 \l 3081 </w:instrText>
          </w:r>
          <w:r w:rsidR="00AC2606" w:rsidRPr="00AC0957">
            <w:rPr>
              <w:rFonts w:cs="Arial"/>
            </w:rPr>
            <w:fldChar w:fldCharType="separate"/>
          </w:r>
          <w:r w:rsidR="00934658">
            <w:rPr>
              <w:rFonts w:cs="Arial"/>
              <w:noProof/>
            </w:rPr>
            <w:t xml:space="preserve"> </w:t>
          </w:r>
          <w:r w:rsidR="00934658" w:rsidRPr="00934658">
            <w:rPr>
              <w:rFonts w:cs="Arial"/>
              <w:noProof/>
            </w:rPr>
            <w:t>(Joint Council on Closing the Gap, 2021)</w:t>
          </w:r>
          <w:r w:rsidR="00AC2606" w:rsidRPr="00AC0957">
            <w:rPr>
              <w:rFonts w:cs="Arial"/>
            </w:rPr>
            <w:fldChar w:fldCharType="end"/>
          </w:r>
        </w:sdtContent>
      </w:sdt>
      <w:r w:rsidR="00AC2606" w:rsidRPr="00AC0957">
        <w:rPr>
          <w:rFonts w:cs="Arial"/>
        </w:rPr>
        <w:t xml:space="preserve">. </w:t>
      </w:r>
    </w:p>
    <w:p w14:paraId="3064DE86" w14:textId="4702465F" w:rsidR="00AC2606" w:rsidRPr="00AC0957" w:rsidRDefault="00AC2606" w:rsidP="00FB1F74">
      <w:pPr>
        <w:keepNext/>
        <w:keepLines/>
        <w:rPr>
          <w:rFonts w:cs="Arial"/>
        </w:rPr>
      </w:pPr>
      <w:r w:rsidRPr="00AC0957">
        <w:rPr>
          <w:rFonts w:cs="Arial"/>
        </w:rPr>
        <w:t>First Nations children have a lower ECEC participation rate compared to non-Indigenous children</w:t>
      </w:r>
      <w:sdt>
        <w:sdtPr>
          <w:rPr>
            <w:rFonts w:cs="Arial"/>
          </w:rPr>
          <w:id w:val="1705441038"/>
          <w:citation/>
        </w:sdtPr>
        <w:sdtEndPr/>
        <w:sdtContent>
          <w:r w:rsidRPr="00AC0957">
            <w:rPr>
              <w:rFonts w:cs="Arial"/>
            </w:rPr>
            <w:fldChar w:fldCharType="begin"/>
          </w:r>
          <w:r w:rsidRPr="00AC0957">
            <w:rPr>
              <w:rFonts w:cs="Arial"/>
            </w:rPr>
            <w:instrText xml:space="preserve"> CITATION Com3b \l 3081 </w:instrText>
          </w:r>
          <w:r w:rsidRPr="00AC0957">
            <w:rPr>
              <w:rFonts w:cs="Arial"/>
            </w:rPr>
            <w:fldChar w:fldCharType="separate"/>
          </w:r>
          <w:r w:rsidR="00CA3587">
            <w:rPr>
              <w:rFonts w:cs="Arial"/>
              <w:noProof/>
            </w:rPr>
            <w:t xml:space="preserve"> </w:t>
          </w:r>
          <w:r w:rsidR="00CA3587" w:rsidRPr="00CA3587">
            <w:rPr>
              <w:rFonts w:cs="Arial"/>
              <w:noProof/>
            </w:rPr>
            <w:t>(Commonwealth of Australia, Australian Competition and Consumer Commission, 2023b)</w:t>
          </w:r>
          <w:r w:rsidRPr="00AC0957">
            <w:rPr>
              <w:rFonts w:cs="Arial"/>
            </w:rPr>
            <w:fldChar w:fldCharType="end"/>
          </w:r>
        </w:sdtContent>
      </w:sdt>
      <w:r w:rsidR="00390FCB">
        <w:rPr>
          <w:rFonts w:cs="Arial"/>
        </w:rPr>
        <w:t>, and</w:t>
      </w:r>
      <w:r w:rsidR="00473EE7">
        <w:rPr>
          <w:rFonts w:cs="Arial"/>
        </w:rPr>
        <w:t xml:space="preserve"> e</w:t>
      </w:r>
      <w:r w:rsidRPr="00AC0957">
        <w:rPr>
          <w:rFonts w:cs="Arial"/>
        </w:rPr>
        <w:t>vidence suggests the presence of First Nations educators and culturally inclusive ECEC are critical in promoting participation of First Nations children in ECEC services</w:t>
      </w:r>
      <w:sdt>
        <w:sdtPr>
          <w:rPr>
            <w:rFonts w:cs="Arial"/>
          </w:rPr>
          <w:id w:val="2055503708"/>
          <w:citation/>
        </w:sdtPr>
        <w:sdtEndPr/>
        <w:sdtContent>
          <w:r w:rsidRPr="00AC0957">
            <w:rPr>
              <w:rFonts w:cs="Arial"/>
            </w:rPr>
            <w:fldChar w:fldCharType="begin"/>
          </w:r>
          <w:r w:rsidR="00312B3B">
            <w:rPr>
              <w:rFonts w:cs="Arial"/>
            </w:rPr>
            <w:instrText xml:space="preserve">CITATION Bid07 \l 3081 </w:instrText>
          </w:r>
          <w:r w:rsidRPr="00AC0957">
            <w:rPr>
              <w:rFonts w:cs="Arial"/>
            </w:rPr>
            <w:fldChar w:fldCharType="separate"/>
          </w:r>
          <w:r w:rsidR="00CA3587">
            <w:rPr>
              <w:rFonts w:cs="Arial"/>
              <w:noProof/>
            </w:rPr>
            <w:t xml:space="preserve"> </w:t>
          </w:r>
          <w:r w:rsidR="00CA3587" w:rsidRPr="00CA3587">
            <w:rPr>
              <w:rFonts w:cs="Arial"/>
              <w:noProof/>
            </w:rPr>
            <w:t>(Biddle, 2007)</w:t>
          </w:r>
          <w:r w:rsidRPr="00AC0957">
            <w:rPr>
              <w:rFonts w:cs="Arial"/>
            </w:rPr>
            <w:fldChar w:fldCharType="end"/>
          </w:r>
        </w:sdtContent>
      </w:sdt>
      <w:r w:rsidRPr="00AC0957">
        <w:rPr>
          <w:rFonts w:cs="Arial"/>
        </w:rPr>
        <w:t>. The need for greater cultural inclusivity in ECEC programs was made clear in the submission paper SNAICC – National Voice for our Children made to JSA:</w:t>
      </w:r>
    </w:p>
    <w:p w14:paraId="28B98CCE" w14:textId="07C96AED" w:rsidR="00AC2606" w:rsidRPr="00C21231" w:rsidRDefault="00AC2606" w:rsidP="00C21231">
      <w:pPr>
        <w:pStyle w:val="Quote"/>
        <w:rPr>
          <w:i w:val="0"/>
          <w:iCs w:val="0"/>
        </w:rPr>
      </w:pPr>
      <w:r w:rsidRPr="00C21231">
        <w:t xml:space="preserve">Culture is a critical part of Aboriginal and Torres Strait Islander children’s development, identity and self-esteem and strengthens their overall health and wellbeing. For Aboriginal and Torres Strait Islander children and families to experience cultural safety, early years services must be grounded in cultural frameworks that reflect the protocols and practices of local families and communities. </w:t>
      </w:r>
      <w:sdt>
        <w:sdtPr>
          <w:rPr>
            <w:i w:val="0"/>
            <w:iCs w:val="0"/>
          </w:rPr>
          <w:id w:val="-861273517"/>
          <w:citation/>
        </w:sdtPr>
        <w:sdtEndPr/>
        <w:sdtContent>
          <w:r w:rsidRPr="00C21231">
            <w:rPr>
              <w:i w:val="0"/>
              <w:iCs w:val="0"/>
            </w:rPr>
            <w:fldChar w:fldCharType="begin"/>
          </w:r>
          <w:r w:rsidR="00934658">
            <w:rPr>
              <w:i w:val="0"/>
              <w:iCs w:val="0"/>
            </w:rPr>
            <w:instrText xml:space="preserve">CITATION Job242 \l 3081 </w:instrText>
          </w:r>
          <w:r w:rsidRPr="00C21231">
            <w:rPr>
              <w:i w:val="0"/>
              <w:iCs w:val="0"/>
            </w:rPr>
            <w:fldChar w:fldCharType="separate"/>
          </w:r>
          <w:r w:rsidR="00934658">
            <w:rPr>
              <w:noProof/>
            </w:rPr>
            <w:t>(Jobs and Skills Australia, 2024e)</w:t>
          </w:r>
          <w:r w:rsidRPr="00C21231">
            <w:rPr>
              <w:i w:val="0"/>
              <w:iCs w:val="0"/>
            </w:rPr>
            <w:fldChar w:fldCharType="end"/>
          </w:r>
        </w:sdtContent>
      </w:sdt>
    </w:p>
    <w:p w14:paraId="5B7AC5F0" w14:textId="77777777" w:rsidR="00664455" w:rsidRPr="00664455" w:rsidRDefault="00664455" w:rsidP="00E307AB">
      <w:pPr>
        <w:keepLines/>
        <w:rPr>
          <w:rFonts w:cs="Arial"/>
        </w:rPr>
      </w:pPr>
      <w:r w:rsidRPr="00664455">
        <w:rPr>
          <w:rFonts w:cs="Arial"/>
        </w:rPr>
        <w:t xml:space="preserve">A lack of suitable workforce was raised as the major barrier to accessing high quality and culturally appropriate ECEC programs. Culturally responsive training to facilitate First Nations children’s engagement in ECEC is linked to ensuring First Nations staff are well-represented and supported in the workforce. In the National Agreement on Closing the Gap under Clause 45 a key element of a strong sector is sustained capacity building and a dedicated, appropriately trained and identified Aboriginal and Torres Strait Islander workforce. </w:t>
      </w:r>
    </w:p>
    <w:p w14:paraId="5C16BF8F" w14:textId="4D86FB1A" w:rsidR="00AC2606" w:rsidRPr="00AC0957" w:rsidRDefault="00664455" w:rsidP="00664455">
      <w:pPr>
        <w:rPr>
          <w:rFonts w:cs="Arial"/>
        </w:rPr>
      </w:pPr>
      <w:r w:rsidRPr="00664455">
        <w:rPr>
          <w:rFonts w:cs="Arial"/>
        </w:rPr>
        <w:t>While there are a number of ACCOs involved in the delivery of ECEC, well-supported, culturally safe opportunities for First Nations ECEC staff in non-ACCO settings are less embedded in the ECEC sector and these opportunities should be assured. The representation of First Nations individuals is greater in the ECEC workforce across all ECEC occupations at 3.7% (</w:t>
      </w:r>
      <w:r w:rsidR="006B0969">
        <w:rPr>
          <w:rFonts w:cs="Arial"/>
        </w:rPr>
        <w:fldChar w:fldCharType="begin"/>
      </w:r>
      <w:r w:rsidR="006B0969">
        <w:rPr>
          <w:rFonts w:cs="Arial"/>
        </w:rPr>
        <w:instrText xml:space="preserve"> REF _Ref179898432 \h </w:instrText>
      </w:r>
      <w:r w:rsidR="006B0969">
        <w:rPr>
          <w:rFonts w:cs="Arial"/>
        </w:rPr>
      </w:r>
      <w:r w:rsidR="006B0969">
        <w:rPr>
          <w:rFonts w:cs="Arial"/>
        </w:rPr>
        <w:fldChar w:fldCharType="separate"/>
      </w:r>
      <w:r w:rsidR="00C47A81">
        <w:t xml:space="preserve">Table </w:t>
      </w:r>
      <w:r w:rsidR="00C47A81">
        <w:rPr>
          <w:noProof/>
        </w:rPr>
        <w:t>16</w:t>
      </w:r>
      <w:r w:rsidR="006B0969">
        <w:rPr>
          <w:rFonts w:cs="Arial"/>
        </w:rPr>
        <w:fldChar w:fldCharType="end"/>
      </w:r>
      <w:r w:rsidRPr="00664455">
        <w:rPr>
          <w:rFonts w:cs="Arial"/>
        </w:rPr>
        <w:t xml:space="preserve">), relative to all occupations, and on par across all of the study’s focus ECEC occupations with the broader population. However, First Nations people are also not as well </w:t>
      </w:r>
      <w:r w:rsidRPr="00B5603B">
        <w:rPr>
          <w:rFonts w:cs="Arial"/>
        </w:rPr>
        <w:t>represented across</w:t>
      </w:r>
      <w:r w:rsidRPr="00664455">
        <w:rPr>
          <w:rFonts w:cs="Arial"/>
        </w:rPr>
        <w:t xml:space="preserve"> the more highly remunerated occupations in the sector </w:t>
      </w:r>
      <w:r w:rsidR="00AC2606" w:rsidRPr="00AC0957">
        <w:rPr>
          <w:rFonts w:cs="Arial"/>
        </w:rPr>
        <w:t>(</w:t>
      </w:r>
      <w:r w:rsidR="0068463E">
        <w:rPr>
          <w:rFonts w:cs="Arial"/>
        </w:rPr>
        <w:fldChar w:fldCharType="begin"/>
      </w:r>
      <w:r w:rsidR="0068463E">
        <w:rPr>
          <w:rFonts w:cs="Arial"/>
        </w:rPr>
        <w:instrText xml:space="preserve"> REF _Ref179898432 \h </w:instrText>
      </w:r>
      <w:r w:rsidR="0068463E">
        <w:rPr>
          <w:rFonts w:cs="Arial"/>
        </w:rPr>
      </w:r>
      <w:r w:rsidR="0068463E">
        <w:rPr>
          <w:rFonts w:cs="Arial"/>
        </w:rPr>
        <w:fldChar w:fldCharType="separate"/>
      </w:r>
      <w:r w:rsidR="00C47A81">
        <w:t xml:space="preserve">Table </w:t>
      </w:r>
      <w:r w:rsidR="00C47A81">
        <w:rPr>
          <w:noProof/>
        </w:rPr>
        <w:t>16</w:t>
      </w:r>
      <w:r w:rsidR="0068463E">
        <w:rPr>
          <w:rFonts w:cs="Arial"/>
        </w:rPr>
        <w:fldChar w:fldCharType="end"/>
      </w:r>
      <w:r w:rsidR="00AC2606" w:rsidRPr="00AC0957">
        <w:rPr>
          <w:rFonts w:cs="Arial"/>
        </w:rPr>
        <w:t>).</w:t>
      </w:r>
    </w:p>
    <w:p w14:paraId="5A2362A5" w14:textId="18B1FA0E" w:rsidR="008F5323" w:rsidRDefault="008F5323" w:rsidP="008F5323">
      <w:pPr>
        <w:pStyle w:val="Caption"/>
      </w:pPr>
      <w:bookmarkStart w:id="271" w:name="_Ref179898432"/>
      <w:r>
        <w:t xml:space="preserve">Table </w:t>
      </w:r>
      <w:r>
        <w:fldChar w:fldCharType="begin"/>
      </w:r>
      <w:r>
        <w:instrText xml:space="preserve"> SEQ Table \* ARABIC </w:instrText>
      </w:r>
      <w:r>
        <w:fldChar w:fldCharType="separate"/>
      </w:r>
      <w:r w:rsidR="00C47A81">
        <w:rPr>
          <w:noProof/>
        </w:rPr>
        <w:t>16</w:t>
      </w:r>
      <w:r>
        <w:fldChar w:fldCharType="end"/>
      </w:r>
      <w:bookmarkEnd w:id="271"/>
      <w:r>
        <w:t xml:space="preserve">: </w:t>
      </w:r>
      <w:r w:rsidRPr="00DB234E">
        <w:t>Selected characteristics of the ECEC Workforce by unit group, 2021</w:t>
      </w:r>
    </w:p>
    <w:tbl>
      <w:tblPr>
        <w:tblStyle w:val="JSATable1"/>
        <w:tblW w:w="9026" w:type="dxa"/>
        <w:tblLayout w:type="fixed"/>
        <w:tblLook w:val="0020" w:firstRow="1" w:lastRow="0" w:firstColumn="0" w:lastColumn="0" w:noHBand="0" w:noVBand="0"/>
        <w:tblCaption w:val="Selected characteristics of the ECEC Workforce by unit group, 2021"/>
        <w:tblDescription w:val="The table shows the percentage of ECEC workforce against a range of demographics and characteristics across occupation unit groups, total ECEC occupations and totals occupations. The representation of First Nations individuals is greater in the ECEC workforce across all ECEC occupations at 3.7%, relative to all occupations. However, First Nations people are also not as well represented across the more highly remunerated occupations in the sector."/>
      </w:tblPr>
      <w:tblGrid>
        <w:gridCol w:w="1560"/>
        <w:gridCol w:w="964"/>
        <w:gridCol w:w="1322"/>
        <w:gridCol w:w="1295"/>
        <w:gridCol w:w="1295"/>
        <w:gridCol w:w="1295"/>
        <w:gridCol w:w="1295"/>
      </w:tblGrid>
      <w:tr w:rsidR="003D24A5" w:rsidRPr="00B26C3D" w14:paraId="1A6B1D44" w14:textId="5C7990B1" w:rsidTr="0072174E">
        <w:trPr>
          <w:cnfStyle w:val="100000000000" w:firstRow="1" w:lastRow="0" w:firstColumn="0" w:lastColumn="0" w:oddVBand="0" w:evenVBand="0" w:oddHBand="0" w:evenHBand="0" w:firstRowFirstColumn="0" w:firstRowLastColumn="0" w:lastRowFirstColumn="0" w:lastRowLastColumn="0"/>
          <w:trHeight w:val="946"/>
        </w:trPr>
        <w:tc>
          <w:tcPr>
            <w:tcW w:w="1560" w:type="dxa"/>
          </w:tcPr>
          <w:p w14:paraId="56EB259F" w14:textId="5DF9CCF1" w:rsidR="003D24A5" w:rsidRPr="00B26C3D" w:rsidRDefault="003D24A5" w:rsidP="00472728"/>
        </w:tc>
        <w:tc>
          <w:tcPr>
            <w:tcW w:w="964" w:type="dxa"/>
          </w:tcPr>
          <w:p w14:paraId="3A67FA18" w14:textId="77777777" w:rsidR="003D24A5" w:rsidRPr="0068274C" w:rsidRDefault="003D24A5" w:rsidP="00632BB2">
            <w:pPr>
              <w:jc w:val="right"/>
              <w:rPr>
                <w:sz w:val="18"/>
                <w:szCs w:val="18"/>
              </w:rPr>
            </w:pPr>
            <w:r w:rsidRPr="0068274C">
              <w:rPr>
                <w:sz w:val="18"/>
                <w:szCs w:val="18"/>
              </w:rPr>
              <w:t>4211</w:t>
            </w:r>
          </w:p>
          <w:p w14:paraId="160F3994" w14:textId="2C57F207" w:rsidR="003D24A5" w:rsidRPr="0068274C" w:rsidRDefault="003D24A5" w:rsidP="00632BB2">
            <w:pPr>
              <w:jc w:val="right"/>
              <w:rPr>
                <w:sz w:val="18"/>
                <w:szCs w:val="18"/>
              </w:rPr>
            </w:pPr>
            <w:r w:rsidRPr="0068274C">
              <w:rPr>
                <w:sz w:val="18"/>
                <w:szCs w:val="18"/>
              </w:rPr>
              <w:t>Child Carers</w:t>
            </w:r>
          </w:p>
        </w:tc>
        <w:tc>
          <w:tcPr>
            <w:tcW w:w="1322" w:type="dxa"/>
          </w:tcPr>
          <w:p w14:paraId="146E4B2A" w14:textId="77777777" w:rsidR="003D24A5" w:rsidRPr="0068274C" w:rsidRDefault="003D24A5" w:rsidP="00632BB2">
            <w:pPr>
              <w:jc w:val="right"/>
              <w:rPr>
                <w:sz w:val="18"/>
                <w:szCs w:val="18"/>
              </w:rPr>
            </w:pPr>
            <w:r w:rsidRPr="0068274C">
              <w:rPr>
                <w:sz w:val="18"/>
                <w:szCs w:val="18"/>
              </w:rPr>
              <w:t>4221</w:t>
            </w:r>
          </w:p>
          <w:p w14:paraId="61209D0F" w14:textId="7FD73958" w:rsidR="003D24A5" w:rsidRPr="0068274C" w:rsidRDefault="003D24A5" w:rsidP="00632BB2">
            <w:pPr>
              <w:jc w:val="right"/>
              <w:rPr>
                <w:sz w:val="18"/>
                <w:szCs w:val="18"/>
              </w:rPr>
            </w:pPr>
            <w:r w:rsidRPr="0068274C">
              <w:rPr>
                <w:sz w:val="18"/>
                <w:szCs w:val="18"/>
              </w:rPr>
              <w:t>Education Aides</w:t>
            </w:r>
          </w:p>
        </w:tc>
        <w:tc>
          <w:tcPr>
            <w:tcW w:w="1295" w:type="dxa"/>
          </w:tcPr>
          <w:p w14:paraId="5EAC2D21" w14:textId="77777777" w:rsidR="003D24A5" w:rsidRPr="0068274C" w:rsidRDefault="003D24A5" w:rsidP="00632BB2">
            <w:pPr>
              <w:jc w:val="right"/>
              <w:rPr>
                <w:sz w:val="18"/>
                <w:szCs w:val="18"/>
              </w:rPr>
            </w:pPr>
            <w:r w:rsidRPr="0068274C">
              <w:rPr>
                <w:sz w:val="18"/>
                <w:szCs w:val="18"/>
              </w:rPr>
              <w:t>2411</w:t>
            </w:r>
          </w:p>
          <w:p w14:paraId="3B362E6D" w14:textId="46DDAAC5" w:rsidR="003D24A5" w:rsidRPr="0068274C" w:rsidRDefault="003D24A5" w:rsidP="00632BB2">
            <w:pPr>
              <w:jc w:val="right"/>
              <w:rPr>
                <w:sz w:val="18"/>
                <w:szCs w:val="18"/>
              </w:rPr>
            </w:pPr>
            <w:r w:rsidRPr="0068274C">
              <w:rPr>
                <w:sz w:val="18"/>
                <w:szCs w:val="18"/>
              </w:rPr>
              <w:t xml:space="preserve">Early Childhood (Pre-primary School Teachers) </w:t>
            </w:r>
          </w:p>
        </w:tc>
        <w:tc>
          <w:tcPr>
            <w:tcW w:w="1295" w:type="dxa"/>
          </w:tcPr>
          <w:p w14:paraId="62ED609A" w14:textId="77777777" w:rsidR="003D24A5" w:rsidRPr="0068274C" w:rsidRDefault="003D24A5" w:rsidP="00632BB2">
            <w:pPr>
              <w:jc w:val="right"/>
              <w:rPr>
                <w:sz w:val="18"/>
                <w:szCs w:val="18"/>
              </w:rPr>
            </w:pPr>
            <w:r w:rsidRPr="0068274C">
              <w:rPr>
                <w:sz w:val="18"/>
                <w:szCs w:val="18"/>
              </w:rPr>
              <w:t>1341</w:t>
            </w:r>
          </w:p>
          <w:p w14:paraId="289FED9B" w14:textId="5C4871DF" w:rsidR="003D24A5" w:rsidRPr="0068274C" w:rsidRDefault="003D24A5" w:rsidP="00632BB2">
            <w:pPr>
              <w:jc w:val="right"/>
              <w:rPr>
                <w:sz w:val="18"/>
                <w:szCs w:val="18"/>
              </w:rPr>
            </w:pPr>
            <w:r w:rsidRPr="0068274C">
              <w:rPr>
                <w:sz w:val="18"/>
                <w:szCs w:val="18"/>
              </w:rPr>
              <w:t>Child Care Centre Managers</w:t>
            </w:r>
          </w:p>
        </w:tc>
        <w:tc>
          <w:tcPr>
            <w:tcW w:w="1295" w:type="dxa"/>
          </w:tcPr>
          <w:p w14:paraId="30FF8B5B" w14:textId="08022D87" w:rsidR="003D24A5" w:rsidRPr="0068274C" w:rsidRDefault="003D24A5" w:rsidP="00632BB2">
            <w:pPr>
              <w:jc w:val="right"/>
              <w:rPr>
                <w:sz w:val="18"/>
                <w:szCs w:val="18"/>
              </w:rPr>
            </w:pPr>
            <w:r w:rsidRPr="0068274C">
              <w:rPr>
                <w:sz w:val="18"/>
                <w:szCs w:val="18"/>
              </w:rPr>
              <w:t>Total ECEC Occupations</w:t>
            </w:r>
          </w:p>
        </w:tc>
        <w:tc>
          <w:tcPr>
            <w:tcW w:w="1295" w:type="dxa"/>
          </w:tcPr>
          <w:p w14:paraId="3EB0AB6B" w14:textId="6659C938" w:rsidR="003D24A5" w:rsidRPr="0068274C" w:rsidRDefault="009653BF" w:rsidP="00632BB2">
            <w:pPr>
              <w:jc w:val="right"/>
              <w:rPr>
                <w:sz w:val="18"/>
                <w:szCs w:val="18"/>
              </w:rPr>
            </w:pPr>
            <w:r w:rsidRPr="0068274C">
              <w:rPr>
                <w:sz w:val="18"/>
                <w:szCs w:val="18"/>
              </w:rPr>
              <w:t>All Occupations</w:t>
            </w:r>
          </w:p>
        </w:tc>
      </w:tr>
      <w:tr w:rsidR="0072174E" w:rsidRPr="00B26C3D" w14:paraId="24883037" w14:textId="27210F88" w:rsidTr="0072174E">
        <w:trPr>
          <w:trHeight w:val="381"/>
        </w:trPr>
        <w:tc>
          <w:tcPr>
            <w:tcW w:w="1560" w:type="dxa"/>
          </w:tcPr>
          <w:p w14:paraId="1A4E77E5" w14:textId="1C3EDEAC" w:rsidR="0072174E" w:rsidRPr="00632BB2" w:rsidRDefault="0072174E" w:rsidP="0072174E">
            <w:pPr>
              <w:rPr>
                <w:sz w:val="18"/>
                <w:szCs w:val="18"/>
              </w:rPr>
            </w:pPr>
            <w:r w:rsidRPr="00632BB2">
              <w:rPr>
                <w:sz w:val="18"/>
                <w:szCs w:val="18"/>
              </w:rPr>
              <w:t>Average age</w:t>
            </w:r>
          </w:p>
        </w:tc>
        <w:tc>
          <w:tcPr>
            <w:tcW w:w="964" w:type="dxa"/>
          </w:tcPr>
          <w:p w14:paraId="4F5A5CE3" w14:textId="2717B931" w:rsidR="0072174E" w:rsidRPr="00632BB2" w:rsidRDefault="0072174E" w:rsidP="00632BB2">
            <w:pPr>
              <w:jc w:val="right"/>
              <w:rPr>
                <w:sz w:val="18"/>
                <w:szCs w:val="18"/>
              </w:rPr>
            </w:pPr>
            <w:r w:rsidRPr="00632BB2">
              <w:rPr>
                <w:sz w:val="18"/>
                <w:szCs w:val="18"/>
              </w:rPr>
              <w:t>34</w:t>
            </w:r>
          </w:p>
        </w:tc>
        <w:tc>
          <w:tcPr>
            <w:tcW w:w="1322" w:type="dxa"/>
          </w:tcPr>
          <w:p w14:paraId="58AA625B" w14:textId="54286451" w:rsidR="0072174E" w:rsidRPr="00632BB2" w:rsidRDefault="0072174E" w:rsidP="00632BB2">
            <w:pPr>
              <w:jc w:val="right"/>
              <w:rPr>
                <w:sz w:val="18"/>
                <w:szCs w:val="18"/>
              </w:rPr>
            </w:pPr>
            <w:r w:rsidRPr="00632BB2">
              <w:rPr>
                <w:sz w:val="18"/>
                <w:szCs w:val="18"/>
              </w:rPr>
              <w:t>45</w:t>
            </w:r>
          </w:p>
        </w:tc>
        <w:tc>
          <w:tcPr>
            <w:tcW w:w="1295" w:type="dxa"/>
          </w:tcPr>
          <w:p w14:paraId="1B8C1A7F" w14:textId="2C9D5743" w:rsidR="0072174E" w:rsidRPr="00632BB2" w:rsidRDefault="0072174E" w:rsidP="00632BB2">
            <w:pPr>
              <w:jc w:val="right"/>
              <w:rPr>
                <w:sz w:val="18"/>
                <w:szCs w:val="18"/>
              </w:rPr>
            </w:pPr>
            <w:r w:rsidRPr="00632BB2">
              <w:rPr>
                <w:sz w:val="18"/>
                <w:szCs w:val="18"/>
              </w:rPr>
              <w:t>40</w:t>
            </w:r>
          </w:p>
        </w:tc>
        <w:tc>
          <w:tcPr>
            <w:tcW w:w="1295" w:type="dxa"/>
          </w:tcPr>
          <w:p w14:paraId="68E14104" w14:textId="2B296508" w:rsidR="0072174E" w:rsidRPr="00632BB2" w:rsidRDefault="0072174E" w:rsidP="00632BB2">
            <w:pPr>
              <w:jc w:val="right"/>
              <w:rPr>
                <w:sz w:val="18"/>
                <w:szCs w:val="18"/>
              </w:rPr>
            </w:pPr>
            <w:r w:rsidRPr="00632BB2">
              <w:rPr>
                <w:sz w:val="18"/>
                <w:szCs w:val="18"/>
              </w:rPr>
              <w:t>41</w:t>
            </w:r>
          </w:p>
        </w:tc>
        <w:tc>
          <w:tcPr>
            <w:tcW w:w="1295" w:type="dxa"/>
          </w:tcPr>
          <w:p w14:paraId="293171D7" w14:textId="6E15A684" w:rsidR="0072174E" w:rsidRPr="00632BB2" w:rsidRDefault="0072174E" w:rsidP="00632BB2">
            <w:pPr>
              <w:jc w:val="right"/>
              <w:rPr>
                <w:sz w:val="18"/>
                <w:szCs w:val="18"/>
              </w:rPr>
            </w:pPr>
            <w:r w:rsidRPr="00632BB2">
              <w:rPr>
                <w:sz w:val="18"/>
                <w:szCs w:val="18"/>
              </w:rPr>
              <w:t>37</w:t>
            </w:r>
          </w:p>
        </w:tc>
        <w:tc>
          <w:tcPr>
            <w:tcW w:w="1295" w:type="dxa"/>
          </w:tcPr>
          <w:p w14:paraId="3A5D97EB" w14:textId="4FA20226" w:rsidR="0072174E" w:rsidRPr="00632BB2" w:rsidRDefault="0072174E" w:rsidP="00632BB2">
            <w:pPr>
              <w:jc w:val="right"/>
              <w:rPr>
                <w:sz w:val="18"/>
                <w:szCs w:val="18"/>
              </w:rPr>
            </w:pPr>
            <w:r w:rsidRPr="00632BB2">
              <w:rPr>
                <w:sz w:val="18"/>
                <w:szCs w:val="18"/>
              </w:rPr>
              <w:t>40.8</w:t>
            </w:r>
          </w:p>
        </w:tc>
      </w:tr>
      <w:tr w:rsidR="0072174E" w:rsidRPr="00B26C3D" w14:paraId="55D8515E" w14:textId="653A7E67" w:rsidTr="0072174E">
        <w:trPr>
          <w:cnfStyle w:val="000000010000" w:firstRow="0" w:lastRow="0" w:firstColumn="0" w:lastColumn="0" w:oddVBand="0" w:evenVBand="0" w:oddHBand="0" w:evenHBand="1" w:firstRowFirstColumn="0" w:firstRowLastColumn="0" w:lastRowFirstColumn="0" w:lastRowLastColumn="0"/>
          <w:trHeight w:val="381"/>
        </w:trPr>
        <w:tc>
          <w:tcPr>
            <w:tcW w:w="1560" w:type="dxa"/>
          </w:tcPr>
          <w:p w14:paraId="17AE67D4" w14:textId="32F11CBD" w:rsidR="0072174E" w:rsidRPr="00632BB2" w:rsidRDefault="0072174E" w:rsidP="0072174E">
            <w:pPr>
              <w:rPr>
                <w:sz w:val="18"/>
                <w:szCs w:val="18"/>
              </w:rPr>
            </w:pPr>
            <w:r w:rsidRPr="00632BB2">
              <w:rPr>
                <w:sz w:val="18"/>
                <w:szCs w:val="18"/>
              </w:rPr>
              <w:t>Female (%)</w:t>
            </w:r>
          </w:p>
        </w:tc>
        <w:tc>
          <w:tcPr>
            <w:tcW w:w="964" w:type="dxa"/>
          </w:tcPr>
          <w:p w14:paraId="18D1EC30" w14:textId="153950BC" w:rsidR="0072174E" w:rsidRPr="00632BB2" w:rsidRDefault="0072174E" w:rsidP="00632BB2">
            <w:pPr>
              <w:jc w:val="right"/>
              <w:rPr>
                <w:sz w:val="18"/>
                <w:szCs w:val="18"/>
              </w:rPr>
            </w:pPr>
            <w:r w:rsidRPr="00632BB2">
              <w:rPr>
                <w:sz w:val="18"/>
                <w:szCs w:val="18"/>
              </w:rPr>
              <w:t>95.6%</w:t>
            </w:r>
          </w:p>
        </w:tc>
        <w:tc>
          <w:tcPr>
            <w:tcW w:w="1322" w:type="dxa"/>
          </w:tcPr>
          <w:p w14:paraId="485E9B71" w14:textId="52DB0979" w:rsidR="0072174E" w:rsidRPr="00632BB2" w:rsidRDefault="0072174E" w:rsidP="00632BB2">
            <w:pPr>
              <w:jc w:val="right"/>
              <w:rPr>
                <w:sz w:val="18"/>
                <w:szCs w:val="18"/>
              </w:rPr>
            </w:pPr>
            <w:r w:rsidRPr="00632BB2">
              <w:rPr>
                <w:sz w:val="18"/>
                <w:szCs w:val="18"/>
              </w:rPr>
              <w:t>88.6%</w:t>
            </w:r>
          </w:p>
        </w:tc>
        <w:tc>
          <w:tcPr>
            <w:tcW w:w="1295" w:type="dxa"/>
          </w:tcPr>
          <w:p w14:paraId="707E2C1E" w14:textId="3807443E" w:rsidR="0072174E" w:rsidRPr="00632BB2" w:rsidRDefault="0072174E" w:rsidP="00632BB2">
            <w:pPr>
              <w:jc w:val="right"/>
              <w:rPr>
                <w:sz w:val="18"/>
                <w:szCs w:val="18"/>
              </w:rPr>
            </w:pPr>
            <w:r w:rsidRPr="00632BB2">
              <w:rPr>
                <w:sz w:val="18"/>
                <w:szCs w:val="18"/>
              </w:rPr>
              <w:t>97.6%</w:t>
            </w:r>
          </w:p>
        </w:tc>
        <w:tc>
          <w:tcPr>
            <w:tcW w:w="1295" w:type="dxa"/>
          </w:tcPr>
          <w:p w14:paraId="336F7495" w14:textId="09D1DDD6" w:rsidR="0072174E" w:rsidRPr="00632BB2" w:rsidRDefault="0072174E" w:rsidP="00632BB2">
            <w:pPr>
              <w:jc w:val="right"/>
              <w:rPr>
                <w:sz w:val="18"/>
                <w:szCs w:val="18"/>
              </w:rPr>
            </w:pPr>
            <w:r w:rsidRPr="00632BB2">
              <w:rPr>
                <w:sz w:val="18"/>
                <w:szCs w:val="18"/>
              </w:rPr>
              <w:t>91.8%</w:t>
            </w:r>
          </w:p>
        </w:tc>
        <w:tc>
          <w:tcPr>
            <w:tcW w:w="1295" w:type="dxa"/>
          </w:tcPr>
          <w:p w14:paraId="53E49E32" w14:textId="53381004" w:rsidR="0072174E" w:rsidRPr="00632BB2" w:rsidRDefault="0072174E" w:rsidP="00632BB2">
            <w:pPr>
              <w:jc w:val="right"/>
              <w:rPr>
                <w:sz w:val="18"/>
                <w:szCs w:val="18"/>
              </w:rPr>
            </w:pPr>
            <w:r w:rsidRPr="00632BB2">
              <w:rPr>
                <w:sz w:val="18"/>
                <w:szCs w:val="18"/>
              </w:rPr>
              <w:t>93.3%</w:t>
            </w:r>
          </w:p>
        </w:tc>
        <w:tc>
          <w:tcPr>
            <w:tcW w:w="1295" w:type="dxa"/>
          </w:tcPr>
          <w:p w14:paraId="1010352D" w14:textId="28CB48EA" w:rsidR="0072174E" w:rsidRPr="00632BB2" w:rsidRDefault="0072174E" w:rsidP="00632BB2">
            <w:pPr>
              <w:jc w:val="right"/>
              <w:rPr>
                <w:sz w:val="18"/>
                <w:szCs w:val="18"/>
              </w:rPr>
            </w:pPr>
            <w:r w:rsidRPr="00632BB2">
              <w:rPr>
                <w:sz w:val="18"/>
                <w:szCs w:val="18"/>
              </w:rPr>
              <w:t>48.8%</w:t>
            </w:r>
          </w:p>
        </w:tc>
      </w:tr>
      <w:tr w:rsidR="0072174E" w:rsidRPr="00B26C3D" w14:paraId="2DBE883B" w14:textId="62A59E7D" w:rsidTr="0072174E">
        <w:trPr>
          <w:trHeight w:val="366"/>
        </w:trPr>
        <w:tc>
          <w:tcPr>
            <w:tcW w:w="1560" w:type="dxa"/>
          </w:tcPr>
          <w:p w14:paraId="66B669CC" w14:textId="66E85799" w:rsidR="0072174E" w:rsidRPr="00632BB2" w:rsidRDefault="0072174E" w:rsidP="0072174E">
            <w:pPr>
              <w:rPr>
                <w:sz w:val="18"/>
                <w:szCs w:val="18"/>
              </w:rPr>
            </w:pPr>
            <w:r w:rsidRPr="00632BB2">
              <w:rPr>
                <w:sz w:val="18"/>
                <w:szCs w:val="18"/>
              </w:rPr>
              <w:t>Aboriginal and/or Torres Strait Islander (%)</w:t>
            </w:r>
          </w:p>
        </w:tc>
        <w:tc>
          <w:tcPr>
            <w:tcW w:w="964" w:type="dxa"/>
          </w:tcPr>
          <w:p w14:paraId="7F05B177" w14:textId="19B8FC39" w:rsidR="0072174E" w:rsidRPr="00632BB2" w:rsidRDefault="0072174E" w:rsidP="00632BB2">
            <w:pPr>
              <w:jc w:val="right"/>
              <w:rPr>
                <w:sz w:val="18"/>
                <w:szCs w:val="18"/>
              </w:rPr>
            </w:pPr>
            <w:r w:rsidRPr="00632BB2">
              <w:rPr>
                <w:sz w:val="18"/>
                <w:szCs w:val="18"/>
              </w:rPr>
              <w:t>2.9%</w:t>
            </w:r>
          </w:p>
        </w:tc>
        <w:tc>
          <w:tcPr>
            <w:tcW w:w="1322" w:type="dxa"/>
          </w:tcPr>
          <w:p w14:paraId="187613D3" w14:textId="68B0C78F" w:rsidR="0072174E" w:rsidRPr="00632BB2" w:rsidRDefault="0072174E" w:rsidP="00632BB2">
            <w:pPr>
              <w:jc w:val="right"/>
              <w:rPr>
                <w:sz w:val="18"/>
                <w:szCs w:val="18"/>
              </w:rPr>
            </w:pPr>
            <w:r w:rsidRPr="00632BB2">
              <w:rPr>
                <w:sz w:val="18"/>
                <w:szCs w:val="18"/>
              </w:rPr>
              <w:t>5.7%</w:t>
            </w:r>
          </w:p>
        </w:tc>
        <w:tc>
          <w:tcPr>
            <w:tcW w:w="1295" w:type="dxa"/>
          </w:tcPr>
          <w:p w14:paraId="04E34738" w14:textId="60E4A345" w:rsidR="0072174E" w:rsidRPr="00632BB2" w:rsidRDefault="0072174E" w:rsidP="00632BB2">
            <w:pPr>
              <w:jc w:val="right"/>
              <w:rPr>
                <w:sz w:val="18"/>
                <w:szCs w:val="18"/>
              </w:rPr>
            </w:pPr>
            <w:r w:rsidRPr="00632BB2">
              <w:rPr>
                <w:sz w:val="18"/>
                <w:szCs w:val="18"/>
              </w:rPr>
              <w:t>1.7%</w:t>
            </w:r>
          </w:p>
        </w:tc>
        <w:tc>
          <w:tcPr>
            <w:tcW w:w="1295" w:type="dxa"/>
          </w:tcPr>
          <w:p w14:paraId="1E2FE059" w14:textId="3E58849A" w:rsidR="0072174E" w:rsidRPr="00632BB2" w:rsidRDefault="0072174E" w:rsidP="00632BB2">
            <w:pPr>
              <w:jc w:val="right"/>
              <w:rPr>
                <w:sz w:val="18"/>
                <w:szCs w:val="18"/>
              </w:rPr>
            </w:pPr>
            <w:r w:rsidRPr="00632BB2">
              <w:rPr>
                <w:sz w:val="18"/>
                <w:szCs w:val="18"/>
              </w:rPr>
              <w:t>2.5%</w:t>
            </w:r>
          </w:p>
        </w:tc>
        <w:tc>
          <w:tcPr>
            <w:tcW w:w="1295" w:type="dxa"/>
          </w:tcPr>
          <w:p w14:paraId="3C530369" w14:textId="64E3EF6B" w:rsidR="0072174E" w:rsidRPr="00632BB2" w:rsidRDefault="0072174E" w:rsidP="00632BB2">
            <w:pPr>
              <w:jc w:val="right"/>
              <w:rPr>
                <w:sz w:val="18"/>
                <w:szCs w:val="18"/>
              </w:rPr>
            </w:pPr>
            <w:r w:rsidRPr="00632BB2">
              <w:rPr>
                <w:sz w:val="18"/>
                <w:szCs w:val="18"/>
              </w:rPr>
              <w:t>3.7%</w:t>
            </w:r>
          </w:p>
        </w:tc>
        <w:tc>
          <w:tcPr>
            <w:tcW w:w="1295" w:type="dxa"/>
          </w:tcPr>
          <w:p w14:paraId="06BE0272" w14:textId="1764D628" w:rsidR="0072174E" w:rsidRPr="00632BB2" w:rsidRDefault="0072174E" w:rsidP="00632BB2">
            <w:pPr>
              <w:jc w:val="right"/>
              <w:rPr>
                <w:sz w:val="18"/>
                <w:szCs w:val="18"/>
              </w:rPr>
            </w:pPr>
            <w:r w:rsidRPr="00632BB2">
              <w:rPr>
                <w:sz w:val="18"/>
                <w:szCs w:val="18"/>
              </w:rPr>
              <w:t>1.7%</w:t>
            </w:r>
          </w:p>
        </w:tc>
      </w:tr>
      <w:tr w:rsidR="0072174E" w:rsidRPr="00B26C3D" w14:paraId="4FAA28DE" w14:textId="77777777" w:rsidTr="0072174E">
        <w:trPr>
          <w:cnfStyle w:val="000000010000" w:firstRow="0" w:lastRow="0" w:firstColumn="0" w:lastColumn="0" w:oddVBand="0" w:evenVBand="0" w:oddHBand="0" w:evenHBand="1" w:firstRowFirstColumn="0" w:firstRowLastColumn="0" w:lastRowFirstColumn="0" w:lastRowLastColumn="0"/>
          <w:trHeight w:val="366"/>
        </w:trPr>
        <w:tc>
          <w:tcPr>
            <w:tcW w:w="1560" w:type="dxa"/>
          </w:tcPr>
          <w:p w14:paraId="6CCD2183" w14:textId="7A7579B8" w:rsidR="0072174E" w:rsidRPr="00632BB2" w:rsidRDefault="0072174E" w:rsidP="0072174E">
            <w:pPr>
              <w:rPr>
                <w:sz w:val="18"/>
                <w:szCs w:val="18"/>
              </w:rPr>
            </w:pPr>
            <w:r w:rsidRPr="00632BB2">
              <w:rPr>
                <w:sz w:val="18"/>
                <w:szCs w:val="18"/>
              </w:rPr>
              <w:t>Has a certificate III and above (%)</w:t>
            </w:r>
          </w:p>
        </w:tc>
        <w:tc>
          <w:tcPr>
            <w:tcW w:w="964" w:type="dxa"/>
          </w:tcPr>
          <w:p w14:paraId="148B93A1" w14:textId="127880CB" w:rsidR="0072174E" w:rsidRPr="00632BB2" w:rsidRDefault="0072174E" w:rsidP="00632BB2">
            <w:pPr>
              <w:jc w:val="right"/>
              <w:rPr>
                <w:sz w:val="18"/>
                <w:szCs w:val="18"/>
              </w:rPr>
            </w:pPr>
            <w:r w:rsidRPr="00632BB2">
              <w:rPr>
                <w:sz w:val="18"/>
                <w:szCs w:val="18"/>
              </w:rPr>
              <w:t>79.1%</w:t>
            </w:r>
          </w:p>
        </w:tc>
        <w:tc>
          <w:tcPr>
            <w:tcW w:w="1322" w:type="dxa"/>
          </w:tcPr>
          <w:p w14:paraId="49AB56D6" w14:textId="33F1B16E" w:rsidR="0072174E" w:rsidRPr="00632BB2" w:rsidRDefault="0072174E" w:rsidP="00632BB2">
            <w:pPr>
              <w:jc w:val="right"/>
              <w:rPr>
                <w:sz w:val="18"/>
                <w:szCs w:val="18"/>
              </w:rPr>
            </w:pPr>
            <w:r w:rsidRPr="00632BB2">
              <w:rPr>
                <w:sz w:val="18"/>
                <w:szCs w:val="18"/>
              </w:rPr>
              <w:t>71.3%</w:t>
            </w:r>
          </w:p>
        </w:tc>
        <w:tc>
          <w:tcPr>
            <w:tcW w:w="1295" w:type="dxa"/>
          </w:tcPr>
          <w:p w14:paraId="4D2F374B" w14:textId="5A309FF4" w:rsidR="0072174E" w:rsidRPr="00632BB2" w:rsidRDefault="0072174E" w:rsidP="00632BB2">
            <w:pPr>
              <w:jc w:val="right"/>
              <w:rPr>
                <w:sz w:val="18"/>
                <w:szCs w:val="18"/>
              </w:rPr>
            </w:pPr>
            <w:r w:rsidRPr="00632BB2">
              <w:rPr>
                <w:sz w:val="18"/>
                <w:szCs w:val="18"/>
              </w:rPr>
              <w:t>95.6%</w:t>
            </w:r>
          </w:p>
        </w:tc>
        <w:tc>
          <w:tcPr>
            <w:tcW w:w="1295" w:type="dxa"/>
          </w:tcPr>
          <w:p w14:paraId="27691323" w14:textId="16752910" w:rsidR="0072174E" w:rsidRPr="00632BB2" w:rsidRDefault="0072174E" w:rsidP="00632BB2">
            <w:pPr>
              <w:jc w:val="right"/>
              <w:rPr>
                <w:sz w:val="18"/>
                <w:szCs w:val="18"/>
              </w:rPr>
            </w:pPr>
            <w:r w:rsidRPr="00632BB2">
              <w:rPr>
                <w:sz w:val="18"/>
                <w:szCs w:val="18"/>
              </w:rPr>
              <w:t>93.1%</w:t>
            </w:r>
          </w:p>
        </w:tc>
        <w:tc>
          <w:tcPr>
            <w:tcW w:w="1295" w:type="dxa"/>
          </w:tcPr>
          <w:p w14:paraId="050FE5DB" w14:textId="27B500FD" w:rsidR="0072174E" w:rsidRPr="00632BB2" w:rsidRDefault="0072174E" w:rsidP="00632BB2">
            <w:pPr>
              <w:jc w:val="right"/>
              <w:rPr>
                <w:sz w:val="18"/>
                <w:szCs w:val="18"/>
              </w:rPr>
            </w:pPr>
            <w:r w:rsidRPr="00632BB2">
              <w:rPr>
                <w:sz w:val="18"/>
                <w:szCs w:val="18"/>
              </w:rPr>
              <w:t>78.7%</w:t>
            </w:r>
          </w:p>
        </w:tc>
        <w:tc>
          <w:tcPr>
            <w:tcW w:w="1295" w:type="dxa"/>
          </w:tcPr>
          <w:p w14:paraId="4DF1C89E" w14:textId="65F3A9E6" w:rsidR="0072174E" w:rsidRPr="00632BB2" w:rsidRDefault="0072174E" w:rsidP="00632BB2">
            <w:pPr>
              <w:jc w:val="right"/>
              <w:rPr>
                <w:sz w:val="18"/>
                <w:szCs w:val="18"/>
              </w:rPr>
            </w:pPr>
            <w:r w:rsidRPr="00632BB2">
              <w:rPr>
                <w:sz w:val="18"/>
                <w:szCs w:val="18"/>
              </w:rPr>
              <w:t>66.1%</w:t>
            </w:r>
          </w:p>
        </w:tc>
      </w:tr>
      <w:tr w:rsidR="0072174E" w:rsidRPr="00B26C3D" w14:paraId="584AA4F9" w14:textId="77777777" w:rsidTr="0072174E">
        <w:trPr>
          <w:trHeight w:val="366"/>
        </w:trPr>
        <w:tc>
          <w:tcPr>
            <w:tcW w:w="1560" w:type="dxa"/>
          </w:tcPr>
          <w:p w14:paraId="4DEEB3D3" w14:textId="07CB92B1" w:rsidR="0072174E" w:rsidRPr="00632BB2" w:rsidRDefault="0072174E" w:rsidP="0072174E">
            <w:pPr>
              <w:rPr>
                <w:sz w:val="18"/>
                <w:szCs w:val="18"/>
              </w:rPr>
            </w:pPr>
            <w:r w:rsidRPr="00632BB2">
              <w:rPr>
                <w:sz w:val="18"/>
                <w:szCs w:val="18"/>
              </w:rPr>
              <w:t>Born overseas (%)</w:t>
            </w:r>
          </w:p>
        </w:tc>
        <w:tc>
          <w:tcPr>
            <w:tcW w:w="964" w:type="dxa"/>
          </w:tcPr>
          <w:p w14:paraId="59758410" w14:textId="4FC9BB0A" w:rsidR="0072174E" w:rsidRPr="00632BB2" w:rsidRDefault="0072174E" w:rsidP="00632BB2">
            <w:pPr>
              <w:jc w:val="right"/>
              <w:rPr>
                <w:sz w:val="18"/>
                <w:szCs w:val="18"/>
              </w:rPr>
            </w:pPr>
            <w:r w:rsidRPr="00632BB2">
              <w:rPr>
                <w:sz w:val="18"/>
                <w:szCs w:val="18"/>
              </w:rPr>
              <w:t>37.4%</w:t>
            </w:r>
          </w:p>
        </w:tc>
        <w:tc>
          <w:tcPr>
            <w:tcW w:w="1322" w:type="dxa"/>
          </w:tcPr>
          <w:p w14:paraId="0C582E8F" w14:textId="09194A59" w:rsidR="0072174E" w:rsidRPr="00632BB2" w:rsidRDefault="0072174E" w:rsidP="00632BB2">
            <w:pPr>
              <w:jc w:val="right"/>
              <w:rPr>
                <w:sz w:val="18"/>
                <w:szCs w:val="18"/>
              </w:rPr>
            </w:pPr>
            <w:r w:rsidRPr="00632BB2">
              <w:rPr>
                <w:sz w:val="18"/>
                <w:szCs w:val="18"/>
              </w:rPr>
              <w:t>20.8%</w:t>
            </w:r>
          </w:p>
        </w:tc>
        <w:tc>
          <w:tcPr>
            <w:tcW w:w="1295" w:type="dxa"/>
          </w:tcPr>
          <w:p w14:paraId="2DFEE823" w14:textId="2A45F866" w:rsidR="0072174E" w:rsidRPr="00632BB2" w:rsidRDefault="0072174E" w:rsidP="00632BB2">
            <w:pPr>
              <w:jc w:val="right"/>
              <w:rPr>
                <w:sz w:val="18"/>
                <w:szCs w:val="18"/>
              </w:rPr>
            </w:pPr>
            <w:r w:rsidRPr="00632BB2">
              <w:rPr>
                <w:sz w:val="18"/>
                <w:szCs w:val="18"/>
              </w:rPr>
              <w:t>29.0%</w:t>
            </w:r>
          </w:p>
        </w:tc>
        <w:tc>
          <w:tcPr>
            <w:tcW w:w="1295" w:type="dxa"/>
          </w:tcPr>
          <w:p w14:paraId="271C456F" w14:textId="59572025" w:rsidR="0072174E" w:rsidRPr="00632BB2" w:rsidRDefault="0072174E" w:rsidP="00632BB2">
            <w:pPr>
              <w:jc w:val="right"/>
              <w:rPr>
                <w:sz w:val="18"/>
                <w:szCs w:val="18"/>
              </w:rPr>
            </w:pPr>
            <w:r w:rsidRPr="00632BB2">
              <w:rPr>
                <w:sz w:val="18"/>
                <w:szCs w:val="18"/>
              </w:rPr>
              <w:t>25.9%</w:t>
            </w:r>
          </w:p>
        </w:tc>
        <w:tc>
          <w:tcPr>
            <w:tcW w:w="1295" w:type="dxa"/>
          </w:tcPr>
          <w:p w14:paraId="02A06814" w14:textId="7E790307" w:rsidR="0072174E" w:rsidRPr="00632BB2" w:rsidRDefault="0072174E" w:rsidP="00632BB2">
            <w:pPr>
              <w:jc w:val="right"/>
              <w:rPr>
                <w:sz w:val="18"/>
                <w:szCs w:val="18"/>
              </w:rPr>
            </w:pPr>
            <w:r w:rsidRPr="00632BB2">
              <w:rPr>
                <w:sz w:val="18"/>
                <w:szCs w:val="18"/>
              </w:rPr>
              <w:t>30.5%</w:t>
            </w:r>
          </w:p>
        </w:tc>
        <w:tc>
          <w:tcPr>
            <w:tcW w:w="1295" w:type="dxa"/>
          </w:tcPr>
          <w:p w14:paraId="5EC575F2" w14:textId="037630B6" w:rsidR="0072174E" w:rsidRPr="00632BB2" w:rsidRDefault="0072174E" w:rsidP="00632BB2">
            <w:pPr>
              <w:jc w:val="right"/>
              <w:rPr>
                <w:sz w:val="18"/>
                <w:szCs w:val="18"/>
              </w:rPr>
            </w:pPr>
            <w:r w:rsidRPr="00632BB2">
              <w:rPr>
                <w:sz w:val="18"/>
                <w:szCs w:val="18"/>
              </w:rPr>
              <w:t>28.5%</w:t>
            </w:r>
          </w:p>
        </w:tc>
      </w:tr>
      <w:tr w:rsidR="0072174E" w:rsidRPr="00B26C3D" w14:paraId="64EF5490" w14:textId="77777777" w:rsidTr="0072174E">
        <w:trPr>
          <w:cnfStyle w:val="000000010000" w:firstRow="0" w:lastRow="0" w:firstColumn="0" w:lastColumn="0" w:oddVBand="0" w:evenVBand="0" w:oddHBand="0" w:evenHBand="1" w:firstRowFirstColumn="0" w:firstRowLastColumn="0" w:lastRowFirstColumn="0" w:lastRowLastColumn="0"/>
          <w:trHeight w:val="366"/>
        </w:trPr>
        <w:tc>
          <w:tcPr>
            <w:tcW w:w="1560" w:type="dxa"/>
          </w:tcPr>
          <w:p w14:paraId="42A7D00E" w14:textId="27C733BE" w:rsidR="0072174E" w:rsidRPr="00632BB2" w:rsidRDefault="0072174E" w:rsidP="0072174E">
            <w:pPr>
              <w:rPr>
                <w:sz w:val="18"/>
                <w:szCs w:val="18"/>
              </w:rPr>
            </w:pPr>
            <w:r w:rsidRPr="00632BB2">
              <w:rPr>
                <w:sz w:val="18"/>
                <w:szCs w:val="18"/>
              </w:rPr>
              <w:t>Main language spoken other than English (%)</w:t>
            </w:r>
          </w:p>
        </w:tc>
        <w:tc>
          <w:tcPr>
            <w:tcW w:w="964" w:type="dxa"/>
          </w:tcPr>
          <w:p w14:paraId="3AE57CA2" w14:textId="683771AF" w:rsidR="0072174E" w:rsidRPr="00632BB2" w:rsidRDefault="0072174E" w:rsidP="00632BB2">
            <w:pPr>
              <w:jc w:val="right"/>
              <w:rPr>
                <w:sz w:val="18"/>
                <w:szCs w:val="18"/>
              </w:rPr>
            </w:pPr>
            <w:r w:rsidRPr="00632BB2">
              <w:rPr>
                <w:sz w:val="18"/>
                <w:szCs w:val="18"/>
              </w:rPr>
              <w:t>31.4%</w:t>
            </w:r>
          </w:p>
        </w:tc>
        <w:tc>
          <w:tcPr>
            <w:tcW w:w="1322" w:type="dxa"/>
          </w:tcPr>
          <w:p w14:paraId="10EB1AA3" w14:textId="32112FED" w:rsidR="0072174E" w:rsidRPr="00632BB2" w:rsidRDefault="0072174E" w:rsidP="00632BB2">
            <w:pPr>
              <w:jc w:val="right"/>
              <w:rPr>
                <w:sz w:val="18"/>
                <w:szCs w:val="18"/>
              </w:rPr>
            </w:pPr>
            <w:r w:rsidRPr="00632BB2">
              <w:rPr>
                <w:sz w:val="18"/>
                <w:szCs w:val="18"/>
              </w:rPr>
              <w:t>12.9%</w:t>
            </w:r>
          </w:p>
        </w:tc>
        <w:tc>
          <w:tcPr>
            <w:tcW w:w="1295" w:type="dxa"/>
          </w:tcPr>
          <w:p w14:paraId="26699324" w14:textId="58685968" w:rsidR="0072174E" w:rsidRPr="00632BB2" w:rsidRDefault="0072174E" w:rsidP="00632BB2">
            <w:pPr>
              <w:jc w:val="right"/>
              <w:rPr>
                <w:sz w:val="18"/>
                <w:szCs w:val="18"/>
              </w:rPr>
            </w:pPr>
            <w:r w:rsidRPr="00632BB2">
              <w:rPr>
                <w:sz w:val="18"/>
                <w:szCs w:val="18"/>
              </w:rPr>
              <w:t>21.7%</w:t>
            </w:r>
          </w:p>
        </w:tc>
        <w:tc>
          <w:tcPr>
            <w:tcW w:w="1295" w:type="dxa"/>
          </w:tcPr>
          <w:p w14:paraId="3B3EA133" w14:textId="363AE178" w:rsidR="0072174E" w:rsidRPr="00632BB2" w:rsidRDefault="0072174E" w:rsidP="00632BB2">
            <w:pPr>
              <w:jc w:val="right"/>
              <w:rPr>
                <w:sz w:val="18"/>
                <w:szCs w:val="18"/>
              </w:rPr>
            </w:pPr>
            <w:r w:rsidRPr="00632BB2">
              <w:rPr>
                <w:sz w:val="18"/>
                <w:szCs w:val="18"/>
              </w:rPr>
              <w:t>17.0%</w:t>
            </w:r>
          </w:p>
        </w:tc>
        <w:tc>
          <w:tcPr>
            <w:tcW w:w="1295" w:type="dxa"/>
          </w:tcPr>
          <w:p w14:paraId="6CBAE230" w14:textId="0BE887A6" w:rsidR="0072174E" w:rsidRPr="00632BB2" w:rsidRDefault="0072174E" w:rsidP="00632BB2">
            <w:pPr>
              <w:jc w:val="right"/>
              <w:rPr>
                <w:sz w:val="18"/>
                <w:szCs w:val="18"/>
              </w:rPr>
            </w:pPr>
            <w:r w:rsidRPr="00632BB2">
              <w:rPr>
                <w:sz w:val="18"/>
                <w:szCs w:val="18"/>
              </w:rPr>
              <w:t>23.6%</w:t>
            </w:r>
          </w:p>
        </w:tc>
        <w:tc>
          <w:tcPr>
            <w:tcW w:w="1295" w:type="dxa"/>
          </w:tcPr>
          <w:p w14:paraId="58844246" w14:textId="72A8909E" w:rsidR="0072174E" w:rsidRPr="00632BB2" w:rsidRDefault="0072174E" w:rsidP="00632BB2">
            <w:pPr>
              <w:jc w:val="right"/>
              <w:rPr>
                <w:sz w:val="18"/>
                <w:szCs w:val="18"/>
              </w:rPr>
            </w:pPr>
            <w:r w:rsidRPr="00632BB2">
              <w:rPr>
                <w:sz w:val="18"/>
                <w:szCs w:val="18"/>
              </w:rPr>
              <w:t>21.3%</w:t>
            </w:r>
          </w:p>
        </w:tc>
      </w:tr>
      <w:tr w:rsidR="0072174E" w:rsidRPr="00B26C3D" w14:paraId="5BAD1208" w14:textId="77777777" w:rsidTr="0072174E">
        <w:trPr>
          <w:trHeight w:val="366"/>
        </w:trPr>
        <w:tc>
          <w:tcPr>
            <w:tcW w:w="1560" w:type="dxa"/>
          </w:tcPr>
          <w:p w14:paraId="0CEE722F" w14:textId="2018D6A5" w:rsidR="0072174E" w:rsidRPr="00632BB2" w:rsidRDefault="0072174E" w:rsidP="0072174E">
            <w:pPr>
              <w:rPr>
                <w:sz w:val="18"/>
                <w:szCs w:val="18"/>
              </w:rPr>
            </w:pPr>
            <w:r w:rsidRPr="00632BB2">
              <w:rPr>
                <w:sz w:val="18"/>
                <w:szCs w:val="18"/>
              </w:rPr>
              <w:t>Has a long-term health condition (%)</w:t>
            </w:r>
          </w:p>
        </w:tc>
        <w:tc>
          <w:tcPr>
            <w:tcW w:w="964" w:type="dxa"/>
          </w:tcPr>
          <w:p w14:paraId="329F2A80" w14:textId="47C0E8C5" w:rsidR="0072174E" w:rsidRPr="00632BB2" w:rsidRDefault="0072174E" w:rsidP="00632BB2">
            <w:pPr>
              <w:jc w:val="right"/>
              <w:rPr>
                <w:sz w:val="18"/>
                <w:szCs w:val="18"/>
              </w:rPr>
            </w:pPr>
            <w:r w:rsidRPr="00632BB2">
              <w:rPr>
                <w:sz w:val="18"/>
                <w:szCs w:val="18"/>
              </w:rPr>
              <w:t>30.5%</w:t>
            </w:r>
          </w:p>
        </w:tc>
        <w:tc>
          <w:tcPr>
            <w:tcW w:w="1322" w:type="dxa"/>
          </w:tcPr>
          <w:p w14:paraId="1F2E3789" w14:textId="4EAEB2A5" w:rsidR="0072174E" w:rsidRPr="00632BB2" w:rsidRDefault="0072174E" w:rsidP="00632BB2">
            <w:pPr>
              <w:jc w:val="right"/>
              <w:rPr>
                <w:sz w:val="18"/>
                <w:szCs w:val="18"/>
              </w:rPr>
            </w:pPr>
            <w:r w:rsidRPr="00632BB2">
              <w:rPr>
                <w:sz w:val="18"/>
                <w:szCs w:val="18"/>
              </w:rPr>
              <w:t>36.7%</w:t>
            </w:r>
          </w:p>
        </w:tc>
        <w:tc>
          <w:tcPr>
            <w:tcW w:w="1295" w:type="dxa"/>
          </w:tcPr>
          <w:p w14:paraId="4B153DBD" w14:textId="1F083F0E" w:rsidR="0072174E" w:rsidRPr="00632BB2" w:rsidRDefault="0072174E" w:rsidP="00632BB2">
            <w:pPr>
              <w:jc w:val="right"/>
              <w:rPr>
                <w:sz w:val="18"/>
                <w:szCs w:val="18"/>
              </w:rPr>
            </w:pPr>
            <w:r w:rsidRPr="00632BB2">
              <w:rPr>
                <w:sz w:val="18"/>
                <w:szCs w:val="18"/>
              </w:rPr>
              <w:t>36.4%</w:t>
            </w:r>
          </w:p>
        </w:tc>
        <w:tc>
          <w:tcPr>
            <w:tcW w:w="1295" w:type="dxa"/>
          </w:tcPr>
          <w:p w14:paraId="08EE53A1" w14:textId="1A67D122" w:rsidR="0072174E" w:rsidRPr="00632BB2" w:rsidRDefault="0072174E" w:rsidP="00632BB2">
            <w:pPr>
              <w:jc w:val="right"/>
              <w:rPr>
                <w:sz w:val="18"/>
                <w:szCs w:val="18"/>
              </w:rPr>
            </w:pPr>
            <w:r w:rsidRPr="00632BB2">
              <w:rPr>
                <w:sz w:val="18"/>
                <w:szCs w:val="18"/>
              </w:rPr>
              <w:t>32.4%</w:t>
            </w:r>
          </w:p>
        </w:tc>
        <w:tc>
          <w:tcPr>
            <w:tcW w:w="1295" w:type="dxa"/>
          </w:tcPr>
          <w:p w14:paraId="3A0B0468" w14:textId="1BCEBF0D" w:rsidR="0072174E" w:rsidRPr="00632BB2" w:rsidRDefault="0072174E" w:rsidP="00632BB2">
            <w:pPr>
              <w:jc w:val="right"/>
              <w:rPr>
                <w:sz w:val="18"/>
                <w:szCs w:val="18"/>
              </w:rPr>
            </w:pPr>
            <w:r w:rsidRPr="00632BB2">
              <w:rPr>
                <w:sz w:val="18"/>
                <w:szCs w:val="18"/>
              </w:rPr>
              <w:t>33.0%</w:t>
            </w:r>
          </w:p>
        </w:tc>
        <w:tc>
          <w:tcPr>
            <w:tcW w:w="1295" w:type="dxa"/>
          </w:tcPr>
          <w:p w14:paraId="53B4D71B" w14:textId="658403F4" w:rsidR="0072174E" w:rsidRPr="00632BB2" w:rsidRDefault="0072174E" w:rsidP="00632BB2">
            <w:pPr>
              <w:jc w:val="right"/>
              <w:rPr>
                <w:sz w:val="18"/>
                <w:szCs w:val="18"/>
              </w:rPr>
            </w:pPr>
            <w:r w:rsidRPr="00632BB2">
              <w:rPr>
                <w:sz w:val="18"/>
                <w:szCs w:val="18"/>
              </w:rPr>
              <w:t>28.6%</w:t>
            </w:r>
          </w:p>
        </w:tc>
      </w:tr>
    </w:tbl>
    <w:p w14:paraId="2B072B04" w14:textId="3DEB4F25" w:rsidR="00AC2606" w:rsidRPr="006773C0" w:rsidRDefault="00AC2606" w:rsidP="005D2F87">
      <w:pPr>
        <w:pStyle w:val="Source"/>
      </w:pPr>
      <w:r w:rsidRPr="006773C0">
        <w:t>Source: ABS Census of Population and Housing, 2021, TableBuilder</w:t>
      </w:r>
      <w:r w:rsidR="00C379E9">
        <w:t>.</w:t>
      </w:r>
    </w:p>
    <w:p w14:paraId="2529CE0D" w14:textId="77777777" w:rsidR="00AC5ABC" w:rsidRPr="00AC5ABC" w:rsidRDefault="00AC5ABC" w:rsidP="00AC5ABC">
      <w:pPr>
        <w:rPr>
          <w:rFonts w:cs="Arial"/>
        </w:rPr>
      </w:pPr>
      <w:r w:rsidRPr="00AC5ABC">
        <w:rPr>
          <w:rFonts w:cs="Arial"/>
        </w:rPr>
        <w:t>The proportion of First Nations people employed in ECEC occupations are higher in the Education Aides (5.7%) and Child Carers (2.9%) occupations which have a lower indicative skill level than Early Childhood (Pre-primary) Teachers (1.7%) and Child Care Centre Managers (2.9%). This may indicate a lack of development and educational opportunities for First Nations ECEC educators and is particularly noticeable in the Northern Territory with a 27 percentage point difference between Education Aides and Child Care Centre Managers. The Northern Territory has the highest proportion of First Nations people employed in the ECEC workforce, with 34.4% employed as Education Aides, 14.4% as Child Care Workers, 10.9% as Early Childhood Teachers, and 6.8% as Child Care Centre Managers.</w:t>
      </w:r>
    </w:p>
    <w:p w14:paraId="4FD28244" w14:textId="77777777" w:rsidR="00AC5ABC" w:rsidRPr="00AC5ABC" w:rsidRDefault="00AC5ABC" w:rsidP="00AC5ABC">
      <w:pPr>
        <w:rPr>
          <w:rFonts w:cs="Arial"/>
        </w:rPr>
      </w:pPr>
      <w:r w:rsidRPr="00AC5ABC">
        <w:rPr>
          <w:rFonts w:cs="Arial"/>
        </w:rPr>
        <w:t xml:space="preserve">There are also relatively few ACCO education providers delivering ECEC qualifications for First Nations Australians. For these and other reasons the First Nations community may be poorly served by education and training pathways into ECEC, particularly for higher education routes including relating to curriculum, assessment, and delivery arrangements. The study calls on governments to seek ongoing guidance from First Nations voices in order to better support careers in ECEC to enhance provision of ECEC to First Nations people and communities. </w:t>
      </w:r>
    </w:p>
    <w:p w14:paraId="3EEB8BFA" w14:textId="4D968CF2" w:rsidR="002C197E" w:rsidRDefault="00AC5ABC" w:rsidP="00AC5ABC">
      <w:pPr>
        <w:rPr>
          <w:rFonts w:eastAsiaTheme="minorEastAsia" w:cs="Arial"/>
        </w:rPr>
      </w:pPr>
      <w:r w:rsidRPr="00AC5ABC">
        <w:rPr>
          <w:rFonts w:cs="Arial"/>
        </w:rPr>
        <w:t>Further to these insights, case studies and rich detail is available in the study report. The report is available on the JSA website in a summary form to succinctly communicate these insights, and an extended form that expands on the thorough research behind these conclusions.</w:t>
      </w:r>
      <w:r w:rsidR="008C52B1">
        <w:rPr>
          <w:rFonts w:eastAsiaTheme="minorEastAsia" w:cs="Arial"/>
        </w:rPr>
        <w:t xml:space="preserve"> </w:t>
      </w:r>
    </w:p>
    <w:tbl>
      <w:tblPr>
        <w:tblStyle w:val="TableGrid"/>
        <w:tblW w:w="0" w:type="auto"/>
        <w:tblLook w:val="04A0" w:firstRow="1" w:lastRow="0" w:firstColumn="1" w:lastColumn="0" w:noHBand="0" w:noVBand="1"/>
      </w:tblPr>
      <w:tblGrid>
        <w:gridCol w:w="9016"/>
      </w:tblGrid>
      <w:tr w:rsidR="002C197E" w14:paraId="306DC06B" w14:textId="77777777" w:rsidTr="002C197E">
        <w:tc>
          <w:tcPr>
            <w:tcW w:w="9016" w:type="dxa"/>
            <w:tcBorders>
              <w:top w:val="nil"/>
              <w:left w:val="nil"/>
              <w:bottom w:val="nil"/>
              <w:right w:val="nil"/>
            </w:tcBorders>
            <w:shd w:val="clear" w:color="auto" w:fill="ECF1BC" w:themeFill="background2" w:themeFillTint="66"/>
          </w:tcPr>
          <w:p w14:paraId="0339E172" w14:textId="77777777" w:rsidR="002C197E" w:rsidRDefault="002C197E" w:rsidP="006A4A40">
            <w:pPr>
              <w:pStyle w:val="Heading3"/>
            </w:pPr>
            <w:bookmarkStart w:id="272" w:name="_Toc181371606"/>
            <w:r>
              <w:t>Jobs and Skills Councils in focus</w:t>
            </w:r>
            <w:bookmarkEnd w:id="272"/>
          </w:p>
          <w:p w14:paraId="68204DFD" w14:textId="4D9A2ED9" w:rsidR="00CD247E" w:rsidRDefault="00CD247E" w:rsidP="00AC5ABC">
            <w:pPr>
              <w:rPr>
                <w:rFonts w:eastAsiaTheme="minorEastAsia" w:cs="Arial"/>
              </w:rPr>
            </w:pPr>
            <w:r>
              <w:rPr>
                <w:rFonts w:eastAsiaTheme="minorEastAsia" w:cs="Arial"/>
              </w:rPr>
              <w:t>Jobs and Skills Council</w:t>
            </w:r>
            <w:r w:rsidR="003D099B">
              <w:rPr>
                <w:rFonts w:eastAsiaTheme="minorEastAsia" w:cs="Arial"/>
              </w:rPr>
              <w:t xml:space="preserve">s workforce plans </w:t>
            </w:r>
            <w:r w:rsidR="005C4814">
              <w:rPr>
                <w:rFonts w:eastAsiaTheme="minorEastAsia" w:cs="Arial"/>
              </w:rPr>
              <w:t xml:space="preserve">consider not only current, but also emerging and future workforce challenges. </w:t>
            </w:r>
            <w:r w:rsidR="00467949">
              <w:rPr>
                <w:rFonts w:eastAsiaTheme="minorEastAsia" w:cs="Arial"/>
              </w:rPr>
              <w:t>This includes developing an understanding o</w:t>
            </w:r>
            <w:r w:rsidR="00831DD0">
              <w:rPr>
                <w:rFonts w:eastAsiaTheme="minorEastAsia" w:cs="Arial"/>
              </w:rPr>
              <w:t xml:space="preserve">f the megatrends impacting the labour market and how they </w:t>
            </w:r>
            <w:r w:rsidR="00A9312A">
              <w:rPr>
                <w:rFonts w:eastAsiaTheme="minorEastAsia" w:cs="Arial"/>
              </w:rPr>
              <w:t>may</w:t>
            </w:r>
            <w:r w:rsidR="00831DD0">
              <w:rPr>
                <w:rFonts w:eastAsiaTheme="minorEastAsia" w:cs="Arial"/>
              </w:rPr>
              <w:t xml:space="preserve"> </w:t>
            </w:r>
            <w:r w:rsidR="000D1118">
              <w:rPr>
                <w:rFonts w:eastAsiaTheme="minorEastAsia" w:cs="Arial"/>
              </w:rPr>
              <w:t>impact work into the future.</w:t>
            </w:r>
          </w:p>
          <w:p w14:paraId="1C2EAD07" w14:textId="77777777" w:rsidR="002C197E" w:rsidRDefault="007748E7" w:rsidP="00AC5ABC">
            <w:pPr>
              <w:rPr>
                <w:rFonts w:eastAsiaTheme="minorEastAsia" w:cs="Arial"/>
              </w:rPr>
            </w:pPr>
            <w:r w:rsidRPr="007748E7">
              <w:rPr>
                <w:rFonts w:eastAsiaTheme="minorEastAsia" w:cs="Arial"/>
              </w:rPr>
              <w:t xml:space="preserve">Among the publicly available Jobs and Skills Councils workforce plans, </w:t>
            </w:r>
            <w:r w:rsidR="001E786C">
              <w:rPr>
                <w:rFonts w:eastAsiaTheme="minorEastAsia" w:cs="Arial"/>
              </w:rPr>
              <w:t xml:space="preserve">key trends relating to </w:t>
            </w:r>
            <w:r w:rsidR="001C1E8D">
              <w:rPr>
                <w:rFonts w:eastAsiaTheme="minorEastAsia" w:cs="Arial"/>
              </w:rPr>
              <w:t>the net zero transition, demographic change, and technological advances were identified, along with the need to ensure the workforce can keep pace</w:t>
            </w:r>
            <w:r w:rsidR="0028715B">
              <w:rPr>
                <w:rFonts w:eastAsiaTheme="minorEastAsia" w:cs="Arial"/>
              </w:rPr>
              <w:t xml:space="preserve"> with this change.</w:t>
            </w:r>
          </w:p>
          <w:p w14:paraId="7098C941" w14:textId="39C213EE" w:rsidR="00DE0D53" w:rsidRDefault="00DE0D53" w:rsidP="00AC5ABC">
            <w:pPr>
              <w:rPr>
                <w:rFonts w:eastAsiaTheme="minorEastAsia" w:cs="Arial"/>
              </w:rPr>
            </w:pPr>
            <w:r>
              <w:rPr>
                <w:rFonts w:eastAsiaTheme="minorEastAsia" w:cs="Arial"/>
              </w:rPr>
              <w:t xml:space="preserve">This included a focus </w:t>
            </w:r>
            <w:r w:rsidR="00A9312A">
              <w:rPr>
                <w:rFonts w:eastAsiaTheme="minorEastAsia" w:cs="Arial"/>
              </w:rPr>
              <w:t xml:space="preserve">for many </w:t>
            </w:r>
            <w:r>
              <w:rPr>
                <w:rFonts w:eastAsiaTheme="minorEastAsia" w:cs="Arial"/>
              </w:rPr>
              <w:t xml:space="preserve">on </w:t>
            </w:r>
            <w:r w:rsidR="00A9312A">
              <w:rPr>
                <w:rFonts w:eastAsiaTheme="minorEastAsia" w:cs="Arial"/>
              </w:rPr>
              <w:t xml:space="preserve">ensuring current and ongoing </w:t>
            </w:r>
            <w:r w:rsidR="00A41B5D">
              <w:rPr>
                <w:rFonts w:eastAsiaTheme="minorEastAsia" w:cs="Arial"/>
              </w:rPr>
              <w:t>digital</w:t>
            </w:r>
            <w:r w:rsidR="00A9312A">
              <w:rPr>
                <w:rFonts w:eastAsiaTheme="minorEastAsia" w:cs="Arial"/>
              </w:rPr>
              <w:t xml:space="preserve"> capability</w:t>
            </w:r>
            <w:r w:rsidR="009D45F2">
              <w:rPr>
                <w:rFonts w:eastAsiaTheme="minorEastAsia" w:cs="Arial"/>
              </w:rPr>
              <w:t xml:space="preserve">, with </w:t>
            </w:r>
            <w:r w:rsidR="00D703A8">
              <w:rPr>
                <w:rFonts w:eastAsiaTheme="minorEastAsia" w:cs="Arial"/>
              </w:rPr>
              <w:t xml:space="preserve">some identifying a </w:t>
            </w:r>
            <w:r w:rsidR="00D8287F">
              <w:rPr>
                <w:rFonts w:eastAsiaTheme="minorEastAsia" w:cs="Arial"/>
              </w:rPr>
              <w:t>current digital capacity gap a</w:t>
            </w:r>
            <w:r w:rsidR="0072166F">
              <w:rPr>
                <w:rFonts w:eastAsiaTheme="minorEastAsia" w:cs="Arial"/>
              </w:rPr>
              <w:t xml:space="preserve">s well as </w:t>
            </w:r>
            <w:r w:rsidR="0052655C">
              <w:rPr>
                <w:rFonts w:eastAsiaTheme="minorEastAsia" w:cs="Arial"/>
              </w:rPr>
              <w:t xml:space="preserve">noting a trend of </w:t>
            </w:r>
            <w:r w:rsidR="00CC033D">
              <w:rPr>
                <w:rFonts w:eastAsiaTheme="minorEastAsia" w:cs="Arial"/>
              </w:rPr>
              <w:t>increasing digitisation.</w:t>
            </w:r>
            <w:r w:rsidR="008C52B1">
              <w:rPr>
                <w:rFonts w:eastAsiaTheme="minorEastAsia" w:cs="Arial"/>
              </w:rPr>
              <w:t xml:space="preserve"> </w:t>
            </w:r>
          </w:p>
        </w:tc>
      </w:tr>
    </w:tbl>
    <w:p w14:paraId="77C26B02" w14:textId="77777777" w:rsidR="002C197E" w:rsidRPr="00AC0957" w:rsidRDefault="002C197E" w:rsidP="00AC5ABC">
      <w:pPr>
        <w:rPr>
          <w:rFonts w:eastAsiaTheme="minorEastAsia" w:cs="Arial"/>
        </w:rPr>
      </w:pPr>
    </w:p>
    <w:p w14:paraId="0D788E73" w14:textId="77777777" w:rsidR="00AC2606" w:rsidRPr="00AC0957" w:rsidRDefault="00AC2606" w:rsidP="00AC2606">
      <w:pPr>
        <w:pStyle w:val="Heading2"/>
        <w:rPr>
          <w:rFonts w:eastAsiaTheme="minorEastAsia" w:cs="Arial"/>
        </w:rPr>
      </w:pPr>
      <w:bookmarkStart w:id="273" w:name="_Toc179887410"/>
      <w:bookmarkStart w:id="274" w:name="_Toc181371607"/>
      <w:r w:rsidRPr="00AC0957">
        <w:rPr>
          <w:rFonts w:cs="Arial"/>
        </w:rPr>
        <w:t>In summary</w:t>
      </w:r>
      <w:bookmarkEnd w:id="273"/>
      <w:bookmarkEnd w:id="274"/>
    </w:p>
    <w:p w14:paraId="7575B31C" w14:textId="77777777" w:rsidR="00636B5E" w:rsidRPr="00636B5E" w:rsidRDefault="00636B5E" w:rsidP="00636B5E">
      <w:pPr>
        <w:rPr>
          <w:rFonts w:cs="Arial"/>
        </w:rPr>
      </w:pPr>
      <w:r w:rsidRPr="00636B5E">
        <w:rPr>
          <w:rFonts w:cs="Arial"/>
        </w:rPr>
        <w:t xml:space="preserve">To achieve a truly inclusive, dynamic, and competitive economy we cannot simply respond to our current and imminent skills challenges. We must be proactive in ensuring our future workforce has the skills required to adapt to a changing economy, and more Australians can share in the benefits of growth and change. </w:t>
      </w:r>
    </w:p>
    <w:p w14:paraId="6B83B094" w14:textId="5D1AF6D2" w:rsidR="00AC2606" w:rsidRPr="00AC0957" w:rsidRDefault="00636B5E" w:rsidP="00636B5E">
      <w:pPr>
        <w:rPr>
          <w:rFonts w:cs="Arial"/>
        </w:rPr>
      </w:pPr>
      <w:r w:rsidRPr="00636B5E">
        <w:rPr>
          <w:rFonts w:cs="Arial"/>
        </w:rPr>
        <w:t>JSA contributes to the evidence base by making employment projections and undertaking scenario modelling, monitoring the labour market for changing or emerging occupations and skills needs, and undertaking targeted capacity studies. These activities help us to better understand change, prepare for an emerging and likely future labour market, and ensure we have an adaptable workforce with the right skills to benefit from the opportunities of the future.</w:t>
      </w:r>
      <w:r w:rsidR="00AC2606" w:rsidRPr="00AC0957">
        <w:rPr>
          <w:rFonts w:cs="Arial"/>
        </w:rPr>
        <w:t xml:space="preserve"> </w:t>
      </w:r>
    </w:p>
    <w:p w14:paraId="00E892A2" w14:textId="77777777" w:rsidR="00A06692" w:rsidRDefault="00A06692" w:rsidP="00AC2606">
      <w:pPr>
        <w:pStyle w:val="Heading1"/>
        <w:rPr>
          <w:rFonts w:cs="Arial"/>
        </w:rPr>
        <w:sectPr w:rsidR="00A06692" w:rsidSect="00934658">
          <w:headerReference w:type="even" r:id="rId111"/>
          <w:headerReference w:type="default" r:id="rId112"/>
          <w:footerReference w:type="default" r:id="rId113"/>
          <w:pgSz w:w="11906" w:h="16838" w:code="9"/>
          <w:pgMar w:top="1276" w:right="1440" w:bottom="1134" w:left="1440" w:header="709" w:footer="709" w:gutter="0"/>
          <w:cols w:space="708"/>
          <w:docGrid w:linePitch="360"/>
        </w:sectPr>
      </w:pPr>
      <w:bookmarkStart w:id="275" w:name="_Toc179887411"/>
    </w:p>
    <w:p w14:paraId="19D6B733" w14:textId="749AC5AC" w:rsidR="00E307AB" w:rsidRDefault="00E307AB">
      <w:pPr>
        <w:spacing w:after="160" w:line="259" w:lineRule="auto"/>
      </w:pPr>
      <w:r>
        <w:br w:type="page"/>
      </w:r>
    </w:p>
    <w:p w14:paraId="709E51B1" w14:textId="77777777" w:rsidR="00240A60" w:rsidRDefault="00240A60" w:rsidP="00E307AB">
      <w:pPr>
        <w:pStyle w:val="Chaptergap"/>
      </w:pPr>
    </w:p>
    <w:p w14:paraId="690B89DB" w14:textId="533F2274" w:rsidR="00AC2606" w:rsidRPr="00AC0957" w:rsidRDefault="00AC2606" w:rsidP="00AC2606">
      <w:pPr>
        <w:pStyle w:val="Heading1"/>
        <w:rPr>
          <w:rFonts w:cs="Arial"/>
        </w:rPr>
      </w:pPr>
      <w:bookmarkStart w:id="276" w:name="_Toc181371608"/>
      <w:r w:rsidRPr="00AC0957">
        <w:rPr>
          <w:rFonts w:cs="Arial"/>
        </w:rPr>
        <w:t xml:space="preserve">Chapter </w:t>
      </w:r>
      <w:r w:rsidR="00CB060C">
        <w:rPr>
          <w:rFonts w:cs="Arial"/>
        </w:rPr>
        <w:t>4:</w:t>
      </w:r>
      <w:r w:rsidRPr="00AC0957">
        <w:rPr>
          <w:rFonts w:cs="Arial"/>
        </w:rPr>
        <w:t xml:space="preserve"> Optimising pathways and system architecture</w:t>
      </w:r>
      <w:bookmarkEnd w:id="275"/>
      <w:bookmarkEnd w:id="276"/>
    </w:p>
    <w:p w14:paraId="1F9D8825" w14:textId="77777777" w:rsidR="00975BFE" w:rsidRPr="00975BFE" w:rsidRDefault="00975BFE" w:rsidP="00975BFE">
      <w:pPr>
        <w:rPr>
          <w:rFonts w:cs="Arial"/>
        </w:rPr>
      </w:pPr>
      <w:r w:rsidRPr="00975BFE">
        <w:rPr>
          <w:rFonts w:cs="Arial"/>
        </w:rPr>
        <w:t xml:space="preserve">With persistent skills shortages, and with projections indicating that over 90% of the employment growth over the next ten years will be in occupations commensurate with post-secondary qualifications, a strong and harmonised skills system with the right settings, pathways, and system architecture is critical to fulfilling Australia’s current and future skills needs. </w:t>
      </w:r>
    </w:p>
    <w:p w14:paraId="797CB500" w14:textId="77777777" w:rsidR="00975BFE" w:rsidRPr="00975BFE" w:rsidRDefault="00975BFE" w:rsidP="00975BFE">
      <w:pPr>
        <w:rPr>
          <w:rFonts w:cs="Arial"/>
        </w:rPr>
      </w:pPr>
      <w:r w:rsidRPr="00975BFE">
        <w:rPr>
          <w:rFonts w:cs="Arial"/>
        </w:rPr>
        <w:t xml:space="preserve">This requires the different parts of our national skills system to work effectively together. Our education, skills and training, and migration systems must work in concert to deliver quality outcomes and to address skills shortages. </w:t>
      </w:r>
    </w:p>
    <w:p w14:paraId="4038BEBB" w14:textId="77777777" w:rsidR="00975BFE" w:rsidRPr="00975BFE" w:rsidRDefault="00975BFE" w:rsidP="00975BFE">
      <w:pPr>
        <w:rPr>
          <w:rFonts w:cs="Arial"/>
        </w:rPr>
      </w:pPr>
      <w:r w:rsidRPr="00975BFE">
        <w:rPr>
          <w:rFonts w:cs="Arial"/>
        </w:rPr>
        <w:t xml:space="preserve">Key aims for a more complementary and harmonised skills system include strong and effective connections with industry to ensure the right skills are being delivered, and improved navigability for students to obtain the skills, capabilities, and knowledge they need for success. </w:t>
      </w:r>
    </w:p>
    <w:p w14:paraId="5BF9DDFB" w14:textId="77777777" w:rsidR="00975BFE" w:rsidRPr="00975BFE" w:rsidRDefault="00975BFE" w:rsidP="00975BFE">
      <w:pPr>
        <w:rPr>
          <w:rFonts w:cs="Arial"/>
        </w:rPr>
      </w:pPr>
      <w:r w:rsidRPr="00975BFE">
        <w:rPr>
          <w:rFonts w:cs="Arial"/>
        </w:rPr>
        <w:t xml:space="preserve">Greater complementarity between the sectors, including better collaboration, could also unlock innovation and enable the design of more fit-for-purpose education and training that capitalises on the strengths of both sectors to deliver quality outcomes. This includes ensuring graduates are job ready and have the requisite employability skills to succeed in the workplace. </w:t>
      </w:r>
    </w:p>
    <w:p w14:paraId="1BC5BC0E" w14:textId="77777777" w:rsidR="00975BFE" w:rsidRPr="00975BFE" w:rsidRDefault="00975BFE" w:rsidP="00975BFE">
      <w:pPr>
        <w:rPr>
          <w:rFonts w:cs="Arial"/>
        </w:rPr>
      </w:pPr>
      <w:r w:rsidRPr="00975BFE">
        <w:rPr>
          <w:rFonts w:cs="Arial"/>
        </w:rPr>
        <w:t xml:space="preserve">A strong skills system with access to lifelong learning will serve not only to provide critical skills to the Australian economy, but that more Australians can access the social, health, and wellbeing benefits of education and training. </w:t>
      </w:r>
    </w:p>
    <w:p w14:paraId="0BCC1EB6" w14:textId="77777777" w:rsidR="00975BFE" w:rsidRPr="00975BFE" w:rsidRDefault="00975BFE" w:rsidP="00975BFE">
      <w:pPr>
        <w:rPr>
          <w:rFonts w:cs="Arial"/>
        </w:rPr>
      </w:pPr>
      <w:r w:rsidRPr="00975BFE">
        <w:rPr>
          <w:rFonts w:cs="Arial"/>
        </w:rPr>
        <w:t>JSA assists by providing analysis and advice on a more cohesive education and training sector. It’s why we have a legislative remit to:</w:t>
      </w:r>
    </w:p>
    <w:p w14:paraId="30C2D362" w14:textId="77777777" w:rsidR="00975BFE" w:rsidRPr="00975BFE" w:rsidRDefault="00975BFE" w:rsidP="00975BFE">
      <w:pPr>
        <w:pStyle w:val="ListBullet"/>
      </w:pPr>
      <w:r w:rsidRPr="00975BFE">
        <w:t xml:space="preserve">report on Australia’s current, emerging and future skills and training needs and priorities – including specifically in relation to apprenticeships </w:t>
      </w:r>
    </w:p>
    <w:p w14:paraId="3D3410F9" w14:textId="77777777" w:rsidR="00975BFE" w:rsidRPr="00975BFE" w:rsidRDefault="00975BFE" w:rsidP="00975BFE">
      <w:pPr>
        <w:pStyle w:val="ListBullet"/>
      </w:pPr>
      <w:r w:rsidRPr="00975BFE">
        <w:t>provide advice on the adequacy of the Australian system for providing VET, including training outcomes</w:t>
      </w:r>
    </w:p>
    <w:p w14:paraId="117BE70B" w14:textId="77777777" w:rsidR="00975BFE" w:rsidRPr="00975BFE" w:rsidRDefault="00975BFE" w:rsidP="00975BFE">
      <w:pPr>
        <w:pStyle w:val="ListBullet"/>
      </w:pPr>
      <w:r w:rsidRPr="00975BFE">
        <w:t>provide advice on pathways into VET and pathways between VET and higher education</w:t>
      </w:r>
    </w:p>
    <w:p w14:paraId="595B4884" w14:textId="77777777" w:rsidR="00975BFE" w:rsidRPr="00975BFE" w:rsidRDefault="00975BFE" w:rsidP="00B81D14">
      <w:pPr>
        <w:pStyle w:val="ListBullet"/>
        <w:keepLines/>
      </w:pPr>
      <w:r w:rsidRPr="00975BFE">
        <w:t>undertake studies, including on opportunities to improve employment, VET and higher education outcomes for cohorts of individuals that have historically experienced labour market disadvantage and exclusion, and support, where appropriate, the evaluation of outcomes of relevant programs and the measurement of targets for these cohorts</w:t>
      </w:r>
    </w:p>
    <w:p w14:paraId="6123C0BD" w14:textId="14A56981" w:rsidR="00A06828" w:rsidRDefault="00975BFE" w:rsidP="00E307AB">
      <w:pPr>
        <w:pStyle w:val="ListBullet"/>
      </w:pPr>
      <w:r w:rsidRPr="00975BFE">
        <w:t>undertake research and analysis on the resourcing and funding requirements for registered training organisations (within the meaning of the National Vocational Education and Training Regulator Act 2011) to deliver accessible quality VET courses.</w:t>
      </w:r>
    </w:p>
    <w:p w14:paraId="21C29A35" w14:textId="77777777" w:rsidR="00975BFE" w:rsidRPr="00AC0957" w:rsidRDefault="00975BFE" w:rsidP="00975BFE">
      <w:pPr>
        <w:pBdr>
          <w:bottom w:val="single" w:sz="12" w:space="1" w:color="auto"/>
        </w:pBdr>
        <w:rPr>
          <w:rFonts w:cs="Arial"/>
        </w:rPr>
      </w:pPr>
    </w:p>
    <w:p w14:paraId="5405340D" w14:textId="77777777" w:rsidR="00AC2606" w:rsidRPr="00AC0957" w:rsidRDefault="00AC2606" w:rsidP="005D2F87">
      <w:pPr>
        <w:pStyle w:val="Keythemes"/>
      </w:pPr>
      <w:r w:rsidRPr="00AC0957">
        <w:t>Key themes in this chapter:</w:t>
      </w:r>
    </w:p>
    <w:p w14:paraId="40D64205" w14:textId="77777777" w:rsidR="00D90445" w:rsidRDefault="00D90445" w:rsidP="00D90445">
      <w:pPr>
        <w:pStyle w:val="ListBullet"/>
      </w:pPr>
      <w:r>
        <w:t xml:space="preserve">Tertiary education will be critical to providing the right skills for the jobs of the future. It also provides economic returns for workers in addition to social and well-being benefits. </w:t>
      </w:r>
    </w:p>
    <w:p w14:paraId="48D764AB" w14:textId="77777777" w:rsidR="00D90445" w:rsidRDefault="00D90445" w:rsidP="00D90445">
      <w:pPr>
        <w:pStyle w:val="ListBullet"/>
      </w:pPr>
      <w:r>
        <w:t xml:space="preserve">A more harmonised tertiary education system with greater collaboration between the sectors could enhance the ability of students to navigate the education and training system and obtain the knowledge, skills and capabilities they need to successfully participate in the labour market, especially for groups who have historically experienced labour market disadvantage. It could also lead to greater system effectiveness through the provision of well-designed collaborative education and training, and help address national challenges, increase productivity and enhance labour market outcomes. </w:t>
      </w:r>
    </w:p>
    <w:p w14:paraId="00D69F40" w14:textId="77777777" w:rsidR="00D90445" w:rsidRDefault="00D90445" w:rsidP="00D90445">
      <w:pPr>
        <w:pStyle w:val="ListBullet"/>
      </w:pPr>
      <w:r>
        <w:t>A National Skills Taxonomy could provide a common understanding and language of skills across contexts and help align parties in the national skills system in a collective response to skills challenges.</w:t>
      </w:r>
    </w:p>
    <w:p w14:paraId="7C51BF31" w14:textId="7B6142C9" w:rsidR="00D90445" w:rsidRDefault="00D90445" w:rsidP="00D90445">
      <w:pPr>
        <w:pStyle w:val="ListBullet"/>
      </w:pPr>
      <w:r>
        <w:t>The benefits of combining work with learning are</w:t>
      </w:r>
      <w:r w:rsidR="001D2680">
        <w:t xml:space="preserve"> </w:t>
      </w:r>
      <w:r>
        <w:t>clear. Any work undertaken while studying has a positive impact on employment outcomes, but the type of work also makes a difference, with more beneficial outcomes for those working in ‘career’ as compared with ‘non-career’ jobs.</w:t>
      </w:r>
    </w:p>
    <w:p w14:paraId="6BE9DB98" w14:textId="77777777" w:rsidR="00D90445" w:rsidRDefault="00D90445" w:rsidP="00D90445">
      <w:pPr>
        <w:pStyle w:val="ListBullet"/>
      </w:pPr>
      <w:r>
        <w:t>Structured work-integrated learning also has clear positive benefits for individuals. Students who undertake a course of study via an apprenticeship pathway have better outcomes in terms of both income and employment (including employment relevance) when compared with non-apprenticeship pathways.</w:t>
      </w:r>
    </w:p>
    <w:p w14:paraId="0D56DA88" w14:textId="77777777" w:rsidR="00D90445" w:rsidRDefault="00D90445" w:rsidP="00D90445">
      <w:pPr>
        <w:pStyle w:val="ListBullet"/>
      </w:pPr>
      <w:r>
        <w:t>VET is a key part of the national skills system and a key pathway for skills development. A critical part of the successful functioning of the VET system are VET teachers and trainers, and JSA has undertaken a VET workforce study to better understand the nature of the VET workforce and key challenges in the sector.</w:t>
      </w:r>
    </w:p>
    <w:p w14:paraId="20B51697" w14:textId="0301E1EE" w:rsidR="00D90445" w:rsidRDefault="00D90445" w:rsidP="00D90445">
      <w:pPr>
        <w:pStyle w:val="ListBullet"/>
      </w:pPr>
      <w:r>
        <w:t>The VET workforce study identified targeted improvements to workforce data collection and recommends the development of a VET workforce taxonomy, job profiles and occupational framework to help identify and address key challenges.</w:t>
      </w:r>
      <w:r w:rsidR="008C52B1">
        <w:t xml:space="preserve"> </w:t>
      </w:r>
    </w:p>
    <w:p w14:paraId="015A1B75" w14:textId="77777777" w:rsidR="00D90445" w:rsidRDefault="00D90445" w:rsidP="00D90445">
      <w:pPr>
        <w:pStyle w:val="ListBullet"/>
      </w:pPr>
      <w:r>
        <w:t>The Migration Review was critical of the approach to identifying skills needs, including the limited coordination between elements of the national skills system (education, training, and migration) and the lack of a whole-of-government and tripartite mechanism for assessing Australia’s skills needs.</w:t>
      </w:r>
    </w:p>
    <w:p w14:paraId="09FFBCA6" w14:textId="19D46C1B" w:rsidR="00AC2606" w:rsidRPr="00AC0957" w:rsidRDefault="00D90445" w:rsidP="00D90445">
      <w:pPr>
        <w:pStyle w:val="ListBullet"/>
      </w:pPr>
      <w:r>
        <w:t>As a response, the Migration Strategy established a formal role for JSA in defining skills needs using evidence, helping to ensure local workers’ skills and job opportunities are prioritised, and that the migration system complements the domestic skills and training system.</w:t>
      </w:r>
      <w:r w:rsidR="008C52B1">
        <w:t xml:space="preserve"> </w:t>
      </w:r>
    </w:p>
    <w:p w14:paraId="510EB20D" w14:textId="77777777" w:rsidR="00A06692" w:rsidRDefault="00A06692" w:rsidP="00AC2606">
      <w:pPr>
        <w:pStyle w:val="Heading2"/>
        <w:rPr>
          <w:rFonts w:cs="Arial"/>
          <w:lang w:val="en-US"/>
        </w:rPr>
        <w:sectPr w:rsidR="00A06692" w:rsidSect="00934658">
          <w:headerReference w:type="even" r:id="rId114"/>
          <w:headerReference w:type="default" r:id="rId115"/>
          <w:footerReference w:type="even" r:id="rId116"/>
          <w:footerReference w:type="default" r:id="rId117"/>
          <w:headerReference w:type="first" r:id="rId118"/>
          <w:footerReference w:type="first" r:id="rId119"/>
          <w:pgSz w:w="11906" w:h="16838" w:code="9"/>
          <w:pgMar w:top="1276" w:right="1440" w:bottom="1134" w:left="1440" w:header="709" w:footer="709" w:gutter="0"/>
          <w:cols w:space="708"/>
          <w:titlePg/>
          <w:docGrid w:linePitch="360"/>
        </w:sectPr>
      </w:pPr>
      <w:bookmarkStart w:id="277" w:name="_Toc179887412"/>
    </w:p>
    <w:p w14:paraId="6837C3B5" w14:textId="0151A6D4" w:rsidR="00AC2606" w:rsidRPr="00AC0957" w:rsidRDefault="00AC2606" w:rsidP="00AC2606">
      <w:pPr>
        <w:pStyle w:val="Heading2"/>
        <w:rPr>
          <w:rFonts w:cs="Arial"/>
          <w:lang w:val="en-US"/>
        </w:rPr>
      </w:pPr>
      <w:bookmarkStart w:id="278" w:name="_Toc181371609"/>
      <w:r w:rsidRPr="00AC0957">
        <w:rPr>
          <w:rFonts w:cs="Arial"/>
          <w:lang w:val="en-US"/>
        </w:rPr>
        <w:t>The importance of tertiary pathways</w:t>
      </w:r>
      <w:bookmarkEnd w:id="277"/>
      <w:bookmarkEnd w:id="278"/>
    </w:p>
    <w:p w14:paraId="09E77726" w14:textId="305F6B5A" w:rsidR="00AC2606" w:rsidRPr="00AC0957" w:rsidRDefault="008B6A02" w:rsidP="00AC2606">
      <w:pPr>
        <w:rPr>
          <w:rFonts w:cs="Arial"/>
          <w:lang w:val="en-US"/>
        </w:rPr>
      </w:pPr>
      <w:r w:rsidRPr="008B6A02">
        <w:rPr>
          <w:rFonts w:cs="Arial"/>
          <w:lang w:val="en-US"/>
        </w:rPr>
        <w:t>In addition to helping ensure individuals and employers have the skills they need for a strong and functional labour market; education also helps people participate in society and live the kind of lives they want. Education can contribute to improved overall health, higher rates of civic participation, and increased trust and happiness</w:t>
      </w:r>
      <w:sdt>
        <w:sdtPr>
          <w:rPr>
            <w:rFonts w:cs="Arial"/>
            <w:lang w:val="en-US"/>
          </w:rPr>
          <w:id w:val="-270709688"/>
          <w:citation/>
        </w:sdtPr>
        <w:sdtEndPr/>
        <w:sdtContent>
          <w:r w:rsidR="00AC2606" w:rsidRPr="00AC0957">
            <w:rPr>
              <w:rFonts w:cs="Arial"/>
              <w:lang w:val="en-US"/>
            </w:rPr>
            <w:fldChar w:fldCharType="begin"/>
          </w:r>
          <w:r w:rsidR="00AC2606" w:rsidRPr="00AC0957">
            <w:rPr>
              <w:rFonts w:cs="Arial"/>
            </w:rPr>
            <w:instrText xml:space="preserve">CITATION OEC13 \l 3081 </w:instrText>
          </w:r>
          <w:r w:rsidR="00AC2606" w:rsidRPr="00AC0957">
            <w:rPr>
              <w:rFonts w:cs="Arial"/>
              <w:lang w:val="en-US"/>
            </w:rPr>
            <w:fldChar w:fldCharType="separate"/>
          </w:r>
          <w:r w:rsidR="00CA3587">
            <w:rPr>
              <w:rFonts w:cs="Arial"/>
              <w:noProof/>
            </w:rPr>
            <w:t xml:space="preserve"> </w:t>
          </w:r>
          <w:r w:rsidR="00CA3587" w:rsidRPr="00CA3587">
            <w:rPr>
              <w:rFonts w:cs="Arial"/>
              <w:noProof/>
            </w:rPr>
            <w:t>(OECD, 2013)</w:t>
          </w:r>
          <w:r w:rsidR="00AC2606" w:rsidRPr="00AC0957">
            <w:rPr>
              <w:rFonts w:cs="Arial"/>
              <w:lang w:val="en-US"/>
            </w:rPr>
            <w:fldChar w:fldCharType="end"/>
          </w:r>
        </w:sdtContent>
      </w:sdt>
      <w:r w:rsidR="00AC2606" w:rsidRPr="00AC0957">
        <w:rPr>
          <w:rFonts w:cs="Arial"/>
          <w:lang w:val="en-US"/>
        </w:rPr>
        <w:t xml:space="preserve">. </w:t>
      </w:r>
    </w:p>
    <w:p w14:paraId="0FD2986B" w14:textId="35C33348" w:rsidR="00AC2606" w:rsidRPr="00AC0957" w:rsidRDefault="00D9313E" w:rsidP="00AC2606">
      <w:pPr>
        <w:rPr>
          <w:rFonts w:cs="Arial"/>
          <w:lang w:val="en-US"/>
        </w:rPr>
      </w:pPr>
      <w:r w:rsidRPr="00D9313E">
        <w:rPr>
          <w:rFonts w:cs="Arial"/>
          <w:lang w:val="en-US"/>
        </w:rPr>
        <w:t xml:space="preserve">Attaining post-secondary qualifications contributes to higher participation rates and lower unemployment rates. Unemployment rates for persons aged 25-34 without Year 12 or any tertiary qualification are above 10 per cent. For those with a higher education that figure is just 3.5 per cent. It also leads to higher full-time weekly earnings, and the higher the qualification, the higher the median weekly earnings. As shown in </w:t>
      </w:r>
      <w:r>
        <w:rPr>
          <w:rFonts w:cs="Arial"/>
          <w:lang w:val="en-US"/>
        </w:rPr>
        <w:fldChar w:fldCharType="begin"/>
      </w:r>
      <w:r>
        <w:rPr>
          <w:rFonts w:cs="Arial"/>
          <w:lang w:val="en-US"/>
        </w:rPr>
        <w:instrText xml:space="preserve"> REF _Ref179898466 \h </w:instrText>
      </w:r>
      <w:r>
        <w:rPr>
          <w:rFonts w:cs="Arial"/>
          <w:lang w:val="en-US"/>
        </w:rPr>
      </w:r>
      <w:r>
        <w:rPr>
          <w:rFonts w:cs="Arial"/>
          <w:lang w:val="en-US"/>
        </w:rPr>
        <w:fldChar w:fldCharType="separate"/>
      </w:r>
      <w:r w:rsidR="00C47A81" w:rsidRPr="00EC02A0">
        <w:t xml:space="preserve">Figure </w:t>
      </w:r>
      <w:r w:rsidR="00C47A81">
        <w:rPr>
          <w:noProof/>
        </w:rPr>
        <w:t>64</w:t>
      </w:r>
      <w:r>
        <w:rPr>
          <w:rFonts w:cs="Arial"/>
          <w:lang w:val="en-US"/>
        </w:rPr>
        <w:fldChar w:fldCharType="end"/>
      </w:r>
      <w:r w:rsidRPr="00D9313E">
        <w:rPr>
          <w:rFonts w:cs="Arial"/>
          <w:lang w:val="en-US"/>
        </w:rPr>
        <w:t>, median weekly earnings for workers with a Certificate III/IV as their highest qualification ($1,534) are below the national median ($1,600), however that cohort has experienced the strongest growth in weekly earnings over the past 5 years, increasing by 20% or $252</w:t>
      </w:r>
      <w:r w:rsidR="00AC2606" w:rsidRPr="00AC0957">
        <w:rPr>
          <w:rFonts w:cs="Arial"/>
        </w:rPr>
        <w:t>.</w:t>
      </w:r>
    </w:p>
    <w:p w14:paraId="5D12799D" w14:textId="0F836E5D" w:rsidR="007D46B0" w:rsidRPr="00EC02A0" w:rsidRDefault="007D46B0" w:rsidP="00EC02A0">
      <w:pPr>
        <w:pStyle w:val="Caption"/>
      </w:pPr>
      <w:bookmarkStart w:id="279" w:name="_Ref179898466"/>
      <w:bookmarkStart w:id="280" w:name="_Toc181370366"/>
      <w:r w:rsidRPr="00EC02A0">
        <w:t xml:space="preserve">Figure </w:t>
      </w:r>
      <w:r w:rsidRPr="00EC02A0">
        <w:fldChar w:fldCharType="begin"/>
      </w:r>
      <w:r w:rsidRPr="00EC02A0">
        <w:instrText xml:space="preserve"> SEQ Figure \* ARABIC </w:instrText>
      </w:r>
      <w:r w:rsidRPr="00EC02A0">
        <w:fldChar w:fldCharType="separate"/>
      </w:r>
      <w:r w:rsidR="00C47A81">
        <w:rPr>
          <w:noProof/>
        </w:rPr>
        <w:t>64</w:t>
      </w:r>
      <w:r w:rsidRPr="00EC02A0">
        <w:fldChar w:fldCharType="end"/>
      </w:r>
      <w:bookmarkEnd w:id="279"/>
      <w:r w:rsidRPr="00EC02A0">
        <w:t xml:space="preserve">: Median weekly </w:t>
      </w:r>
      <w:r w:rsidR="00666B67">
        <w:t xml:space="preserve">full-time </w:t>
      </w:r>
      <w:r w:rsidRPr="00EC02A0">
        <w:t>earnings by highest level of educational attainment August 2023</w:t>
      </w:r>
      <w:bookmarkEnd w:id="280"/>
      <w:r w:rsidRPr="00EC02A0">
        <w:t xml:space="preserve"> </w:t>
      </w:r>
    </w:p>
    <w:p w14:paraId="05601EE4" w14:textId="1B7B587D" w:rsidR="00AC2606" w:rsidRPr="00AC0957" w:rsidRDefault="00315342" w:rsidP="00AC2606">
      <w:pPr>
        <w:jc w:val="center"/>
        <w:rPr>
          <w:rFonts w:cs="Arial"/>
          <w:lang w:val="en-US"/>
        </w:rPr>
      </w:pPr>
      <w:r>
        <w:rPr>
          <w:rFonts w:cs="Arial"/>
          <w:noProof/>
          <w:lang w:val="en-US"/>
        </w:rPr>
        <w:drawing>
          <wp:inline distT="0" distB="0" distL="0" distR="0" wp14:anchorId="75E105FC" wp14:editId="0828F89E">
            <wp:extent cx="5709600" cy="2790000"/>
            <wp:effectExtent l="0" t="0" r="5715" b="0"/>
            <wp:docPr id="561828380" name="Picture 78" descr="This column chart shows the median weekly full-time earnings by highest level of educational attainment in August 2023, earnings growth over the past five years and the total workforce earnings. Workers with a Post Graduate/Graduate Diploma or Graduate Certificate received the highest median weekly full-time earnings, while those with a Certificate III/IV experienced the strongest growth in earnings over the past five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828380" name="Picture 78" descr="This column chart shows the median weekly full-time earnings by highest level of educational attainment in August 2023, earnings growth over the past five years and the total workforce earnings. Workers with a Post Graduate/Graduate Diploma or Graduate Certificate received the highest median weekly full-time earnings, while those with a Certificate III/IV experienced the strongest growth in earnings over the past five years."/>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709600" cy="2790000"/>
                    </a:xfrm>
                    <a:prstGeom prst="rect">
                      <a:avLst/>
                    </a:prstGeom>
                    <a:noFill/>
                  </pic:spPr>
                </pic:pic>
              </a:graphicData>
            </a:graphic>
          </wp:inline>
        </w:drawing>
      </w:r>
    </w:p>
    <w:p w14:paraId="538DB7B7" w14:textId="77777777" w:rsidR="00AC2606" w:rsidRDefault="00AC2606" w:rsidP="005D2F87">
      <w:pPr>
        <w:pStyle w:val="Source"/>
        <w:rPr>
          <w:lang w:val="en-US"/>
        </w:rPr>
      </w:pPr>
      <w:r w:rsidRPr="00921D13">
        <w:rPr>
          <w:lang w:val="en-US"/>
        </w:rPr>
        <w:t xml:space="preserve">Source: ABS, Characteristics of Employment, </w:t>
      </w:r>
      <w:r w:rsidRPr="00EC02A0">
        <w:rPr>
          <w:lang w:val="en-US"/>
        </w:rPr>
        <w:t>August 2023</w:t>
      </w:r>
      <w:r w:rsidRPr="00921D13">
        <w:rPr>
          <w:lang w:val="en-US"/>
        </w:rPr>
        <w:t>, TableBuilder extract.</w:t>
      </w:r>
    </w:p>
    <w:p w14:paraId="5E86BDD0" w14:textId="41625E07" w:rsidR="00C33893" w:rsidRPr="00C33893" w:rsidRDefault="00C33893" w:rsidP="00C33893">
      <w:pPr>
        <w:pStyle w:val="ChartorTableNote"/>
      </w:pPr>
      <w:r w:rsidRPr="00C33893">
        <w:t>Note: Median weekly earnings for full-time workers in their main job. Year 10 or below classification contains Certificate I/II and Certificate not further defined (nfd) qualifications.</w:t>
      </w:r>
    </w:p>
    <w:p w14:paraId="7E052B62" w14:textId="77777777" w:rsidR="003C71D0" w:rsidRPr="003C71D0" w:rsidRDefault="003C71D0" w:rsidP="003C71D0">
      <w:pPr>
        <w:rPr>
          <w:rFonts w:cs="Arial"/>
          <w:lang w:val="en-US"/>
        </w:rPr>
      </w:pPr>
      <w:r w:rsidRPr="003C71D0">
        <w:rPr>
          <w:rFonts w:cs="Arial"/>
          <w:lang w:val="en-US"/>
        </w:rPr>
        <w:t xml:space="preserve">Ensuring access to lifelong learning (including people with higher education qualifications who later undertake VET as part of their current profession or retraining) can not only benefit the labour market, but have beneficial returns for individuals and society economically, and in terms of social cohesion, health and well-being. </w:t>
      </w:r>
    </w:p>
    <w:p w14:paraId="275E4691" w14:textId="77777777" w:rsidR="003C71D0" w:rsidRPr="003C71D0" w:rsidRDefault="003C71D0" w:rsidP="003C71D0">
      <w:pPr>
        <w:rPr>
          <w:rFonts w:cs="Arial"/>
          <w:lang w:val="en-US"/>
        </w:rPr>
      </w:pPr>
      <w:r w:rsidRPr="003C71D0">
        <w:rPr>
          <w:rFonts w:cs="Arial"/>
          <w:lang w:val="en-US"/>
        </w:rPr>
        <w:t>Employment projections produced by Victoria University for JSA estimate that over 90% of the employment growth over the next 10 years will be in occupations commensurate with post-secondary qualifications (skill levels 1 to 4) – with around half (51.0%) of the projected growth being in occupations related to a bachelor’s degree or higher as the primary education pathway (skill level 1), and 42.6% in occupations with VET as the primary pathway (skill levels 2 to 4).</w:t>
      </w:r>
    </w:p>
    <w:p w14:paraId="66C5EBBC" w14:textId="26D92134" w:rsidR="003C71D0" w:rsidRPr="003C71D0" w:rsidRDefault="003C71D0" w:rsidP="003C71D0">
      <w:pPr>
        <w:rPr>
          <w:rFonts w:cs="Arial"/>
          <w:lang w:val="en-US"/>
        </w:rPr>
      </w:pPr>
      <w:r w:rsidRPr="003C71D0">
        <w:rPr>
          <w:rFonts w:cs="Arial"/>
          <w:lang w:val="en-US"/>
        </w:rPr>
        <w:t>Since 2016, the growth in educational attainment in Australia has been skewed toward the higher education system. In the 2021 Census, over 11 million Australians reported having a post-secondary qualification, a 20 per cent increase since 2016. Around 5.5 million reported having a bachelor’s degree or higher as their highest level of education, a 31 per cent increase since 2016. In the 2021 Census, 4 million people reported having Certificate I to IV as their highest level of education, which is a 11 per cent increase since 2016</w:t>
      </w:r>
      <w:r w:rsidR="00235541">
        <w:rPr>
          <w:rFonts w:cs="Arial"/>
          <w:lang w:val="en-US"/>
        </w:rPr>
        <w:t xml:space="preserve"> </w:t>
      </w:r>
      <w:sdt>
        <w:sdtPr>
          <w:rPr>
            <w:rFonts w:cs="Arial"/>
            <w:lang w:val="en-US"/>
          </w:rPr>
          <w:id w:val="-1924790236"/>
          <w:citation/>
        </w:sdtPr>
        <w:sdtEndPr/>
        <w:sdtContent>
          <w:r w:rsidR="00235541">
            <w:rPr>
              <w:rFonts w:cs="Arial"/>
              <w:lang w:val="en-US"/>
            </w:rPr>
            <w:fldChar w:fldCharType="begin"/>
          </w:r>
          <w:r w:rsidR="00235541">
            <w:rPr>
              <w:rFonts w:cs="Arial"/>
            </w:rPr>
            <w:instrText xml:space="preserve"> CITATION Aus222 \l 3081 </w:instrText>
          </w:r>
          <w:r w:rsidR="00235541">
            <w:rPr>
              <w:rFonts w:cs="Arial"/>
              <w:lang w:val="en-US"/>
            </w:rPr>
            <w:fldChar w:fldCharType="separate"/>
          </w:r>
          <w:r w:rsidR="00CA3587" w:rsidRPr="00CA3587">
            <w:rPr>
              <w:rFonts w:cs="Arial"/>
              <w:noProof/>
            </w:rPr>
            <w:t>(Australian Bureau of Statistics, 2022a)</w:t>
          </w:r>
          <w:r w:rsidR="00235541">
            <w:rPr>
              <w:rFonts w:cs="Arial"/>
              <w:lang w:val="en-US"/>
            </w:rPr>
            <w:fldChar w:fldCharType="end"/>
          </w:r>
        </w:sdtContent>
      </w:sdt>
      <w:r w:rsidRPr="003C71D0">
        <w:rPr>
          <w:rFonts w:cs="Arial"/>
          <w:lang w:val="en-US"/>
        </w:rPr>
        <w:t>. Compared to 2011, the number of people with a bachelor’s degree or higher has grown 67%, whereas the Certificate I to IV group has grown only 25%</w:t>
      </w:r>
      <w:r w:rsidR="00B87585">
        <w:rPr>
          <w:rStyle w:val="FootnoteReference"/>
          <w:rFonts w:cs="Arial"/>
          <w:lang w:val="en-US"/>
        </w:rPr>
        <w:footnoteReference w:id="31"/>
      </w:r>
      <w:r w:rsidRPr="003C71D0">
        <w:rPr>
          <w:rFonts w:cs="Arial"/>
          <w:lang w:val="en-US"/>
        </w:rPr>
        <w:t>. These figures probably underestimate the role of the VET system because they record the highest level of education attainment, and there may be many people who have both higher education and VET qualifications who would be captured in group with bachelor’s degree or higher as their highest level of education.</w:t>
      </w:r>
    </w:p>
    <w:p w14:paraId="1CE1188D" w14:textId="2C8BA71A" w:rsidR="004C480A" w:rsidRPr="00AC0957" w:rsidRDefault="003C71D0" w:rsidP="003C71D0">
      <w:pPr>
        <w:rPr>
          <w:rFonts w:cs="Arial"/>
          <w:lang w:val="en-US"/>
        </w:rPr>
      </w:pPr>
      <w:r w:rsidRPr="003C71D0">
        <w:rPr>
          <w:rFonts w:cs="Arial"/>
          <w:lang w:val="en-US"/>
        </w:rPr>
        <w:t xml:space="preserve">With strong growth needed in the trades due to a strong focus on construction, infrastructure, and the net-zero transition, we will need to ensure growth in attainment matches the projected skills needs for the future. The scenario analysis undertaken in the </w:t>
      </w:r>
      <w:r w:rsidR="00AE119D">
        <w:rPr>
          <w:rFonts w:cs="Arial"/>
          <w:lang w:val="en-US"/>
        </w:rPr>
        <w:t>chapter 3</w:t>
      </w:r>
      <w:r w:rsidRPr="003C71D0">
        <w:rPr>
          <w:rFonts w:cs="Arial"/>
          <w:lang w:val="en-US"/>
        </w:rPr>
        <w:t xml:space="preserve"> reinforces the argument to rebalance the education and training system to increase the focus on the VET system</w:t>
      </w:r>
      <w:r w:rsidR="004C480A">
        <w:rPr>
          <w:rFonts w:cs="Arial"/>
          <w:lang w:val="en-US"/>
        </w:rPr>
        <w:t>.</w:t>
      </w:r>
    </w:p>
    <w:p w14:paraId="380DC67C" w14:textId="41C38C43" w:rsidR="00AC2606" w:rsidRPr="00AC0957" w:rsidRDefault="00AC2606" w:rsidP="00AC2606">
      <w:pPr>
        <w:pStyle w:val="Heading2"/>
        <w:rPr>
          <w:rFonts w:cs="Arial"/>
          <w:lang w:val="en-US"/>
        </w:rPr>
      </w:pPr>
      <w:bookmarkStart w:id="281" w:name="_Toc179887413"/>
      <w:bookmarkStart w:id="282" w:name="_Toc181371610"/>
      <w:r w:rsidRPr="00AC0957">
        <w:rPr>
          <w:rFonts w:cs="Arial"/>
          <w:lang w:val="en-US"/>
        </w:rPr>
        <w:t xml:space="preserve">The case for a </w:t>
      </w:r>
      <w:r w:rsidR="4DB9FD30" w:rsidRPr="45807C7E">
        <w:rPr>
          <w:rFonts w:cs="Arial"/>
          <w:lang w:val="en-US"/>
        </w:rPr>
        <w:t xml:space="preserve">more </w:t>
      </w:r>
      <w:r w:rsidR="007E159A">
        <w:rPr>
          <w:rFonts w:cs="Arial"/>
          <w:lang w:val="en-US"/>
        </w:rPr>
        <w:t>harmonised</w:t>
      </w:r>
      <w:r w:rsidRPr="00AC0957">
        <w:rPr>
          <w:rFonts w:cs="Arial"/>
          <w:lang w:val="en-US"/>
        </w:rPr>
        <w:t xml:space="preserve"> tertiary education system</w:t>
      </w:r>
      <w:bookmarkEnd w:id="281"/>
      <w:bookmarkEnd w:id="282"/>
    </w:p>
    <w:p w14:paraId="0DC2FAF0" w14:textId="18F32253" w:rsidR="00B51D0F" w:rsidRDefault="00BF2269" w:rsidP="00BF2269">
      <w:pPr>
        <w:rPr>
          <w:rFonts w:cs="Arial"/>
        </w:rPr>
      </w:pPr>
      <w:r w:rsidRPr="00BF2269">
        <w:rPr>
          <w:rFonts w:cs="Arial"/>
        </w:rPr>
        <w:t xml:space="preserve">Australia’s tertiary education system is largely divided into two sectors with distinctive structures, cultures, and administrative and educational norms. Both sectors play distinct and important roles in delivering quality education and training that meets student need and develops the skills required by industry. </w:t>
      </w:r>
      <w:r w:rsidR="004928AF">
        <w:rPr>
          <w:rFonts w:cs="Arial"/>
        </w:rPr>
        <w:t>This has historically been underpinned by the Australian Qualifications Framework</w:t>
      </w:r>
      <w:r w:rsidR="003D3262">
        <w:rPr>
          <w:rFonts w:cs="Arial"/>
        </w:rPr>
        <w:t xml:space="preserve"> (AQF)</w:t>
      </w:r>
      <w:r w:rsidR="004928AF">
        <w:rPr>
          <w:rFonts w:cs="Arial"/>
        </w:rPr>
        <w:t xml:space="preserve">, which has guided </w:t>
      </w:r>
      <w:r w:rsidR="00C11331">
        <w:rPr>
          <w:rFonts w:cs="Arial"/>
        </w:rPr>
        <w:t xml:space="preserve">education and training </w:t>
      </w:r>
      <w:r w:rsidR="004928AF">
        <w:rPr>
          <w:rFonts w:cs="Arial"/>
        </w:rPr>
        <w:t>course</w:t>
      </w:r>
      <w:r w:rsidR="00C11331">
        <w:rPr>
          <w:rFonts w:cs="Arial"/>
        </w:rPr>
        <w:t xml:space="preserve"> development and accreditation.</w:t>
      </w:r>
    </w:p>
    <w:p w14:paraId="169A5EFE" w14:textId="47EAFE89" w:rsidR="00BF2269" w:rsidRPr="00BF2269" w:rsidRDefault="00BF2269" w:rsidP="00BF2269">
      <w:pPr>
        <w:rPr>
          <w:rFonts w:cs="Arial"/>
        </w:rPr>
      </w:pPr>
      <w:r w:rsidRPr="00BF2269">
        <w:rPr>
          <w:rFonts w:cs="Arial"/>
        </w:rPr>
        <w:t>Without arguing for a merger of VET and higher education, an argument can be made for greater connectedness and harmony between them – building on historical connections between the sectors that have been useful to students and industries. This would result in two sectors working in harmony within one system, rather than two systems operating side</w:t>
      </w:r>
      <w:r w:rsidR="008F33BF">
        <w:rPr>
          <w:rFonts w:cs="Arial"/>
        </w:rPr>
        <w:noBreakHyphen/>
      </w:r>
      <w:r w:rsidRPr="00BF2269">
        <w:rPr>
          <w:rFonts w:cs="Arial"/>
        </w:rPr>
        <w:t xml:space="preserve">by-side. </w:t>
      </w:r>
    </w:p>
    <w:p w14:paraId="3B3AF7FC" w14:textId="5847E5D9" w:rsidR="00BF2269" w:rsidRPr="00BF2269" w:rsidRDefault="00BF2269" w:rsidP="00BF2269">
      <w:pPr>
        <w:rPr>
          <w:rFonts w:cs="Arial"/>
        </w:rPr>
      </w:pPr>
      <w:r w:rsidRPr="00BF2269">
        <w:rPr>
          <w:rFonts w:cs="Arial"/>
        </w:rPr>
        <w:t xml:space="preserve">The argument for a more harmonised and connected tertiary education system has been present since at least the Unified National System was created at the end of the 1980s. The final report of the Universities Accord </w:t>
      </w:r>
      <w:sdt>
        <w:sdtPr>
          <w:rPr>
            <w:rFonts w:cs="Arial"/>
          </w:rPr>
          <w:id w:val="-69120472"/>
          <w:citation/>
        </w:sdtPr>
        <w:sdtEndPr/>
        <w:sdtContent>
          <w:r>
            <w:rPr>
              <w:rFonts w:cs="Arial"/>
            </w:rPr>
            <w:fldChar w:fldCharType="begin"/>
          </w:r>
          <w:r w:rsidR="00934658">
            <w:rPr>
              <w:rFonts w:cs="Arial"/>
            </w:rPr>
            <w:instrText xml:space="preserve">CITATION Aus242 \l 3081 </w:instrText>
          </w:r>
          <w:r>
            <w:rPr>
              <w:rFonts w:cs="Arial"/>
            </w:rPr>
            <w:fldChar w:fldCharType="separate"/>
          </w:r>
          <w:r w:rsidR="00934658" w:rsidRPr="00934658">
            <w:rPr>
              <w:rFonts w:cs="Arial"/>
              <w:noProof/>
            </w:rPr>
            <w:t>(Australian Government, 2024)</w:t>
          </w:r>
          <w:r>
            <w:rPr>
              <w:rFonts w:cs="Arial"/>
            </w:rPr>
            <w:fldChar w:fldCharType="end"/>
          </w:r>
        </w:sdtContent>
      </w:sdt>
      <w:r w:rsidRPr="00BF2269">
        <w:rPr>
          <w:rFonts w:cs="Arial"/>
        </w:rPr>
        <w:t xml:space="preserve">, acknowledged “the role that a more integrated tertiary education system will play in meeting skills demand and the need to foster greater parity of esteem between the two sectors” (p69). The Australian Government’s </w:t>
      </w:r>
      <w:r w:rsidRPr="00BF2269">
        <w:rPr>
          <w:rFonts w:cs="Arial"/>
          <w:i/>
          <w:iCs/>
        </w:rPr>
        <w:t>Working Future: White Paper on Jobs and Opportunities</w:t>
      </w:r>
      <w:r w:rsidRPr="00BF2269">
        <w:rPr>
          <w:rFonts w:cs="Arial"/>
        </w:rPr>
        <w:t xml:space="preserve"> also identified the growing importance of improving collaboration between the vocational and higher education sectors to improve access to lifelong learning to increase the volume of Australians with the skills needed to meet future workforce needs </w:t>
      </w:r>
      <w:sdt>
        <w:sdtPr>
          <w:rPr>
            <w:rFonts w:cs="Arial"/>
          </w:rPr>
          <w:id w:val="-1700927109"/>
          <w:citation/>
        </w:sdtPr>
        <w:sdtEndPr/>
        <w:sdtContent>
          <w:r>
            <w:rPr>
              <w:rFonts w:cs="Arial"/>
            </w:rPr>
            <w:fldChar w:fldCharType="begin"/>
          </w:r>
          <w:r>
            <w:rPr>
              <w:rFonts w:cs="Arial"/>
            </w:rPr>
            <w:instrText xml:space="preserve">CITATION Aus23 \t  \l 3081 </w:instrText>
          </w:r>
          <w:r>
            <w:rPr>
              <w:rFonts w:cs="Arial"/>
            </w:rPr>
            <w:fldChar w:fldCharType="separate"/>
          </w:r>
          <w:r w:rsidR="00CA3587" w:rsidRPr="00CA3587">
            <w:rPr>
              <w:rFonts w:cs="Arial"/>
              <w:noProof/>
            </w:rPr>
            <w:t>(Commonwealth of Australia, 2023a)</w:t>
          </w:r>
          <w:r>
            <w:rPr>
              <w:rFonts w:cs="Arial"/>
            </w:rPr>
            <w:fldChar w:fldCharType="end"/>
          </w:r>
        </w:sdtContent>
      </w:sdt>
      <w:r w:rsidRPr="00BF2269">
        <w:rPr>
          <w:rFonts w:cs="Arial"/>
        </w:rPr>
        <w:t>.</w:t>
      </w:r>
    </w:p>
    <w:p w14:paraId="604863D9" w14:textId="75F02ECE" w:rsidR="00BF2269" w:rsidRPr="00BF2269" w:rsidRDefault="00BF2269" w:rsidP="00BF2269">
      <w:pPr>
        <w:rPr>
          <w:rFonts w:cs="Arial"/>
        </w:rPr>
      </w:pPr>
      <w:r w:rsidRPr="00BF2269">
        <w:rPr>
          <w:rFonts w:cs="Arial"/>
        </w:rPr>
        <w:t xml:space="preserve">In the final chapter of </w:t>
      </w:r>
      <w:r w:rsidRPr="00D37360">
        <w:rPr>
          <w:rFonts w:cs="Arial"/>
          <w:i/>
          <w:iCs/>
        </w:rPr>
        <w:t>Rethinking Tertiary Education: Building on the Work of Peter Noonan</w:t>
      </w:r>
      <w:r w:rsidRPr="00BF2269">
        <w:rPr>
          <w:rFonts w:cs="Arial"/>
        </w:rPr>
        <w:t xml:space="preserve">, a book brought together in honour of Peter Noonan, a member of the panel undertaking the </w:t>
      </w:r>
      <w:r w:rsidRPr="00917DEF">
        <w:rPr>
          <w:rFonts w:cs="Arial"/>
          <w:i/>
          <w:iCs/>
        </w:rPr>
        <w:t>2008 Review of Australian Higher Education</w:t>
      </w:r>
      <w:r w:rsidRPr="00BF2269">
        <w:rPr>
          <w:rFonts w:cs="Arial"/>
        </w:rPr>
        <w:t xml:space="preserve"> (the Bradley Review), the authors (his collaborators) also argued for strengthened connections between the sectors. They argued that this could enhance the ability of students to navigate the education and training system to obtain the knowledge, skills and capabilities they need to successfully participate in the labour market </w:t>
      </w:r>
      <w:sdt>
        <w:sdtPr>
          <w:rPr>
            <w:rFonts w:cs="Arial"/>
          </w:rPr>
          <w:id w:val="-345944692"/>
          <w:citation/>
        </w:sdtPr>
        <w:sdtEndPr/>
        <w:sdtContent>
          <w:r w:rsidR="00D37360">
            <w:rPr>
              <w:rFonts w:cs="Arial"/>
            </w:rPr>
            <w:fldChar w:fldCharType="begin"/>
          </w:r>
          <w:r w:rsidR="00D37360">
            <w:rPr>
              <w:rFonts w:cs="Arial"/>
            </w:rPr>
            <w:instrText xml:space="preserve"> CITATION Daw23 \l 3081 </w:instrText>
          </w:r>
          <w:r w:rsidR="00D37360">
            <w:rPr>
              <w:rFonts w:cs="Arial"/>
            </w:rPr>
            <w:fldChar w:fldCharType="separate"/>
          </w:r>
          <w:r w:rsidR="00CA3587" w:rsidRPr="00CA3587">
            <w:rPr>
              <w:rFonts w:cs="Arial"/>
              <w:noProof/>
            </w:rPr>
            <w:t>(Dawkins, Lilly, &amp; Pascoe, 2023)</w:t>
          </w:r>
          <w:r w:rsidR="00D37360">
            <w:rPr>
              <w:rFonts w:cs="Arial"/>
            </w:rPr>
            <w:fldChar w:fldCharType="end"/>
          </w:r>
        </w:sdtContent>
      </w:sdt>
      <w:r w:rsidRPr="00BF2269">
        <w:rPr>
          <w:rFonts w:cs="Arial"/>
        </w:rPr>
        <w:t xml:space="preserve">. </w:t>
      </w:r>
    </w:p>
    <w:p w14:paraId="542B6BD9" w14:textId="00AF92CA" w:rsidR="00BF2269" w:rsidRPr="00BF2269" w:rsidRDefault="00BF2269" w:rsidP="00BF2269">
      <w:pPr>
        <w:rPr>
          <w:rFonts w:cs="Arial"/>
        </w:rPr>
      </w:pPr>
      <w:r w:rsidRPr="00BF2269">
        <w:rPr>
          <w:rFonts w:cs="Arial"/>
        </w:rPr>
        <w:t xml:space="preserve">They also argued that tertiary harmonisation could promote equitable access to universal, high quality tertiary education, correct for distortions in incentives for students to participate in one part of the tertiary education and training system rather than another, and encourage vocational education providers, higher education providers and employers to collaborate in the provision of well-designed education and training programs to secure the development of the knowledge, skills and capabilities needed for the Australian economy </w:t>
      </w:r>
      <w:sdt>
        <w:sdtPr>
          <w:rPr>
            <w:rFonts w:cs="Arial"/>
          </w:rPr>
          <w:id w:val="318392003"/>
          <w:citation/>
        </w:sdtPr>
        <w:sdtEndPr/>
        <w:sdtContent>
          <w:r w:rsidR="00D37360">
            <w:rPr>
              <w:rFonts w:cs="Arial"/>
            </w:rPr>
            <w:fldChar w:fldCharType="begin"/>
          </w:r>
          <w:r w:rsidR="00D37360">
            <w:rPr>
              <w:rFonts w:cs="Arial"/>
            </w:rPr>
            <w:instrText xml:space="preserve"> CITATION Daw23 \l 3081 </w:instrText>
          </w:r>
          <w:r w:rsidR="00D37360">
            <w:rPr>
              <w:rFonts w:cs="Arial"/>
            </w:rPr>
            <w:fldChar w:fldCharType="separate"/>
          </w:r>
          <w:r w:rsidR="00CA3587" w:rsidRPr="00CA3587">
            <w:rPr>
              <w:rFonts w:cs="Arial"/>
              <w:noProof/>
            </w:rPr>
            <w:t>(Dawkins, Lilly, &amp; Pascoe, 2023)</w:t>
          </w:r>
          <w:r w:rsidR="00D37360">
            <w:rPr>
              <w:rFonts w:cs="Arial"/>
            </w:rPr>
            <w:fldChar w:fldCharType="end"/>
          </w:r>
        </w:sdtContent>
      </w:sdt>
      <w:r w:rsidRPr="00BF2269">
        <w:rPr>
          <w:rFonts w:cs="Arial"/>
        </w:rPr>
        <w:t>.</w:t>
      </w:r>
    </w:p>
    <w:p w14:paraId="14683E18" w14:textId="20D552E1" w:rsidR="00AC2606" w:rsidRPr="00AC0957" w:rsidRDefault="00BF2269" w:rsidP="00BF2269">
      <w:pPr>
        <w:rPr>
          <w:rFonts w:eastAsia="Arial" w:cs="Arial"/>
        </w:rPr>
      </w:pPr>
      <w:r w:rsidRPr="00BF2269">
        <w:rPr>
          <w:rFonts w:cs="Arial"/>
        </w:rPr>
        <w:t>In summary, the argument is that both students and industry would benefit from gaining more ready access to the full range of knowledge, skills and capabilities that they need for Australia to have a successful economy and thriving society</w:t>
      </w:r>
      <w:r w:rsidR="00AC2606" w:rsidRPr="00AC0957">
        <w:rPr>
          <w:rFonts w:eastAsia="Arial" w:cs="Arial"/>
        </w:rPr>
        <w:t>.</w:t>
      </w:r>
    </w:p>
    <w:p w14:paraId="7E22E2D3" w14:textId="77777777" w:rsidR="00AC2606" w:rsidRPr="00AC0957" w:rsidRDefault="00AC2606" w:rsidP="00AC2606">
      <w:pPr>
        <w:pStyle w:val="Heading3"/>
        <w:rPr>
          <w:rFonts w:eastAsia="Arial" w:cs="Arial"/>
        </w:rPr>
      </w:pPr>
      <w:bookmarkStart w:id="283" w:name="_Toc179887414"/>
      <w:bookmarkStart w:id="284" w:name="_Toc181371611"/>
      <w:r w:rsidRPr="00AC0957">
        <w:rPr>
          <w:rFonts w:cs="Arial"/>
        </w:rPr>
        <w:t>Examples of harmonisation in practice</w:t>
      </w:r>
      <w:bookmarkEnd w:id="283"/>
      <w:bookmarkEnd w:id="284"/>
    </w:p>
    <w:p w14:paraId="0F8281F3" w14:textId="77777777" w:rsidR="0088347F" w:rsidRDefault="0088347F" w:rsidP="0088347F">
      <w:r>
        <w:t>There are a range of examples of attempts at tertiary harmonisation by different institutions which give some insight into the proposed benefits of tertiary harmonisation. These examples have arisen organically despite known barriers in the system including regulation, funding and financing arrangements, legislative and regulatory settings, qualifications frameworks, curriculum and pedagogy including assessment and recognition. This pattern of bespoke examples is not scalable without change to address barriers.</w:t>
      </w:r>
    </w:p>
    <w:p w14:paraId="1CC00B9D" w14:textId="77777777" w:rsidR="0088347F" w:rsidRDefault="0088347F" w:rsidP="0088347F">
      <w:r>
        <w:t>The examples also demonstrate the different expected benefits of harmonisation:</w:t>
      </w:r>
    </w:p>
    <w:p w14:paraId="0E8A52B1" w14:textId="77777777" w:rsidR="0088347F" w:rsidRDefault="0088347F" w:rsidP="0088347F">
      <w:pPr>
        <w:pStyle w:val="ListParagraphMaster"/>
      </w:pPr>
      <w:r>
        <w:t xml:space="preserve">Greater system effectiveness. </w:t>
      </w:r>
    </w:p>
    <w:p w14:paraId="00F966FF" w14:textId="77777777" w:rsidR="0088347F" w:rsidRDefault="0088347F" w:rsidP="0088347F">
      <w:pPr>
        <w:pStyle w:val="ListParagraphMaster"/>
      </w:pPr>
      <w:r>
        <w:t>Improved access and equity.</w:t>
      </w:r>
    </w:p>
    <w:p w14:paraId="094E8381" w14:textId="77777777" w:rsidR="0088347F" w:rsidRDefault="0088347F" w:rsidP="0088347F">
      <w:pPr>
        <w:pStyle w:val="ListParagraphMaster"/>
      </w:pPr>
      <w:r>
        <w:t xml:space="preserve">Supporting national challenges. </w:t>
      </w:r>
    </w:p>
    <w:p w14:paraId="48070521" w14:textId="730A4752" w:rsidR="00AC2606" w:rsidRPr="00AC0957" w:rsidRDefault="0088347F" w:rsidP="0088347F">
      <w:pPr>
        <w:pStyle w:val="ListParagraphMaster"/>
      </w:pPr>
      <w:r>
        <w:t>Higher productivity and better labour market outcomes.</w:t>
      </w:r>
    </w:p>
    <w:p w14:paraId="505C8F1D" w14:textId="1B4C80A4" w:rsidR="00AC2606" w:rsidRPr="00AC0957" w:rsidRDefault="00AC2606" w:rsidP="00AC2606">
      <w:pPr>
        <w:pStyle w:val="Heading4"/>
      </w:pPr>
      <w:r w:rsidRPr="00AC0957">
        <w:t xml:space="preserve">Tertiary harmonisation and </w:t>
      </w:r>
      <w:r w:rsidR="008E755B">
        <w:t xml:space="preserve">greater </w:t>
      </w:r>
      <w:r w:rsidRPr="00AC0957">
        <w:t>system effectiveness</w:t>
      </w:r>
    </w:p>
    <w:p w14:paraId="34093D4D" w14:textId="77777777" w:rsidR="00CE70DD" w:rsidRPr="00CE70DD" w:rsidRDefault="00CE70DD" w:rsidP="00CE70DD">
      <w:pPr>
        <w:rPr>
          <w:rFonts w:cs="Arial"/>
        </w:rPr>
      </w:pPr>
      <w:r w:rsidRPr="00CE70DD">
        <w:rPr>
          <w:rFonts w:cs="Arial"/>
        </w:rPr>
        <w:t xml:space="preserve">The benefits of tertiary harmonisation for system effectiveness include ease of navigation of the system by students and industry, increased efficiency and lower cost in obtaining the skills needed, and increased synergy of VET and higher education working together with industry to produce outcomes that would not otherwise be possible. There are examples of where tertiary harmonisation has been applied to create scenarios of system effectiveness. </w:t>
      </w:r>
    </w:p>
    <w:p w14:paraId="618192E1" w14:textId="77777777" w:rsidR="00CE70DD" w:rsidRPr="00CE70DD" w:rsidRDefault="00CE70DD" w:rsidP="00CE70DD">
      <w:pPr>
        <w:rPr>
          <w:rFonts w:cs="Arial"/>
        </w:rPr>
      </w:pPr>
      <w:r w:rsidRPr="00CE70DD">
        <w:rPr>
          <w:rFonts w:cs="Arial"/>
        </w:rPr>
        <w:t>South Australia has developed a state-based model which provides students with the opportunity to apply for a dual-offer course which includes study at both TAFE SA and one of the 3 universities in South Australia. The dual offer courses enable students to apply for a TAFE SA qualification connected to a University Program in one application, so a student is guaranteed a place at an SA University on completion of the VET program.</w:t>
      </w:r>
    </w:p>
    <w:p w14:paraId="42ECAEC2" w14:textId="77777777" w:rsidR="00CE70DD" w:rsidRPr="00CE70DD" w:rsidRDefault="00CE70DD" w:rsidP="00CE70DD">
      <w:pPr>
        <w:rPr>
          <w:rFonts w:cs="Arial"/>
        </w:rPr>
      </w:pPr>
      <w:r w:rsidRPr="00CE70DD">
        <w:rPr>
          <w:rFonts w:cs="Arial"/>
        </w:rPr>
        <w:t xml:space="preserve">Students can apply for a Diploma, an Advanced Diploma or an associate degree and then upon completion of this qualification transfer into a university bachelor’s degree, with credit applied to the TAFE studies completed. </w:t>
      </w:r>
    </w:p>
    <w:p w14:paraId="0CF92D55" w14:textId="77777777" w:rsidR="00CE70DD" w:rsidRPr="00CE70DD" w:rsidRDefault="00CE70DD" w:rsidP="00CE70DD">
      <w:pPr>
        <w:rPr>
          <w:rFonts w:cs="Arial"/>
        </w:rPr>
      </w:pPr>
      <w:r w:rsidRPr="00CE70DD">
        <w:rPr>
          <w:rFonts w:cs="Arial"/>
        </w:rPr>
        <w:t xml:space="preserve">Additionally, TAFE SA has a range of established credit transfer arrangements with the South Australian universities for students who have undertaken VET and wish to consider higher education study later, while still being recognised for their previous TAFE education attainment. </w:t>
      </w:r>
    </w:p>
    <w:p w14:paraId="0FCAD0E1" w14:textId="3CC350FD" w:rsidR="00AC2606" w:rsidRPr="00AC0957" w:rsidRDefault="00CE70DD" w:rsidP="00CE70DD">
      <w:pPr>
        <w:rPr>
          <w:rFonts w:cs="Arial"/>
        </w:rPr>
      </w:pPr>
      <w:r w:rsidRPr="00CE70DD">
        <w:rPr>
          <w:rFonts w:cs="Arial"/>
        </w:rPr>
        <w:t>The development of this harmonisation model brings a number of benefits to students, with a strong focus on student mobility between the two sectors. Additional benefits include:</w:t>
      </w:r>
    </w:p>
    <w:p w14:paraId="2459720D" w14:textId="77777777" w:rsidR="0056690C" w:rsidRDefault="0056690C" w:rsidP="0056690C">
      <w:pPr>
        <w:pStyle w:val="ListBullet"/>
      </w:pPr>
      <w:r>
        <w:t>Ease of navigation due to both the TAFE and university application being completed in the one application via SATAC (South Australian Tertiary Admission Centre), with a guaranteed entry into the university course on completion of the TAFE course. Application is also free to the student.</w:t>
      </w:r>
    </w:p>
    <w:p w14:paraId="1679190B" w14:textId="77777777" w:rsidR="0056690C" w:rsidRDefault="0056690C" w:rsidP="0056690C">
      <w:pPr>
        <w:pStyle w:val="ListBullet"/>
      </w:pPr>
      <w:r>
        <w:t>Non-ATAR entry options: students who may not have had an ATAR or did not meet the ATAR requirement are able to enter into bachelor’s qualifications through a TAFE pathway.</w:t>
      </w:r>
    </w:p>
    <w:p w14:paraId="3EC276F0" w14:textId="77777777" w:rsidR="0056690C" w:rsidRDefault="0056690C" w:rsidP="0056690C">
      <w:pPr>
        <w:pStyle w:val="ListBullet"/>
      </w:pPr>
      <w:r>
        <w:t>Established credit transfer agreements between TAFE and university saves students both time and money.</w:t>
      </w:r>
    </w:p>
    <w:p w14:paraId="147F20AF" w14:textId="1A6A9889" w:rsidR="00353FDB" w:rsidRPr="005D2F87" w:rsidRDefault="0056690C" w:rsidP="0056690C">
      <w:pPr>
        <w:pStyle w:val="ListBullet"/>
      </w:pPr>
      <w:r>
        <w:t>The qualification can be started whilst located regionally as there are TAFE campuses located in South Australian regional areas including in Ceduna, Port Augusta, and Coober Pedy. This saves study time, lowers living expenses and the need for relocation by the student</w:t>
      </w:r>
      <w:r w:rsidR="00AC2606" w:rsidRPr="00AC0957">
        <w:t>.</w:t>
      </w:r>
    </w:p>
    <w:tbl>
      <w:tblPr>
        <w:tblStyle w:val="TableGrid"/>
        <w:tblW w:w="0" w:type="auto"/>
        <w:tblLook w:val="04A0" w:firstRow="1" w:lastRow="0" w:firstColumn="1" w:lastColumn="0" w:noHBand="0" w:noVBand="1"/>
      </w:tblPr>
      <w:tblGrid>
        <w:gridCol w:w="9026"/>
      </w:tblGrid>
      <w:tr w:rsidR="00022FE1" w14:paraId="5614B3EF" w14:textId="77777777" w:rsidTr="00104002">
        <w:tc>
          <w:tcPr>
            <w:tcW w:w="9016" w:type="dxa"/>
            <w:tcBorders>
              <w:top w:val="nil"/>
              <w:left w:val="nil"/>
              <w:bottom w:val="nil"/>
              <w:right w:val="nil"/>
            </w:tcBorders>
            <w:shd w:val="clear" w:color="auto" w:fill="E0D1F5" w:themeFill="accent1" w:themeFillTint="33"/>
          </w:tcPr>
          <w:p w14:paraId="049A6C23" w14:textId="043584A4" w:rsidR="00022FE1" w:rsidRPr="00022FE1" w:rsidRDefault="00022FE1" w:rsidP="005D2F87">
            <w:pPr>
              <w:pStyle w:val="Heading5"/>
            </w:pPr>
            <w:r w:rsidRPr="00AC0957">
              <w:t>TAFE</w:t>
            </w:r>
            <w:r>
              <w:t xml:space="preserve"> </w:t>
            </w:r>
            <w:r w:rsidRPr="00AC0957">
              <w:t xml:space="preserve">SA and South Australian universities </w:t>
            </w:r>
          </w:p>
          <w:p w14:paraId="2DC80DF5" w14:textId="77777777" w:rsidR="00B6371B" w:rsidRPr="00B6371B" w:rsidRDefault="00B6371B" w:rsidP="00B6371B">
            <w:pPr>
              <w:rPr>
                <w:rFonts w:cs="Arial"/>
              </w:rPr>
            </w:pPr>
            <w:r w:rsidRPr="00B6371B">
              <w:rPr>
                <w:rFonts w:cs="Arial"/>
              </w:rPr>
              <w:t xml:space="preserve">Financial considerations like fees may be a barrier for students choosing the best course for them, and a more aligned tertiary system may help. Fee setting is state based for VET, so scenarios look different in each state and territory, adding further complexity to choice. Alongside the specifically designed dual-offer courses, TAFE SA and the South Australian universities have a range of credit recognition pathways students can use to save both time and money when completing their studies. </w:t>
            </w:r>
          </w:p>
          <w:p w14:paraId="6ECC3995" w14:textId="062EE4F1" w:rsidR="00B6371B" w:rsidRPr="00B6371B" w:rsidRDefault="00B6371B" w:rsidP="00B6371B">
            <w:pPr>
              <w:rPr>
                <w:rFonts w:cs="Arial"/>
              </w:rPr>
            </w:pPr>
            <w:r w:rsidRPr="00B6371B">
              <w:rPr>
                <w:rFonts w:cs="Arial"/>
              </w:rPr>
              <w:t>In a hypothetical example, ‘Michelle</w:t>
            </w:r>
            <w:r w:rsidR="00EC5F6A">
              <w:rPr>
                <w:rStyle w:val="FootnoteReference"/>
                <w:rFonts w:cs="Arial"/>
              </w:rPr>
              <w:footnoteReference w:id="32"/>
            </w:r>
            <w:r w:rsidRPr="00B6371B">
              <w:rPr>
                <w:rFonts w:cs="Arial"/>
              </w:rPr>
              <w:t>’ is a domestic student living in South Australia. She recently finished a Diploma of Information Technology (Advanced Networking) and (Cloud Engineering) Award Course at TAFE South Australia for 12 months for $8,113 under the state government subsidy scheme.</w:t>
            </w:r>
          </w:p>
          <w:p w14:paraId="2BC9F135" w14:textId="77777777" w:rsidR="00B6371B" w:rsidRPr="00B6371B" w:rsidRDefault="00B6371B" w:rsidP="00B6371B">
            <w:pPr>
              <w:rPr>
                <w:rFonts w:cs="Arial"/>
              </w:rPr>
            </w:pPr>
            <w:r w:rsidRPr="00B6371B">
              <w:rPr>
                <w:rFonts w:cs="Arial"/>
              </w:rPr>
              <w:t>Michelle wants to pursue a Bachelor of Information Technology (Networking and Cybersecurity) at the University of South Australia. The duration is 3 years (full-time), and the fee is $9,314/ year.</w:t>
            </w:r>
          </w:p>
          <w:p w14:paraId="7D373D44" w14:textId="77777777" w:rsidR="00B6371B" w:rsidRPr="00B6371B" w:rsidRDefault="00B6371B" w:rsidP="00B6371B">
            <w:pPr>
              <w:rPr>
                <w:rFonts w:cs="Arial"/>
              </w:rPr>
            </w:pPr>
            <w:r w:rsidRPr="00B6371B">
              <w:rPr>
                <w:rFonts w:cs="Arial"/>
              </w:rPr>
              <w:t xml:space="preserve">For comparison, there are 3 scenarios Michelle could consider for her studies. </w:t>
            </w:r>
          </w:p>
          <w:p w14:paraId="4B3650B0" w14:textId="77777777" w:rsidR="00B6371B" w:rsidRPr="00B6371B" w:rsidRDefault="00B6371B" w:rsidP="00B6371B">
            <w:pPr>
              <w:rPr>
                <w:rFonts w:cs="Arial"/>
              </w:rPr>
            </w:pPr>
            <w:r w:rsidRPr="00B6371B">
              <w:rPr>
                <w:rFonts w:cs="Arial"/>
              </w:rPr>
              <w:t>Scenario 1:</w:t>
            </w:r>
          </w:p>
          <w:p w14:paraId="7CC81F91" w14:textId="5DD74148" w:rsidR="00022FE1" w:rsidRPr="00AC0957" w:rsidRDefault="00B6371B" w:rsidP="00B6371B">
            <w:pPr>
              <w:rPr>
                <w:rFonts w:cs="Arial"/>
              </w:rPr>
            </w:pPr>
            <w:r w:rsidRPr="00B6371B">
              <w:rPr>
                <w:rFonts w:cs="Arial"/>
              </w:rPr>
              <w:t>In this scenario, Michelle completes a 1-year VET Diploma of IT through TAFE SA and she receives 1 year of credit towards the Bachelor of IT</w:t>
            </w:r>
            <w:r w:rsidR="009A3E77">
              <w:rPr>
                <w:rFonts w:cs="Arial"/>
              </w:rPr>
              <w:t xml:space="preserve"> (</w:t>
            </w:r>
            <w:r w:rsidR="009A3E77">
              <w:rPr>
                <w:rFonts w:cs="Arial"/>
              </w:rPr>
              <w:fldChar w:fldCharType="begin"/>
            </w:r>
            <w:r w:rsidR="009A3E77">
              <w:rPr>
                <w:rFonts w:cs="Arial"/>
              </w:rPr>
              <w:instrText xml:space="preserve"> REF _Ref181131280 \h </w:instrText>
            </w:r>
            <w:r w:rsidR="009A3E77">
              <w:rPr>
                <w:rFonts w:cs="Arial"/>
              </w:rPr>
            </w:r>
            <w:r w:rsidR="009A3E77">
              <w:rPr>
                <w:rFonts w:cs="Arial"/>
              </w:rPr>
              <w:fldChar w:fldCharType="separate"/>
            </w:r>
            <w:r w:rsidR="00C47A81">
              <w:t xml:space="preserve">Table </w:t>
            </w:r>
            <w:r w:rsidR="00C47A81">
              <w:rPr>
                <w:noProof/>
              </w:rPr>
              <w:t>17</w:t>
            </w:r>
            <w:r w:rsidR="009A3E77">
              <w:rPr>
                <w:rFonts w:cs="Arial"/>
              </w:rPr>
              <w:fldChar w:fldCharType="end"/>
            </w:r>
            <w:r w:rsidR="009A3E77">
              <w:rPr>
                <w:rFonts w:cs="Arial"/>
              </w:rPr>
              <w:t>)</w:t>
            </w:r>
            <w:r w:rsidR="00022FE1" w:rsidRPr="00AC0957">
              <w:rPr>
                <w:rFonts w:cs="Arial"/>
              </w:rPr>
              <w:t>.</w:t>
            </w:r>
          </w:p>
          <w:p w14:paraId="247000E1" w14:textId="4F7E886C" w:rsidR="00022FE1" w:rsidRDefault="00022FE1" w:rsidP="00022FE1">
            <w:pPr>
              <w:pStyle w:val="Caption"/>
            </w:pPr>
            <w:bookmarkStart w:id="285" w:name="_Ref181131280"/>
            <w:r>
              <w:t xml:space="preserve">Table </w:t>
            </w:r>
            <w:r>
              <w:fldChar w:fldCharType="begin"/>
            </w:r>
            <w:r>
              <w:instrText xml:space="preserve"> SEQ Table \* ARABIC </w:instrText>
            </w:r>
            <w:r>
              <w:fldChar w:fldCharType="separate"/>
            </w:r>
            <w:r w:rsidR="00C47A81">
              <w:rPr>
                <w:noProof/>
              </w:rPr>
              <w:t>17</w:t>
            </w:r>
            <w:r>
              <w:rPr>
                <w:noProof/>
              </w:rPr>
              <w:fldChar w:fldCharType="end"/>
            </w:r>
            <w:bookmarkEnd w:id="285"/>
            <w:r>
              <w:t xml:space="preserve">: </w:t>
            </w:r>
            <w:r w:rsidRPr="00197D10">
              <w:t>harmonisation example 1</w:t>
            </w:r>
          </w:p>
          <w:tbl>
            <w:tblPr>
              <w:tblStyle w:val="JSATable1"/>
              <w:tblW w:w="8825" w:type="dxa"/>
              <w:tblLayout w:type="fixed"/>
              <w:tblLook w:val="0020" w:firstRow="1" w:lastRow="0" w:firstColumn="0" w:lastColumn="0" w:noHBand="0" w:noVBand="0"/>
              <w:tblCaption w:val="Harmonisation example 1"/>
              <w:tblDescription w:val="The table shows the cost across the years of VET and Higher Education study under scenario 1 - with harmonisation and an award course. This pathway takes 3 years of study and costs $26,741 in total, for two qualifications."/>
            </w:tblPr>
            <w:tblGrid>
              <w:gridCol w:w="1103"/>
              <w:gridCol w:w="1103"/>
              <w:gridCol w:w="1103"/>
              <w:gridCol w:w="1103"/>
              <w:gridCol w:w="1103"/>
              <w:gridCol w:w="1103"/>
              <w:gridCol w:w="1103"/>
              <w:gridCol w:w="1104"/>
            </w:tblGrid>
            <w:tr w:rsidR="00AF13BB" w:rsidRPr="009653BF" w14:paraId="735F7C0B" w14:textId="6A06A248" w:rsidTr="00AF13BB">
              <w:trPr>
                <w:cnfStyle w:val="100000000000" w:firstRow="1" w:lastRow="0" w:firstColumn="0" w:lastColumn="0" w:oddVBand="0" w:evenVBand="0" w:oddHBand="0" w:evenHBand="0" w:firstRowFirstColumn="0" w:firstRowLastColumn="0" w:lastRowFirstColumn="0" w:lastRowLastColumn="0"/>
                <w:trHeight w:val="903"/>
              </w:trPr>
              <w:tc>
                <w:tcPr>
                  <w:tcW w:w="1103" w:type="dxa"/>
                </w:tcPr>
                <w:p w14:paraId="1B8FA3A9" w14:textId="432A7C14" w:rsidR="00AF13BB" w:rsidRPr="0068274C" w:rsidRDefault="00AF13BB" w:rsidP="00A21FD7">
                  <w:pPr>
                    <w:jc w:val="center"/>
                    <w:rPr>
                      <w:sz w:val="20"/>
                      <w:szCs w:val="20"/>
                    </w:rPr>
                  </w:pPr>
                  <w:r w:rsidRPr="0068274C">
                    <w:rPr>
                      <w:sz w:val="20"/>
                      <w:szCs w:val="20"/>
                    </w:rPr>
                    <w:t>VET Year 1</w:t>
                  </w:r>
                </w:p>
              </w:tc>
              <w:tc>
                <w:tcPr>
                  <w:tcW w:w="1103" w:type="dxa"/>
                </w:tcPr>
                <w:p w14:paraId="69456294" w14:textId="72917810" w:rsidR="00AF13BB" w:rsidRPr="0068274C" w:rsidRDefault="00AF13BB" w:rsidP="00A21FD7">
                  <w:pPr>
                    <w:jc w:val="center"/>
                    <w:rPr>
                      <w:sz w:val="20"/>
                      <w:szCs w:val="20"/>
                    </w:rPr>
                  </w:pPr>
                  <w:r w:rsidRPr="0068274C">
                    <w:rPr>
                      <w:sz w:val="20"/>
                      <w:szCs w:val="20"/>
                    </w:rPr>
                    <w:t>VET Year 2</w:t>
                  </w:r>
                </w:p>
              </w:tc>
              <w:tc>
                <w:tcPr>
                  <w:tcW w:w="1103" w:type="dxa"/>
                </w:tcPr>
                <w:p w14:paraId="2B1CED91" w14:textId="3A529425" w:rsidR="00AF13BB" w:rsidRPr="0068274C" w:rsidRDefault="00AF13BB" w:rsidP="00A21FD7">
                  <w:pPr>
                    <w:jc w:val="center"/>
                    <w:rPr>
                      <w:sz w:val="20"/>
                      <w:szCs w:val="20"/>
                    </w:rPr>
                  </w:pPr>
                  <w:r w:rsidRPr="0068274C">
                    <w:rPr>
                      <w:sz w:val="20"/>
                      <w:szCs w:val="20"/>
                    </w:rPr>
                    <w:t>VET Year 3</w:t>
                  </w:r>
                </w:p>
              </w:tc>
              <w:tc>
                <w:tcPr>
                  <w:tcW w:w="1103" w:type="dxa"/>
                </w:tcPr>
                <w:p w14:paraId="1BD3E69E" w14:textId="76D6A793" w:rsidR="00AF13BB" w:rsidRPr="0068274C" w:rsidRDefault="00AF13BB" w:rsidP="00A21FD7">
                  <w:pPr>
                    <w:jc w:val="center"/>
                    <w:rPr>
                      <w:sz w:val="20"/>
                      <w:szCs w:val="20"/>
                    </w:rPr>
                  </w:pPr>
                  <w:r w:rsidRPr="0068274C">
                    <w:rPr>
                      <w:sz w:val="20"/>
                      <w:szCs w:val="20"/>
                    </w:rPr>
                    <w:t>HE Year 1</w:t>
                  </w:r>
                </w:p>
              </w:tc>
              <w:tc>
                <w:tcPr>
                  <w:tcW w:w="1103" w:type="dxa"/>
                </w:tcPr>
                <w:p w14:paraId="42CFCDAB" w14:textId="0A1AF0BD" w:rsidR="00AF13BB" w:rsidRPr="0068274C" w:rsidRDefault="00AF13BB" w:rsidP="00A21FD7">
                  <w:pPr>
                    <w:jc w:val="center"/>
                    <w:rPr>
                      <w:sz w:val="20"/>
                      <w:szCs w:val="20"/>
                    </w:rPr>
                  </w:pPr>
                  <w:r w:rsidRPr="0068274C">
                    <w:rPr>
                      <w:sz w:val="20"/>
                      <w:szCs w:val="20"/>
                    </w:rPr>
                    <w:t>HE Year 2</w:t>
                  </w:r>
                </w:p>
              </w:tc>
              <w:tc>
                <w:tcPr>
                  <w:tcW w:w="1103" w:type="dxa"/>
                </w:tcPr>
                <w:p w14:paraId="3911E121" w14:textId="42E32BD9" w:rsidR="00AF13BB" w:rsidRPr="0068274C" w:rsidRDefault="00AF13BB" w:rsidP="00A21FD7">
                  <w:pPr>
                    <w:jc w:val="center"/>
                    <w:rPr>
                      <w:sz w:val="20"/>
                      <w:szCs w:val="20"/>
                    </w:rPr>
                  </w:pPr>
                  <w:r w:rsidRPr="0068274C">
                    <w:rPr>
                      <w:sz w:val="20"/>
                      <w:szCs w:val="20"/>
                    </w:rPr>
                    <w:t>HE Year 3</w:t>
                  </w:r>
                </w:p>
              </w:tc>
              <w:tc>
                <w:tcPr>
                  <w:tcW w:w="1103" w:type="dxa"/>
                </w:tcPr>
                <w:p w14:paraId="7DF677D1" w14:textId="084A90F2" w:rsidR="00AF13BB" w:rsidRPr="0068274C" w:rsidRDefault="00AF13BB" w:rsidP="00A21FD7">
                  <w:pPr>
                    <w:jc w:val="center"/>
                    <w:rPr>
                      <w:sz w:val="20"/>
                      <w:szCs w:val="20"/>
                    </w:rPr>
                  </w:pPr>
                  <w:r w:rsidRPr="0068274C">
                    <w:rPr>
                      <w:sz w:val="20"/>
                      <w:szCs w:val="20"/>
                    </w:rPr>
                    <w:t>Total</w:t>
                  </w:r>
                  <w:r w:rsidRPr="0068274C">
                    <w:rPr>
                      <w:rFonts w:cs="Arial"/>
                      <w:sz w:val="20"/>
                      <w:szCs w:val="20"/>
                    </w:rPr>
                    <w:t>​</w:t>
                  </w:r>
                  <w:r w:rsidRPr="0068274C">
                    <w:rPr>
                      <w:sz w:val="20"/>
                      <w:szCs w:val="20"/>
                    </w:rPr>
                    <w:t xml:space="preserve"> Time</w:t>
                  </w:r>
                </w:p>
              </w:tc>
              <w:tc>
                <w:tcPr>
                  <w:tcW w:w="1104" w:type="dxa"/>
                </w:tcPr>
                <w:p w14:paraId="1B8CA496" w14:textId="710B8D08" w:rsidR="00AF13BB" w:rsidRPr="0068274C" w:rsidRDefault="00E06C31" w:rsidP="00A21FD7">
                  <w:pPr>
                    <w:jc w:val="center"/>
                    <w:rPr>
                      <w:sz w:val="20"/>
                      <w:szCs w:val="20"/>
                    </w:rPr>
                  </w:pPr>
                  <w:r w:rsidRPr="0068274C">
                    <w:rPr>
                      <w:sz w:val="20"/>
                      <w:szCs w:val="20"/>
                    </w:rPr>
                    <w:t>Total Cost</w:t>
                  </w:r>
                  <w:r w:rsidR="008C04A1" w:rsidRPr="0068274C">
                    <w:rPr>
                      <w:sz w:val="20"/>
                      <w:szCs w:val="20"/>
                    </w:rPr>
                    <w:t>*</w:t>
                  </w:r>
                </w:p>
              </w:tc>
            </w:tr>
            <w:tr w:rsidR="00AF13BB" w:rsidRPr="0072174E" w14:paraId="3F17215A" w14:textId="120D4202" w:rsidTr="00472728">
              <w:trPr>
                <w:trHeight w:val="363"/>
              </w:trPr>
              <w:tc>
                <w:tcPr>
                  <w:tcW w:w="8825" w:type="dxa"/>
                  <w:gridSpan w:val="8"/>
                  <w:shd w:val="clear" w:color="auto" w:fill="E3EB9B" w:themeFill="background2" w:themeFillTint="99"/>
                </w:tcPr>
                <w:p w14:paraId="21AA07EB" w14:textId="6B1B1FF2" w:rsidR="00AF13BB" w:rsidRPr="0068274C" w:rsidRDefault="008C04A1" w:rsidP="008C04A1">
                  <w:pPr>
                    <w:jc w:val="center"/>
                    <w:rPr>
                      <w:sz w:val="20"/>
                      <w:szCs w:val="20"/>
                    </w:rPr>
                  </w:pPr>
                  <w:r w:rsidRPr="0068274C">
                    <w:rPr>
                      <w:sz w:val="20"/>
                      <w:szCs w:val="20"/>
                    </w:rPr>
                    <w:t>With Harmonisation – Award Course</w:t>
                  </w:r>
                </w:p>
              </w:tc>
            </w:tr>
            <w:tr w:rsidR="00A21FD7" w:rsidRPr="0072174E" w14:paraId="5507B22A" w14:textId="4E6113B9" w:rsidTr="00AF13BB">
              <w:trPr>
                <w:cnfStyle w:val="000000010000" w:firstRow="0" w:lastRow="0" w:firstColumn="0" w:lastColumn="0" w:oddVBand="0" w:evenVBand="0" w:oddHBand="0" w:evenHBand="1" w:firstRowFirstColumn="0" w:firstRowLastColumn="0" w:lastRowFirstColumn="0" w:lastRowLastColumn="0"/>
                <w:trHeight w:val="363"/>
              </w:trPr>
              <w:tc>
                <w:tcPr>
                  <w:tcW w:w="1103" w:type="dxa"/>
                  <w:shd w:val="clear" w:color="auto" w:fill="FFFFFF" w:themeFill="background1"/>
                </w:tcPr>
                <w:p w14:paraId="75674C1D" w14:textId="0AFA3DF5" w:rsidR="00A21FD7" w:rsidRPr="0068274C" w:rsidRDefault="00A21FD7" w:rsidP="00A21FD7">
                  <w:pPr>
                    <w:jc w:val="center"/>
                    <w:rPr>
                      <w:sz w:val="20"/>
                      <w:szCs w:val="20"/>
                    </w:rPr>
                  </w:pPr>
                  <w:r w:rsidRPr="0068274C">
                    <w:rPr>
                      <w:sz w:val="20"/>
                      <w:szCs w:val="20"/>
                    </w:rPr>
                    <w:t>$8,113</w:t>
                  </w:r>
                  <w:r w:rsidRPr="0068274C">
                    <w:rPr>
                      <w:rFonts w:cs="Arial"/>
                      <w:sz w:val="20"/>
                      <w:szCs w:val="20"/>
                    </w:rPr>
                    <w:t>​</w:t>
                  </w:r>
                </w:p>
              </w:tc>
              <w:tc>
                <w:tcPr>
                  <w:tcW w:w="1103" w:type="dxa"/>
                  <w:shd w:val="clear" w:color="auto" w:fill="FFFFFF" w:themeFill="background1"/>
                </w:tcPr>
                <w:p w14:paraId="16DFED3F" w14:textId="3D27882A" w:rsidR="00A21FD7" w:rsidRPr="0068274C" w:rsidRDefault="00A21FD7" w:rsidP="00A21FD7">
                  <w:pPr>
                    <w:jc w:val="center"/>
                    <w:rPr>
                      <w:sz w:val="20"/>
                      <w:szCs w:val="20"/>
                    </w:rPr>
                  </w:pPr>
                  <w:r w:rsidRPr="0068274C">
                    <w:rPr>
                      <w:sz w:val="20"/>
                      <w:szCs w:val="20"/>
                    </w:rPr>
                    <w:t>n/a</w:t>
                  </w:r>
                  <w:r w:rsidRPr="0068274C">
                    <w:rPr>
                      <w:rFonts w:cs="Arial"/>
                      <w:sz w:val="20"/>
                      <w:szCs w:val="20"/>
                    </w:rPr>
                    <w:t>​</w:t>
                  </w:r>
                </w:p>
              </w:tc>
              <w:tc>
                <w:tcPr>
                  <w:tcW w:w="1103" w:type="dxa"/>
                  <w:shd w:val="clear" w:color="auto" w:fill="FFFFFF" w:themeFill="background1"/>
                </w:tcPr>
                <w:p w14:paraId="279D5557" w14:textId="309F9AE3" w:rsidR="00A21FD7" w:rsidRPr="0068274C" w:rsidRDefault="00A21FD7" w:rsidP="00A21FD7">
                  <w:pPr>
                    <w:jc w:val="center"/>
                    <w:rPr>
                      <w:sz w:val="20"/>
                      <w:szCs w:val="20"/>
                    </w:rPr>
                  </w:pPr>
                  <w:r w:rsidRPr="0068274C">
                    <w:rPr>
                      <w:sz w:val="20"/>
                      <w:szCs w:val="20"/>
                    </w:rPr>
                    <w:t>n/a</w:t>
                  </w:r>
                  <w:r w:rsidRPr="0068274C">
                    <w:rPr>
                      <w:rFonts w:cs="Arial"/>
                      <w:sz w:val="20"/>
                      <w:szCs w:val="20"/>
                    </w:rPr>
                    <w:t>​</w:t>
                  </w:r>
                </w:p>
              </w:tc>
              <w:tc>
                <w:tcPr>
                  <w:tcW w:w="1103" w:type="dxa"/>
                  <w:shd w:val="clear" w:color="auto" w:fill="FFFFFF" w:themeFill="background1"/>
                </w:tcPr>
                <w:p w14:paraId="59DFC112" w14:textId="7605B1F4" w:rsidR="00A21FD7" w:rsidRPr="0068274C" w:rsidRDefault="00A21FD7" w:rsidP="00A21FD7">
                  <w:pPr>
                    <w:jc w:val="center"/>
                    <w:rPr>
                      <w:sz w:val="20"/>
                      <w:szCs w:val="20"/>
                    </w:rPr>
                  </w:pPr>
                  <w:r w:rsidRPr="0068274C">
                    <w:rPr>
                      <w:sz w:val="20"/>
                      <w:szCs w:val="20"/>
                    </w:rPr>
                    <w:t>Diploma Credit</w:t>
                  </w:r>
                  <w:r w:rsidRPr="0068274C">
                    <w:rPr>
                      <w:rFonts w:cs="Arial"/>
                      <w:sz w:val="20"/>
                      <w:szCs w:val="20"/>
                    </w:rPr>
                    <w:t>​</w:t>
                  </w:r>
                </w:p>
              </w:tc>
              <w:tc>
                <w:tcPr>
                  <w:tcW w:w="1103" w:type="dxa"/>
                  <w:shd w:val="clear" w:color="auto" w:fill="FFFFFF" w:themeFill="background1"/>
                </w:tcPr>
                <w:p w14:paraId="77FEC0E7" w14:textId="5388E662" w:rsidR="00A21FD7" w:rsidRPr="0068274C" w:rsidRDefault="00A21FD7" w:rsidP="00A21FD7">
                  <w:pPr>
                    <w:jc w:val="center"/>
                    <w:rPr>
                      <w:sz w:val="20"/>
                      <w:szCs w:val="20"/>
                    </w:rPr>
                  </w:pPr>
                  <w:r w:rsidRPr="0068274C">
                    <w:rPr>
                      <w:sz w:val="20"/>
                      <w:szCs w:val="20"/>
                    </w:rPr>
                    <w:t>$9,314</w:t>
                  </w:r>
                  <w:r w:rsidRPr="0068274C">
                    <w:rPr>
                      <w:rFonts w:cs="Arial"/>
                      <w:sz w:val="20"/>
                      <w:szCs w:val="20"/>
                    </w:rPr>
                    <w:t>​</w:t>
                  </w:r>
                </w:p>
              </w:tc>
              <w:tc>
                <w:tcPr>
                  <w:tcW w:w="1103" w:type="dxa"/>
                  <w:shd w:val="clear" w:color="auto" w:fill="FFFFFF" w:themeFill="background1"/>
                </w:tcPr>
                <w:p w14:paraId="033B574E" w14:textId="45FB2A79" w:rsidR="00A21FD7" w:rsidRPr="0068274C" w:rsidRDefault="00A21FD7" w:rsidP="00A21FD7">
                  <w:pPr>
                    <w:jc w:val="center"/>
                    <w:rPr>
                      <w:sz w:val="20"/>
                      <w:szCs w:val="20"/>
                    </w:rPr>
                  </w:pPr>
                  <w:r w:rsidRPr="0068274C">
                    <w:rPr>
                      <w:sz w:val="20"/>
                      <w:szCs w:val="20"/>
                    </w:rPr>
                    <w:t>$9,314</w:t>
                  </w:r>
                  <w:r w:rsidRPr="0068274C">
                    <w:rPr>
                      <w:rFonts w:cs="Arial"/>
                      <w:sz w:val="20"/>
                      <w:szCs w:val="20"/>
                    </w:rPr>
                    <w:t>​</w:t>
                  </w:r>
                </w:p>
              </w:tc>
              <w:tc>
                <w:tcPr>
                  <w:tcW w:w="1103" w:type="dxa"/>
                  <w:shd w:val="clear" w:color="auto" w:fill="FFFFFF" w:themeFill="background1"/>
                </w:tcPr>
                <w:p w14:paraId="169108B4" w14:textId="4F993AE0" w:rsidR="00A21FD7" w:rsidRPr="0068274C" w:rsidRDefault="00A21FD7" w:rsidP="00A21FD7">
                  <w:pPr>
                    <w:jc w:val="center"/>
                    <w:rPr>
                      <w:sz w:val="20"/>
                      <w:szCs w:val="20"/>
                    </w:rPr>
                  </w:pPr>
                  <w:r w:rsidRPr="0068274C">
                    <w:rPr>
                      <w:sz w:val="20"/>
                      <w:szCs w:val="20"/>
                    </w:rPr>
                    <w:t>3 years</w:t>
                  </w:r>
                  <w:r w:rsidRPr="0068274C">
                    <w:rPr>
                      <w:rFonts w:cs="Arial"/>
                      <w:sz w:val="20"/>
                      <w:szCs w:val="20"/>
                    </w:rPr>
                    <w:t>​</w:t>
                  </w:r>
                </w:p>
              </w:tc>
              <w:tc>
                <w:tcPr>
                  <w:tcW w:w="1104" w:type="dxa"/>
                  <w:shd w:val="clear" w:color="auto" w:fill="FFFFFF" w:themeFill="background1"/>
                </w:tcPr>
                <w:p w14:paraId="7D3E73AC" w14:textId="447471D3" w:rsidR="00A21FD7" w:rsidRPr="0068274C" w:rsidRDefault="00A21FD7" w:rsidP="00A21FD7">
                  <w:pPr>
                    <w:jc w:val="center"/>
                    <w:rPr>
                      <w:sz w:val="20"/>
                      <w:szCs w:val="20"/>
                    </w:rPr>
                  </w:pPr>
                  <w:r w:rsidRPr="0068274C">
                    <w:rPr>
                      <w:sz w:val="20"/>
                      <w:szCs w:val="20"/>
                    </w:rPr>
                    <w:t>$26,741</w:t>
                  </w:r>
                  <w:r w:rsidRPr="0068274C">
                    <w:rPr>
                      <w:rFonts w:cs="Arial"/>
                      <w:sz w:val="20"/>
                      <w:szCs w:val="20"/>
                    </w:rPr>
                    <w:t>​</w:t>
                  </w:r>
                </w:p>
              </w:tc>
            </w:tr>
          </w:tbl>
          <w:p w14:paraId="2B146B08" w14:textId="2F2D2804" w:rsidR="00022FE1" w:rsidRPr="00F55982" w:rsidRDefault="00EC5A8B" w:rsidP="005D2F87">
            <w:pPr>
              <w:pStyle w:val="Source"/>
            </w:pPr>
            <w:r w:rsidRPr="00EC5A8B">
              <w:t xml:space="preserve">Source: Diploma of Information Technology (Advanced Networking) </w:t>
            </w:r>
            <w:sdt>
              <w:sdtPr>
                <w:id w:val="1825929657"/>
                <w:citation/>
              </w:sdtPr>
              <w:sdtEndPr/>
              <w:sdtContent>
                <w:r>
                  <w:fldChar w:fldCharType="begin"/>
                </w:r>
                <w:r>
                  <w:instrText xml:space="preserve"> CITATION TAF241 \l 3081 </w:instrText>
                </w:r>
                <w:r>
                  <w:fldChar w:fldCharType="separate"/>
                </w:r>
                <w:r w:rsidR="00CA3587">
                  <w:rPr>
                    <w:noProof/>
                  </w:rPr>
                  <w:t>(TAFE SA, 2024)</w:t>
                </w:r>
                <w:r>
                  <w:fldChar w:fldCharType="end"/>
                </w:r>
              </w:sdtContent>
            </w:sdt>
            <w:r w:rsidRPr="00EC5A8B">
              <w:t xml:space="preserve"> and Student contributions data </w:t>
            </w:r>
            <w:sdt>
              <w:sdtPr>
                <w:id w:val="274595249"/>
                <w:citation/>
              </w:sdtPr>
              <w:sdtEndPr/>
              <w:sdtContent>
                <w:r>
                  <w:fldChar w:fldCharType="begin"/>
                </w:r>
                <w:r>
                  <w:instrText xml:space="preserve"> CITATION Uni241 \l 3081 </w:instrText>
                </w:r>
                <w:r>
                  <w:fldChar w:fldCharType="separate"/>
                </w:r>
                <w:r w:rsidR="00CA3587">
                  <w:rPr>
                    <w:noProof/>
                  </w:rPr>
                  <w:t>(University of South Australia, 2024)</w:t>
                </w:r>
                <w:r>
                  <w:fldChar w:fldCharType="end"/>
                </w:r>
              </w:sdtContent>
            </w:sdt>
            <w:r w:rsidR="00B21927">
              <w:t>.</w:t>
            </w:r>
          </w:p>
          <w:p w14:paraId="54283A4E" w14:textId="2B7C89DB" w:rsidR="0076579C" w:rsidRPr="0076579C" w:rsidRDefault="0076579C" w:rsidP="0076579C">
            <w:pPr>
              <w:rPr>
                <w:rFonts w:cs="Arial"/>
              </w:rPr>
            </w:pPr>
            <w:r w:rsidRPr="0076579C">
              <w:rPr>
                <w:rFonts w:cs="Arial"/>
              </w:rPr>
              <w:t xml:space="preserve">The completion of the Diploma and the recognition of 1 years’ worth of credit means Michelle only has to complete two years of university study. This pathway takes her 3 years of </w:t>
            </w:r>
            <w:r w:rsidR="00905D45" w:rsidRPr="0076579C">
              <w:rPr>
                <w:rFonts w:cs="Arial"/>
              </w:rPr>
              <w:t>full-time</w:t>
            </w:r>
            <w:r w:rsidRPr="0076579C">
              <w:rPr>
                <w:rFonts w:cs="Arial"/>
              </w:rPr>
              <w:t xml:space="preserve"> study and costs her $26,741</w:t>
            </w:r>
            <w:r w:rsidR="00905D45">
              <w:rPr>
                <w:rStyle w:val="FootnoteReference"/>
                <w:rFonts w:cs="Arial"/>
              </w:rPr>
              <w:footnoteReference w:id="33"/>
            </w:r>
            <w:r w:rsidR="008C52B1">
              <w:rPr>
                <w:rFonts w:cs="Arial"/>
              </w:rPr>
              <w:t xml:space="preserve"> </w:t>
            </w:r>
            <w:r w:rsidRPr="0076579C">
              <w:rPr>
                <w:rFonts w:cs="Arial"/>
              </w:rPr>
              <w:t xml:space="preserve">in total, for two qualifications. </w:t>
            </w:r>
          </w:p>
          <w:p w14:paraId="2651A70B" w14:textId="77777777" w:rsidR="0076579C" w:rsidRPr="0076579C" w:rsidRDefault="0076579C" w:rsidP="0076579C">
            <w:pPr>
              <w:rPr>
                <w:rFonts w:cs="Arial"/>
              </w:rPr>
            </w:pPr>
            <w:r w:rsidRPr="0076579C">
              <w:rPr>
                <w:rFonts w:cs="Arial"/>
              </w:rPr>
              <w:t>This is an example of harmonisation where a ‘pathway’ between VET and HE is established through the granting of credit.</w:t>
            </w:r>
          </w:p>
          <w:p w14:paraId="25820945" w14:textId="77777777" w:rsidR="0076579C" w:rsidRPr="0076579C" w:rsidRDefault="0076579C" w:rsidP="0076579C">
            <w:pPr>
              <w:rPr>
                <w:rFonts w:cs="Arial"/>
              </w:rPr>
            </w:pPr>
            <w:r w:rsidRPr="0076579C">
              <w:rPr>
                <w:rFonts w:cs="Arial"/>
              </w:rPr>
              <w:t>Scenario 2:</w:t>
            </w:r>
          </w:p>
          <w:p w14:paraId="752B8CB5" w14:textId="123E7D45" w:rsidR="00022FE1" w:rsidRPr="00AC0957" w:rsidRDefault="0076579C" w:rsidP="0076579C">
            <w:pPr>
              <w:keepLines/>
              <w:rPr>
                <w:rFonts w:cs="Arial"/>
              </w:rPr>
            </w:pPr>
            <w:r w:rsidRPr="0076579C">
              <w:rPr>
                <w:rFonts w:cs="Arial"/>
              </w:rPr>
              <w:t>In scenario 2, Michelle undertakes the same qualifications as in scenario 1 but no credit is awarded and the TAFE and university qualifications are undertaken separately. This scenario is theoretical and explores what would happen when there is no harmonisation between the TAFE and the university. In this scenario, credit recognition for the study Michelle completed in the TAFE Diploma does not exist</w:t>
            </w:r>
            <w:r w:rsidR="007D08B6">
              <w:rPr>
                <w:rFonts w:cs="Arial"/>
              </w:rPr>
              <w:t xml:space="preserve"> (</w:t>
            </w:r>
            <w:r w:rsidR="007D08B6">
              <w:rPr>
                <w:rFonts w:cs="Arial"/>
              </w:rPr>
              <w:fldChar w:fldCharType="begin"/>
            </w:r>
            <w:r w:rsidR="007D08B6">
              <w:rPr>
                <w:rFonts w:cs="Arial"/>
              </w:rPr>
              <w:instrText xml:space="preserve"> REF _Ref181131842 \h </w:instrText>
            </w:r>
            <w:r w:rsidR="007D08B6">
              <w:rPr>
                <w:rFonts w:cs="Arial"/>
              </w:rPr>
            </w:r>
            <w:r w:rsidR="007D08B6">
              <w:rPr>
                <w:rFonts w:cs="Arial"/>
              </w:rPr>
              <w:fldChar w:fldCharType="separate"/>
            </w:r>
            <w:r w:rsidR="00C47A81">
              <w:t xml:space="preserve">Table </w:t>
            </w:r>
            <w:r w:rsidR="00C47A81">
              <w:rPr>
                <w:noProof/>
              </w:rPr>
              <w:t>18</w:t>
            </w:r>
            <w:r w:rsidR="007D08B6">
              <w:rPr>
                <w:rFonts w:cs="Arial"/>
              </w:rPr>
              <w:fldChar w:fldCharType="end"/>
            </w:r>
            <w:r w:rsidR="00022FE1">
              <w:rPr>
                <w:rFonts w:cs="Arial"/>
              </w:rPr>
              <w:t>)</w:t>
            </w:r>
            <w:r w:rsidR="00022FE1" w:rsidRPr="00AC0957">
              <w:rPr>
                <w:rFonts w:cs="Arial"/>
              </w:rPr>
              <w:t xml:space="preserve">. </w:t>
            </w:r>
          </w:p>
          <w:p w14:paraId="22C1E3AE" w14:textId="61AF8DC4" w:rsidR="00022FE1" w:rsidRDefault="00022FE1" w:rsidP="00022FE1">
            <w:pPr>
              <w:pStyle w:val="Caption"/>
            </w:pPr>
            <w:bookmarkStart w:id="286" w:name="_Ref181131842"/>
            <w:r>
              <w:t xml:space="preserve">Table </w:t>
            </w:r>
            <w:r>
              <w:fldChar w:fldCharType="begin"/>
            </w:r>
            <w:r>
              <w:instrText xml:space="preserve"> SEQ Table \* ARABIC </w:instrText>
            </w:r>
            <w:r>
              <w:fldChar w:fldCharType="separate"/>
            </w:r>
            <w:r w:rsidR="00C47A81">
              <w:rPr>
                <w:noProof/>
              </w:rPr>
              <w:t>18</w:t>
            </w:r>
            <w:r>
              <w:rPr>
                <w:noProof/>
              </w:rPr>
              <w:fldChar w:fldCharType="end"/>
            </w:r>
            <w:bookmarkEnd w:id="286"/>
            <w:r>
              <w:t xml:space="preserve">: </w:t>
            </w:r>
            <w:r w:rsidRPr="004B5E13">
              <w:t xml:space="preserve">harmonisation example </w:t>
            </w:r>
            <w:r>
              <w:t>2</w:t>
            </w:r>
          </w:p>
          <w:tbl>
            <w:tblPr>
              <w:tblStyle w:val="JSATable1"/>
              <w:tblW w:w="8825" w:type="dxa"/>
              <w:tblLayout w:type="fixed"/>
              <w:tblLook w:val="0020" w:firstRow="1" w:lastRow="0" w:firstColumn="0" w:lastColumn="0" w:noHBand="0" w:noVBand="0"/>
              <w:tblCaption w:val="Harmonisation example 2"/>
              <w:tblDescription w:val="The table shows the cost across years of VET and Higher Education study under scenario 2 – without harmonisation and with VET and Higher Education study taken separately and consecutively. This pathway takes 4 years of study and costs $36,055 in total, for two qualifications. "/>
            </w:tblPr>
            <w:tblGrid>
              <w:gridCol w:w="1103"/>
              <w:gridCol w:w="1103"/>
              <w:gridCol w:w="1103"/>
              <w:gridCol w:w="1103"/>
              <w:gridCol w:w="1103"/>
              <w:gridCol w:w="1103"/>
              <w:gridCol w:w="1103"/>
              <w:gridCol w:w="1104"/>
            </w:tblGrid>
            <w:tr w:rsidR="00E22FAA" w:rsidRPr="009653BF" w14:paraId="6B79CB87" w14:textId="77777777" w:rsidTr="00472728">
              <w:trPr>
                <w:cnfStyle w:val="100000000000" w:firstRow="1" w:lastRow="0" w:firstColumn="0" w:lastColumn="0" w:oddVBand="0" w:evenVBand="0" w:oddHBand="0" w:evenHBand="0" w:firstRowFirstColumn="0" w:firstRowLastColumn="0" w:lastRowFirstColumn="0" w:lastRowLastColumn="0"/>
                <w:trHeight w:val="903"/>
              </w:trPr>
              <w:tc>
                <w:tcPr>
                  <w:tcW w:w="1103" w:type="dxa"/>
                </w:tcPr>
                <w:p w14:paraId="68CC7790" w14:textId="77777777" w:rsidR="00E22FAA" w:rsidRPr="0068274C" w:rsidRDefault="00E22FAA" w:rsidP="00E22FAA">
                  <w:pPr>
                    <w:jc w:val="center"/>
                    <w:rPr>
                      <w:sz w:val="20"/>
                      <w:szCs w:val="20"/>
                    </w:rPr>
                  </w:pPr>
                  <w:r w:rsidRPr="0068274C">
                    <w:rPr>
                      <w:sz w:val="20"/>
                      <w:szCs w:val="20"/>
                    </w:rPr>
                    <w:t>VET Year 1</w:t>
                  </w:r>
                  <w:r w:rsidRPr="0068274C">
                    <w:rPr>
                      <w:rFonts w:cs="Arial"/>
                      <w:sz w:val="20"/>
                      <w:szCs w:val="20"/>
                    </w:rPr>
                    <w:t>​</w:t>
                  </w:r>
                </w:p>
              </w:tc>
              <w:tc>
                <w:tcPr>
                  <w:tcW w:w="1103" w:type="dxa"/>
                </w:tcPr>
                <w:p w14:paraId="0713B1FF" w14:textId="77777777" w:rsidR="00E22FAA" w:rsidRPr="0068274C" w:rsidRDefault="00E22FAA" w:rsidP="00E22FAA">
                  <w:pPr>
                    <w:jc w:val="center"/>
                    <w:rPr>
                      <w:sz w:val="20"/>
                      <w:szCs w:val="20"/>
                    </w:rPr>
                  </w:pPr>
                  <w:r w:rsidRPr="0068274C">
                    <w:rPr>
                      <w:sz w:val="20"/>
                      <w:szCs w:val="20"/>
                    </w:rPr>
                    <w:t>VET Year 2</w:t>
                  </w:r>
                  <w:r w:rsidRPr="0068274C">
                    <w:rPr>
                      <w:rFonts w:cs="Arial"/>
                      <w:sz w:val="20"/>
                      <w:szCs w:val="20"/>
                    </w:rPr>
                    <w:t>​</w:t>
                  </w:r>
                </w:p>
              </w:tc>
              <w:tc>
                <w:tcPr>
                  <w:tcW w:w="1103" w:type="dxa"/>
                </w:tcPr>
                <w:p w14:paraId="19A03F95" w14:textId="77777777" w:rsidR="00E22FAA" w:rsidRPr="0068274C" w:rsidRDefault="00E22FAA" w:rsidP="00E22FAA">
                  <w:pPr>
                    <w:jc w:val="center"/>
                    <w:rPr>
                      <w:sz w:val="20"/>
                      <w:szCs w:val="20"/>
                    </w:rPr>
                  </w:pPr>
                  <w:r w:rsidRPr="0068274C">
                    <w:rPr>
                      <w:sz w:val="20"/>
                      <w:szCs w:val="20"/>
                    </w:rPr>
                    <w:t>VET Year 3</w:t>
                  </w:r>
                  <w:r w:rsidRPr="0068274C">
                    <w:rPr>
                      <w:rFonts w:cs="Arial"/>
                      <w:sz w:val="20"/>
                      <w:szCs w:val="20"/>
                    </w:rPr>
                    <w:t>​</w:t>
                  </w:r>
                </w:p>
              </w:tc>
              <w:tc>
                <w:tcPr>
                  <w:tcW w:w="1103" w:type="dxa"/>
                </w:tcPr>
                <w:p w14:paraId="33B3F698" w14:textId="77777777" w:rsidR="00E22FAA" w:rsidRPr="0068274C" w:rsidRDefault="00E22FAA" w:rsidP="00E22FAA">
                  <w:pPr>
                    <w:jc w:val="center"/>
                    <w:rPr>
                      <w:sz w:val="20"/>
                      <w:szCs w:val="20"/>
                    </w:rPr>
                  </w:pPr>
                  <w:r w:rsidRPr="0068274C">
                    <w:rPr>
                      <w:sz w:val="20"/>
                      <w:szCs w:val="20"/>
                    </w:rPr>
                    <w:t>HE Year 1</w:t>
                  </w:r>
                  <w:r w:rsidRPr="0068274C">
                    <w:rPr>
                      <w:rFonts w:cs="Arial"/>
                      <w:sz w:val="20"/>
                      <w:szCs w:val="20"/>
                    </w:rPr>
                    <w:t>​</w:t>
                  </w:r>
                </w:p>
              </w:tc>
              <w:tc>
                <w:tcPr>
                  <w:tcW w:w="1103" w:type="dxa"/>
                </w:tcPr>
                <w:p w14:paraId="1A07F94A" w14:textId="77777777" w:rsidR="00E22FAA" w:rsidRPr="0068274C" w:rsidRDefault="00E22FAA" w:rsidP="00E22FAA">
                  <w:pPr>
                    <w:jc w:val="center"/>
                    <w:rPr>
                      <w:sz w:val="20"/>
                      <w:szCs w:val="20"/>
                    </w:rPr>
                  </w:pPr>
                  <w:r w:rsidRPr="0068274C">
                    <w:rPr>
                      <w:sz w:val="20"/>
                      <w:szCs w:val="20"/>
                    </w:rPr>
                    <w:t>HE Year 2</w:t>
                  </w:r>
                  <w:r w:rsidRPr="0068274C">
                    <w:rPr>
                      <w:rFonts w:cs="Arial"/>
                      <w:sz w:val="20"/>
                      <w:szCs w:val="20"/>
                    </w:rPr>
                    <w:t>​</w:t>
                  </w:r>
                </w:p>
              </w:tc>
              <w:tc>
                <w:tcPr>
                  <w:tcW w:w="1103" w:type="dxa"/>
                </w:tcPr>
                <w:p w14:paraId="3EF35E14" w14:textId="77777777" w:rsidR="00E22FAA" w:rsidRPr="0068274C" w:rsidRDefault="00E22FAA" w:rsidP="00E22FAA">
                  <w:pPr>
                    <w:jc w:val="center"/>
                    <w:rPr>
                      <w:sz w:val="20"/>
                      <w:szCs w:val="20"/>
                    </w:rPr>
                  </w:pPr>
                  <w:r w:rsidRPr="0068274C">
                    <w:rPr>
                      <w:sz w:val="20"/>
                      <w:szCs w:val="20"/>
                    </w:rPr>
                    <w:t>HE Year 3</w:t>
                  </w:r>
                  <w:r w:rsidRPr="0068274C">
                    <w:rPr>
                      <w:rFonts w:cs="Arial"/>
                      <w:sz w:val="20"/>
                      <w:szCs w:val="20"/>
                    </w:rPr>
                    <w:t>​</w:t>
                  </w:r>
                </w:p>
              </w:tc>
              <w:tc>
                <w:tcPr>
                  <w:tcW w:w="1103" w:type="dxa"/>
                </w:tcPr>
                <w:p w14:paraId="196D0913" w14:textId="77777777" w:rsidR="00E22FAA" w:rsidRPr="0068274C" w:rsidRDefault="00E22FAA" w:rsidP="00E22FAA">
                  <w:pPr>
                    <w:jc w:val="center"/>
                    <w:rPr>
                      <w:sz w:val="20"/>
                      <w:szCs w:val="20"/>
                    </w:rPr>
                  </w:pPr>
                  <w:r w:rsidRPr="0068274C">
                    <w:rPr>
                      <w:sz w:val="20"/>
                      <w:szCs w:val="20"/>
                    </w:rPr>
                    <w:t>Total</w:t>
                  </w:r>
                  <w:r w:rsidRPr="0068274C">
                    <w:rPr>
                      <w:rFonts w:cs="Arial"/>
                      <w:sz w:val="20"/>
                      <w:szCs w:val="20"/>
                    </w:rPr>
                    <w:t>​</w:t>
                  </w:r>
                  <w:r w:rsidRPr="0068274C">
                    <w:rPr>
                      <w:sz w:val="20"/>
                      <w:szCs w:val="20"/>
                    </w:rPr>
                    <w:t xml:space="preserve"> Time</w:t>
                  </w:r>
                </w:p>
              </w:tc>
              <w:tc>
                <w:tcPr>
                  <w:tcW w:w="1104" w:type="dxa"/>
                </w:tcPr>
                <w:p w14:paraId="0701CF49" w14:textId="77777777" w:rsidR="00E22FAA" w:rsidRPr="0068274C" w:rsidRDefault="00E22FAA" w:rsidP="00E22FAA">
                  <w:pPr>
                    <w:jc w:val="center"/>
                    <w:rPr>
                      <w:sz w:val="20"/>
                      <w:szCs w:val="20"/>
                    </w:rPr>
                  </w:pPr>
                  <w:r w:rsidRPr="0068274C">
                    <w:rPr>
                      <w:sz w:val="20"/>
                      <w:szCs w:val="20"/>
                    </w:rPr>
                    <w:t>Total Cost*</w:t>
                  </w:r>
                </w:p>
              </w:tc>
            </w:tr>
            <w:tr w:rsidR="00E22FAA" w:rsidRPr="0072174E" w14:paraId="276454E5" w14:textId="77777777" w:rsidTr="00472728">
              <w:trPr>
                <w:trHeight w:val="363"/>
              </w:trPr>
              <w:tc>
                <w:tcPr>
                  <w:tcW w:w="8825" w:type="dxa"/>
                  <w:gridSpan w:val="8"/>
                  <w:shd w:val="clear" w:color="auto" w:fill="E3EB9B" w:themeFill="background2" w:themeFillTint="99"/>
                </w:tcPr>
                <w:p w14:paraId="3A81FA19" w14:textId="7FD6D601" w:rsidR="00E22FAA" w:rsidRPr="0068274C" w:rsidRDefault="00E22FAA" w:rsidP="00E22FAA">
                  <w:pPr>
                    <w:jc w:val="center"/>
                    <w:rPr>
                      <w:sz w:val="20"/>
                      <w:szCs w:val="20"/>
                    </w:rPr>
                  </w:pPr>
                  <w:r w:rsidRPr="0068274C">
                    <w:rPr>
                      <w:sz w:val="20"/>
                      <w:szCs w:val="20"/>
                    </w:rPr>
                    <w:t>With</w:t>
                  </w:r>
                  <w:r w:rsidR="00024833" w:rsidRPr="0068274C">
                    <w:rPr>
                      <w:sz w:val="20"/>
                      <w:szCs w:val="20"/>
                    </w:rPr>
                    <w:t>out</w:t>
                  </w:r>
                  <w:r w:rsidRPr="0068274C">
                    <w:rPr>
                      <w:sz w:val="20"/>
                      <w:szCs w:val="20"/>
                    </w:rPr>
                    <w:t xml:space="preserve"> Harmonisation – </w:t>
                  </w:r>
                  <w:r w:rsidR="00024833" w:rsidRPr="0068274C">
                    <w:rPr>
                      <w:sz w:val="20"/>
                      <w:szCs w:val="20"/>
                    </w:rPr>
                    <w:t>VET and HE undertaken separately and consecutively</w:t>
                  </w:r>
                </w:p>
              </w:tc>
            </w:tr>
            <w:tr w:rsidR="00544D44" w:rsidRPr="0072174E" w14:paraId="36FAAD82" w14:textId="77777777" w:rsidTr="00472728">
              <w:trPr>
                <w:cnfStyle w:val="000000010000" w:firstRow="0" w:lastRow="0" w:firstColumn="0" w:lastColumn="0" w:oddVBand="0" w:evenVBand="0" w:oddHBand="0" w:evenHBand="1" w:firstRowFirstColumn="0" w:firstRowLastColumn="0" w:lastRowFirstColumn="0" w:lastRowLastColumn="0"/>
                <w:trHeight w:val="363"/>
              </w:trPr>
              <w:tc>
                <w:tcPr>
                  <w:tcW w:w="1103" w:type="dxa"/>
                  <w:shd w:val="clear" w:color="auto" w:fill="FFFFFF" w:themeFill="background1"/>
                </w:tcPr>
                <w:p w14:paraId="4F19976D" w14:textId="7E8A5957" w:rsidR="00544D44" w:rsidRPr="0068274C" w:rsidRDefault="00544D44" w:rsidP="00544D44">
                  <w:pPr>
                    <w:jc w:val="center"/>
                    <w:rPr>
                      <w:sz w:val="20"/>
                      <w:szCs w:val="20"/>
                    </w:rPr>
                  </w:pPr>
                  <w:r w:rsidRPr="0068274C">
                    <w:rPr>
                      <w:sz w:val="20"/>
                      <w:szCs w:val="20"/>
                    </w:rPr>
                    <w:t>$8,113</w:t>
                  </w:r>
                </w:p>
              </w:tc>
              <w:tc>
                <w:tcPr>
                  <w:tcW w:w="1103" w:type="dxa"/>
                  <w:shd w:val="clear" w:color="auto" w:fill="FFFFFF" w:themeFill="background1"/>
                </w:tcPr>
                <w:p w14:paraId="23D32051" w14:textId="3566074B" w:rsidR="00544D44" w:rsidRPr="0068274C" w:rsidRDefault="00544D44" w:rsidP="00544D44">
                  <w:pPr>
                    <w:jc w:val="center"/>
                    <w:rPr>
                      <w:sz w:val="20"/>
                      <w:szCs w:val="20"/>
                    </w:rPr>
                  </w:pPr>
                  <w:r w:rsidRPr="0068274C">
                    <w:rPr>
                      <w:sz w:val="20"/>
                      <w:szCs w:val="20"/>
                    </w:rPr>
                    <w:t>n/a</w:t>
                  </w:r>
                  <w:r w:rsidRPr="0068274C">
                    <w:rPr>
                      <w:rFonts w:cs="Arial"/>
                      <w:sz w:val="20"/>
                      <w:szCs w:val="20"/>
                    </w:rPr>
                    <w:t>​</w:t>
                  </w:r>
                </w:p>
              </w:tc>
              <w:tc>
                <w:tcPr>
                  <w:tcW w:w="1103" w:type="dxa"/>
                  <w:shd w:val="clear" w:color="auto" w:fill="FFFFFF" w:themeFill="background1"/>
                </w:tcPr>
                <w:p w14:paraId="758B9698" w14:textId="7E25274F" w:rsidR="00544D44" w:rsidRPr="0068274C" w:rsidRDefault="00544D44" w:rsidP="00544D44">
                  <w:pPr>
                    <w:jc w:val="center"/>
                    <w:rPr>
                      <w:sz w:val="20"/>
                      <w:szCs w:val="20"/>
                    </w:rPr>
                  </w:pPr>
                  <w:r w:rsidRPr="0068274C">
                    <w:rPr>
                      <w:sz w:val="20"/>
                      <w:szCs w:val="20"/>
                    </w:rPr>
                    <w:t>n/a</w:t>
                  </w:r>
                  <w:r w:rsidRPr="0068274C">
                    <w:rPr>
                      <w:rFonts w:cs="Arial"/>
                      <w:sz w:val="20"/>
                      <w:szCs w:val="20"/>
                    </w:rPr>
                    <w:t>​</w:t>
                  </w:r>
                </w:p>
              </w:tc>
              <w:tc>
                <w:tcPr>
                  <w:tcW w:w="1103" w:type="dxa"/>
                  <w:shd w:val="clear" w:color="auto" w:fill="FFFFFF" w:themeFill="background1"/>
                </w:tcPr>
                <w:p w14:paraId="071D36E4" w14:textId="34DBAD7F" w:rsidR="00544D44" w:rsidRPr="0068274C" w:rsidRDefault="00544D44" w:rsidP="00544D44">
                  <w:pPr>
                    <w:jc w:val="center"/>
                    <w:rPr>
                      <w:sz w:val="20"/>
                      <w:szCs w:val="20"/>
                    </w:rPr>
                  </w:pPr>
                  <w:r w:rsidRPr="0068274C">
                    <w:rPr>
                      <w:sz w:val="20"/>
                      <w:szCs w:val="20"/>
                    </w:rPr>
                    <w:t>$9,314</w:t>
                  </w:r>
                  <w:r w:rsidRPr="0068274C">
                    <w:rPr>
                      <w:rFonts w:cs="Arial"/>
                      <w:sz w:val="20"/>
                      <w:szCs w:val="20"/>
                    </w:rPr>
                    <w:t>​</w:t>
                  </w:r>
                </w:p>
              </w:tc>
              <w:tc>
                <w:tcPr>
                  <w:tcW w:w="1103" w:type="dxa"/>
                  <w:shd w:val="clear" w:color="auto" w:fill="FFFFFF" w:themeFill="background1"/>
                </w:tcPr>
                <w:p w14:paraId="06CF6B13" w14:textId="71E56B8F" w:rsidR="00544D44" w:rsidRPr="0068274C" w:rsidRDefault="00544D44" w:rsidP="00544D44">
                  <w:pPr>
                    <w:jc w:val="center"/>
                    <w:rPr>
                      <w:sz w:val="20"/>
                      <w:szCs w:val="20"/>
                    </w:rPr>
                  </w:pPr>
                  <w:r w:rsidRPr="0068274C">
                    <w:rPr>
                      <w:sz w:val="20"/>
                      <w:szCs w:val="20"/>
                    </w:rPr>
                    <w:t>$9,314</w:t>
                  </w:r>
                  <w:r w:rsidRPr="0068274C">
                    <w:rPr>
                      <w:rFonts w:cs="Arial"/>
                      <w:sz w:val="20"/>
                      <w:szCs w:val="20"/>
                    </w:rPr>
                    <w:t>​</w:t>
                  </w:r>
                </w:p>
              </w:tc>
              <w:tc>
                <w:tcPr>
                  <w:tcW w:w="1103" w:type="dxa"/>
                  <w:shd w:val="clear" w:color="auto" w:fill="FFFFFF" w:themeFill="background1"/>
                </w:tcPr>
                <w:p w14:paraId="5E4B6BC0" w14:textId="35FFD7CB" w:rsidR="00544D44" w:rsidRPr="0068274C" w:rsidRDefault="00544D44" w:rsidP="00544D44">
                  <w:pPr>
                    <w:jc w:val="center"/>
                    <w:rPr>
                      <w:sz w:val="20"/>
                      <w:szCs w:val="20"/>
                    </w:rPr>
                  </w:pPr>
                  <w:r w:rsidRPr="0068274C">
                    <w:rPr>
                      <w:sz w:val="20"/>
                      <w:szCs w:val="20"/>
                    </w:rPr>
                    <w:t>$9,314</w:t>
                  </w:r>
                  <w:r w:rsidRPr="0068274C">
                    <w:rPr>
                      <w:rFonts w:cs="Arial"/>
                      <w:sz w:val="20"/>
                      <w:szCs w:val="20"/>
                    </w:rPr>
                    <w:t>​</w:t>
                  </w:r>
                </w:p>
              </w:tc>
              <w:tc>
                <w:tcPr>
                  <w:tcW w:w="1103" w:type="dxa"/>
                  <w:shd w:val="clear" w:color="auto" w:fill="FFFFFF" w:themeFill="background1"/>
                </w:tcPr>
                <w:p w14:paraId="0E719944" w14:textId="164F90B1" w:rsidR="00544D44" w:rsidRPr="0068274C" w:rsidRDefault="00544D44" w:rsidP="00544D44">
                  <w:pPr>
                    <w:jc w:val="center"/>
                    <w:rPr>
                      <w:sz w:val="20"/>
                      <w:szCs w:val="20"/>
                    </w:rPr>
                  </w:pPr>
                  <w:r w:rsidRPr="0068274C">
                    <w:rPr>
                      <w:sz w:val="20"/>
                      <w:szCs w:val="20"/>
                    </w:rPr>
                    <w:t>4 years</w:t>
                  </w:r>
                  <w:r w:rsidRPr="0068274C">
                    <w:rPr>
                      <w:rFonts w:cs="Arial"/>
                      <w:sz w:val="20"/>
                      <w:szCs w:val="20"/>
                    </w:rPr>
                    <w:t>​</w:t>
                  </w:r>
                </w:p>
              </w:tc>
              <w:tc>
                <w:tcPr>
                  <w:tcW w:w="1104" w:type="dxa"/>
                  <w:shd w:val="clear" w:color="auto" w:fill="FFFFFF" w:themeFill="background1"/>
                </w:tcPr>
                <w:p w14:paraId="37118A7D" w14:textId="00F55770" w:rsidR="00544D44" w:rsidRPr="0068274C" w:rsidRDefault="00544D44" w:rsidP="00544D44">
                  <w:pPr>
                    <w:jc w:val="center"/>
                    <w:rPr>
                      <w:sz w:val="20"/>
                      <w:szCs w:val="20"/>
                    </w:rPr>
                  </w:pPr>
                  <w:r w:rsidRPr="0068274C">
                    <w:rPr>
                      <w:sz w:val="20"/>
                      <w:szCs w:val="20"/>
                    </w:rPr>
                    <w:t>$36,055</w:t>
                  </w:r>
                  <w:r w:rsidRPr="0068274C">
                    <w:rPr>
                      <w:rFonts w:cs="Arial"/>
                      <w:sz w:val="20"/>
                      <w:szCs w:val="20"/>
                    </w:rPr>
                    <w:t>​</w:t>
                  </w:r>
                </w:p>
              </w:tc>
            </w:tr>
          </w:tbl>
          <w:p w14:paraId="05F40795" w14:textId="675CE306" w:rsidR="00090C29" w:rsidRPr="00F55982" w:rsidRDefault="00090C29" w:rsidP="00090C29">
            <w:pPr>
              <w:pStyle w:val="Source"/>
            </w:pPr>
            <w:r w:rsidRPr="00EC5A8B">
              <w:t xml:space="preserve">Source: Diploma of Information Technology (Advanced Networking) </w:t>
            </w:r>
            <w:sdt>
              <w:sdtPr>
                <w:id w:val="-1755427161"/>
                <w:citation/>
              </w:sdtPr>
              <w:sdtEndPr/>
              <w:sdtContent>
                <w:r>
                  <w:fldChar w:fldCharType="begin"/>
                </w:r>
                <w:r>
                  <w:instrText xml:space="preserve"> CITATION TAF241 \l 3081 </w:instrText>
                </w:r>
                <w:r>
                  <w:fldChar w:fldCharType="separate"/>
                </w:r>
                <w:r w:rsidR="00CA3587">
                  <w:rPr>
                    <w:noProof/>
                  </w:rPr>
                  <w:t>(TAFE SA, 2024)</w:t>
                </w:r>
                <w:r>
                  <w:fldChar w:fldCharType="end"/>
                </w:r>
              </w:sdtContent>
            </w:sdt>
            <w:r w:rsidRPr="00EC5A8B">
              <w:t xml:space="preserve"> and Student contributions data </w:t>
            </w:r>
            <w:sdt>
              <w:sdtPr>
                <w:id w:val="-1385162879"/>
                <w:citation/>
              </w:sdtPr>
              <w:sdtEndPr/>
              <w:sdtContent>
                <w:r>
                  <w:fldChar w:fldCharType="begin"/>
                </w:r>
                <w:r>
                  <w:instrText xml:space="preserve"> CITATION Uni241 \l 3081 </w:instrText>
                </w:r>
                <w:r>
                  <w:fldChar w:fldCharType="separate"/>
                </w:r>
                <w:r w:rsidR="00CA3587">
                  <w:rPr>
                    <w:noProof/>
                  </w:rPr>
                  <w:t>(University of South Australia, 2024)</w:t>
                </w:r>
                <w:r>
                  <w:fldChar w:fldCharType="end"/>
                </w:r>
              </w:sdtContent>
            </w:sdt>
            <w:r w:rsidR="00B21927">
              <w:t>.</w:t>
            </w:r>
          </w:p>
          <w:p w14:paraId="4E87500C" w14:textId="77777777" w:rsidR="00BC48A5" w:rsidRPr="00BC48A5" w:rsidRDefault="00BC48A5" w:rsidP="00BC48A5">
            <w:pPr>
              <w:rPr>
                <w:rFonts w:cs="Arial"/>
              </w:rPr>
            </w:pPr>
            <w:r w:rsidRPr="00BC48A5">
              <w:rPr>
                <w:rFonts w:cs="Arial"/>
              </w:rPr>
              <w:t>This scenario, without harmonisation, adds both time and cost (an additional $9,314) for the student, along with the possibility of the student re-learning material in the bachelor’s qualification which was already covered in the TAFE Diploma. This can be demotivating and frustrating for a student.</w:t>
            </w:r>
          </w:p>
          <w:p w14:paraId="3816A99C" w14:textId="77777777" w:rsidR="00BC48A5" w:rsidRPr="00BC48A5" w:rsidRDefault="00BC48A5" w:rsidP="00BC48A5">
            <w:pPr>
              <w:rPr>
                <w:rFonts w:cs="Arial"/>
              </w:rPr>
            </w:pPr>
            <w:r w:rsidRPr="00BC48A5">
              <w:rPr>
                <w:rFonts w:cs="Arial"/>
              </w:rPr>
              <w:t>Scenario 3:</w:t>
            </w:r>
          </w:p>
          <w:p w14:paraId="0291BF27" w14:textId="1E9A6D85" w:rsidR="00022FE1" w:rsidRPr="00AC0957" w:rsidRDefault="00BC48A5" w:rsidP="00BC48A5">
            <w:pPr>
              <w:rPr>
                <w:rFonts w:cs="Arial"/>
              </w:rPr>
            </w:pPr>
            <w:r w:rsidRPr="00BC48A5">
              <w:rPr>
                <w:rFonts w:cs="Arial"/>
              </w:rPr>
              <w:t>A third scenario is one where Michelle decides to only study the bachelor’s degree. This approach costs Michelle slightly more ($1,201) than scenario 1, takes the same amount of time (3 years) but she completes her studies holding only one qualification (</w:t>
            </w:r>
            <w:r>
              <w:rPr>
                <w:rFonts w:cs="Arial"/>
              </w:rPr>
              <w:fldChar w:fldCharType="begin"/>
            </w:r>
            <w:r>
              <w:rPr>
                <w:rFonts w:cs="Arial"/>
              </w:rPr>
              <w:instrText xml:space="preserve"> REF _Ref181131998 \h </w:instrText>
            </w:r>
            <w:r>
              <w:rPr>
                <w:rFonts w:cs="Arial"/>
              </w:rPr>
            </w:r>
            <w:r>
              <w:rPr>
                <w:rFonts w:cs="Arial"/>
              </w:rPr>
              <w:fldChar w:fldCharType="separate"/>
            </w:r>
            <w:r w:rsidR="00C47A81">
              <w:t xml:space="preserve">Table </w:t>
            </w:r>
            <w:r w:rsidR="00C47A81">
              <w:rPr>
                <w:noProof/>
              </w:rPr>
              <w:t>19</w:t>
            </w:r>
            <w:r>
              <w:rPr>
                <w:rFonts w:cs="Arial"/>
              </w:rPr>
              <w:fldChar w:fldCharType="end"/>
            </w:r>
            <w:r w:rsidRPr="00BC48A5">
              <w:rPr>
                <w:rFonts w:cs="Arial"/>
              </w:rPr>
              <w:t>). She also doesn’t gain the additional practical skills she would obtain from completing the Diploma of IT with TAFE</w:t>
            </w:r>
            <w:r w:rsidR="00022FE1" w:rsidRPr="00AC0957">
              <w:rPr>
                <w:rFonts w:cs="Arial"/>
              </w:rPr>
              <w:t xml:space="preserve">. </w:t>
            </w:r>
          </w:p>
          <w:p w14:paraId="2C5EFEFB" w14:textId="6FF6E50D" w:rsidR="00022FE1" w:rsidRDefault="00022FE1" w:rsidP="00022FE1">
            <w:pPr>
              <w:pStyle w:val="Caption"/>
            </w:pPr>
            <w:bookmarkStart w:id="287" w:name="_Ref181131998"/>
            <w:r>
              <w:t xml:space="preserve">Table </w:t>
            </w:r>
            <w:r>
              <w:fldChar w:fldCharType="begin"/>
            </w:r>
            <w:r>
              <w:instrText xml:space="preserve"> SEQ Table \* ARABIC </w:instrText>
            </w:r>
            <w:r>
              <w:fldChar w:fldCharType="separate"/>
            </w:r>
            <w:r w:rsidR="00C47A81">
              <w:rPr>
                <w:noProof/>
              </w:rPr>
              <w:t>19</w:t>
            </w:r>
            <w:r>
              <w:rPr>
                <w:noProof/>
              </w:rPr>
              <w:fldChar w:fldCharType="end"/>
            </w:r>
            <w:bookmarkEnd w:id="287"/>
            <w:r>
              <w:t xml:space="preserve">: </w:t>
            </w:r>
            <w:r w:rsidRPr="006D1DC1">
              <w:t xml:space="preserve">harmonisation example </w:t>
            </w:r>
            <w:r>
              <w:t>3</w:t>
            </w:r>
          </w:p>
          <w:tbl>
            <w:tblPr>
              <w:tblStyle w:val="JSATable1"/>
              <w:tblW w:w="8825" w:type="dxa"/>
              <w:tblLayout w:type="fixed"/>
              <w:tblLook w:val="0020" w:firstRow="1" w:lastRow="0" w:firstColumn="0" w:lastColumn="0" w:noHBand="0" w:noVBand="0"/>
              <w:tblCaption w:val="harmonisation example 3"/>
              <w:tblDescription w:val="The table shows the cost across years of Higher Education study under scenario 3 – with undergraduate study only. This pathway takes 3 years of study and costs $27,942 in total for one qualification."/>
            </w:tblPr>
            <w:tblGrid>
              <w:gridCol w:w="1103"/>
              <w:gridCol w:w="1103"/>
              <w:gridCol w:w="1103"/>
              <w:gridCol w:w="1103"/>
              <w:gridCol w:w="1103"/>
              <w:gridCol w:w="1103"/>
              <w:gridCol w:w="1103"/>
              <w:gridCol w:w="1104"/>
            </w:tblGrid>
            <w:tr w:rsidR="006653F1" w:rsidRPr="009653BF" w14:paraId="03672532" w14:textId="77777777" w:rsidTr="00472728">
              <w:trPr>
                <w:cnfStyle w:val="100000000000" w:firstRow="1" w:lastRow="0" w:firstColumn="0" w:lastColumn="0" w:oddVBand="0" w:evenVBand="0" w:oddHBand="0" w:evenHBand="0" w:firstRowFirstColumn="0" w:firstRowLastColumn="0" w:lastRowFirstColumn="0" w:lastRowLastColumn="0"/>
                <w:trHeight w:val="903"/>
              </w:trPr>
              <w:tc>
                <w:tcPr>
                  <w:tcW w:w="1103" w:type="dxa"/>
                </w:tcPr>
                <w:p w14:paraId="4E779774" w14:textId="77777777" w:rsidR="006653F1" w:rsidRPr="0068274C" w:rsidRDefault="006653F1" w:rsidP="006653F1">
                  <w:pPr>
                    <w:jc w:val="center"/>
                    <w:rPr>
                      <w:sz w:val="20"/>
                      <w:szCs w:val="20"/>
                    </w:rPr>
                  </w:pPr>
                  <w:r w:rsidRPr="0068274C">
                    <w:rPr>
                      <w:sz w:val="20"/>
                      <w:szCs w:val="20"/>
                    </w:rPr>
                    <w:t>VET Year 1</w:t>
                  </w:r>
                  <w:r w:rsidRPr="0068274C">
                    <w:rPr>
                      <w:rFonts w:cs="Arial"/>
                      <w:sz w:val="20"/>
                      <w:szCs w:val="20"/>
                    </w:rPr>
                    <w:t>​</w:t>
                  </w:r>
                </w:p>
              </w:tc>
              <w:tc>
                <w:tcPr>
                  <w:tcW w:w="1103" w:type="dxa"/>
                </w:tcPr>
                <w:p w14:paraId="5CFA13D5" w14:textId="77777777" w:rsidR="006653F1" w:rsidRPr="0068274C" w:rsidRDefault="006653F1" w:rsidP="006653F1">
                  <w:pPr>
                    <w:jc w:val="center"/>
                    <w:rPr>
                      <w:sz w:val="20"/>
                      <w:szCs w:val="20"/>
                    </w:rPr>
                  </w:pPr>
                  <w:r w:rsidRPr="0068274C">
                    <w:rPr>
                      <w:sz w:val="20"/>
                      <w:szCs w:val="20"/>
                    </w:rPr>
                    <w:t>VET Year 2</w:t>
                  </w:r>
                  <w:r w:rsidRPr="0068274C">
                    <w:rPr>
                      <w:rFonts w:cs="Arial"/>
                      <w:sz w:val="20"/>
                      <w:szCs w:val="20"/>
                    </w:rPr>
                    <w:t>​</w:t>
                  </w:r>
                </w:p>
              </w:tc>
              <w:tc>
                <w:tcPr>
                  <w:tcW w:w="1103" w:type="dxa"/>
                </w:tcPr>
                <w:p w14:paraId="00D7B24B" w14:textId="77777777" w:rsidR="006653F1" w:rsidRPr="0068274C" w:rsidRDefault="006653F1" w:rsidP="006653F1">
                  <w:pPr>
                    <w:jc w:val="center"/>
                    <w:rPr>
                      <w:sz w:val="20"/>
                      <w:szCs w:val="20"/>
                    </w:rPr>
                  </w:pPr>
                  <w:r w:rsidRPr="0068274C">
                    <w:rPr>
                      <w:sz w:val="20"/>
                      <w:szCs w:val="20"/>
                    </w:rPr>
                    <w:t>VET Year 3</w:t>
                  </w:r>
                  <w:r w:rsidRPr="0068274C">
                    <w:rPr>
                      <w:rFonts w:cs="Arial"/>
                      <w:sz w:val="20"/>
                      <w:szCs w:val="20"/>
                    </w:rPr>
                    <w:t>​</w:t>
                  </w:r>
                </w:p>
              </w:tc>
              <w:tc>
                <w:tcPr>
                  <w:tcW w:w="1103" w:type="dxa"/>
                </w:tcPr>
                <w:p w14:paraId="6DDF878A" w14:textId="77777777" w:rsidR="006653F1" w:rsidRPr="0068274C" w:rsidRDefault="006653F1" w:rsidP="006653F1">
                  <w:pPr>
                    <w:jc w:val="center"/>
                    <w:rPr>
                      <w:sz w:val="20"/>
                      <w:szCs w:val="20"/>
                    </w:rPr>
                  </w:pPr>
                  <w:r w:rsidRPr="0068274C">
                    <w:rPr>
                      <w:sz w:val="20"/>
                      <w:szCs w:val="20"/>
                    </w:rPr>
                    <w:t>HE Year 1</w:t>
                  </w:r>
                  <w:r w:rsidRPr="0068274C">
                    <w:rPr>
                      <w:rFonts w:cs="Arial"/>
                      <w:sz w:val="20"/>
                      <w:szCs w:val="20"/>
                    </w:rPr>
                    <w:t>​</w:t>
                  </w:r>
                </w:p>
              </w:tc>
              <w:tc>
                <w:tcPr>
                  <w:tcW w:w="1103" w:type="dxa"/>
                </w:tcPr>
                <w:p w14:paraId="335F9DFD" w14:textId="77777777" w:rsidR="006653F1" w:rsidRPr="0068274C" w:rsidRDefault="006653F1" w:rsidP="006653F1">
                  <w:pPr>
                    <w:jc w:val="center"/>
                    <w:rPr>
                      <w:sz w:val="20"/>
                      <w:szCs w:val="20"/>
                    </w:rPr>
                  </w:pPr>
                  <w:r w:rsidRPr="0068274C">
                    <w:rPr>
                      <w:sz w:val="20"/>
                      <w:szCs w:val="20"/>
                    </w:rPr>
                    <w:t>HE Year 2</w:t>
                  </w:r>
                  <w:r w:rsidRPr="0068274C">
                    <w:rPr>
                      <w:rFonts w:cs="Arial"/>
                      <w:sz w:val="20"/>
                      <w:szCs w:val="20"/>
                    </w:rPr>
                    <w:t>​</w:t>
                  </w:r>
                </w:p>
              </w:tc>
              <w:tc>
                <w:tcPr>
                  <w:tcW w:w="1103" w:type="dxa"/>
                </w:tcPr>
                <w:p w14:paraId="763CC4A7" w14:textId="77777777" w:rsidR="006653F1" w:rsidRPr="0068274C" w:rsidRDefault="006653F1" w:rsidP="006653F1">
                  <w:pPr>
                    <w:jc w:val="center"/>
                    <w:rPr>
                      <w:sz w:val="20"/>
                      <w:szCs w:val="20"/>
                    </w:rPr>
                  </w:pPr>
                  <w:r w:rsidRPr="0068274C">
                    <w:rPr>
                      <w:sz w:val="20"/>
                      <w:szCs w:val="20"/>
                    </w:rPr>
                    <w:t>HE Year 3</w:t>
                  </w:r>
                  <w:r w:rsidRPr="0068274C">
                    <w:rPr>
                      <w:rFonts w:cs="Arial"/>
                      <w:sz w:val="20"/>
                      <w:szCs w:val="20"/>
                    </w:rPr>
                    <w:t>​</w:t>
                  </w:r>
                </w:p>
              </w:tc>
              <w:tc>
                <w:tcPr>
                  <w:tcW w:w="1103" w:type="dxa"/>
                </w:tcPr>
                <w:p w14:paraId="14514164" w14:textId="77777777" w:rsidR="006653F1" w:rsidRPr="0068274C" w:rsidRDefault="006653F1" w:rsidP="006653F1">
                  <w:pPr>
                    <w:jc w:val="center"/>
                    <w:rPr>
                      <w:sz w:val="20"/>
                      <w:szCs w:val="20"/>
                    </w:rPr>
                  </w:pPr>
                  <w:r w:rsidRPr="0068274C">
                    <w:rPr>
                      <w:sz w:val="20"/>
                      <w:szCs w:val="20"/>
                    </w:rPr>
                    <w:t>Total</w:t>
                  </w:r>
                  <w:r w:rsidRPr="0068274C">
                    <w:rPr>
                      <w:rFonts w:cs="Arial"/>
                      <w:sz w:val="20"/>
                      <w:szCs w:val="20"/>
                    </w:rPr>
                    <w:t>​</w:t>
                  </w:r>
                  <w:r w:rsidRPr="0068274C">
                    <w:rPr>
                      <w:sz w:val="20"/>
                      <w:szCs w:val="20"/>
                    </w:rPr>
                    <w:t xml:space="preserve"> Time</w:t>
                  </w:r>
                </w:p>
              </w:tc>
              <w:tc>
                <w:tcPr>
                  <w:tcW w:w="1104" w:type="dxa"/>
                </w:tcPr>
                <w:p w14:paraId="0C466396" w14:textId="77777777" w:rsidR="006653F1" w:rsidRPr="0068274C" w:rsidRDefault="006653F1" w:rsidP="006653F1">
                  <w:pPr>
                    <w:jc w:val="center"/>
                    <w:rPr>
                      <w:sz w:val="20"/>
                      <w:szCs w:val="20"/>
                    </w:rPr>
                  </w:pPr>
                  <w:r w:rsidRPr="0068274C">
                    <w:rPr>
                      <w:sz w:val="20"/>
                      <w:szCs w:val="20"/>
                    </w:rPr>
                    <w:t>Total Cost*</w:t>
                  </w:r>
                </w:p>
              </w:tc>
            </w:tr>
            <w:tr w:rsidR="006653F1" w:rsidRPr="0072174E" w14:paraId="5FF6E943" w14:textId="77777777" w:rsidTr="00472728">
              <w:trPr>
                <w:trHeight w:val="363"/>
              </w:trPr>
              <w:tc>
                <w:tcPr>
                  <w:tcW w:w="8825" w:type="dxa"/>
                  <w:gridSpan w:val="8"/>
                  <w:shd w:val="clear" w:color="auto" w:fill="E3EB9B" w:themeFill="background2" w:themeFillTint="99"/>
                </w:tcPr>
                <w:p w14:paraId="270AAF61" w14:textId="74DCFA56" w:rsidR="006653F1" w:rsidRPr="0068274C" w:rsidRDefault="006653F1" w:rsidP="006653F1">
                  <w:pPr>
                    <w:jc w:val="center"/>
                    <w:rPr>
                      <w:sz w:val="20"/>
                      <w:szCs w:val="20"/>
                    </w:rPr>
                  </w:pPr>
                  <w:r w:rsidRPr="0068274C">
                    <w:rPr>
                      <w:sz w:val="20"/>
                      <w:szCs w:val="20"/>
                    </w:rPr>
                    <w:t>Undergraduate only</w:t>
                  </w:r>
                </w:p>
              </w:tc>
            </w:tr>
            <w:tr w:rsidR="00104002" w:rsidRPr="0072174E" w14:paraId="4DDAC725" w14:textId="77777777" w:rsidTr="00472728">
              <w:trPr>
                <w:cnfStyle w:val="000000010000" w:firstRow="0" w:lastRow="0" w:firstColumn="0" w:lastColumn="0" w:oddVBand="0" w:evenVBand="0" w:oddHBand="0" w:evenHBand="1" w:firstRowFirstColumn="0" w:firstRowLastColumn="0" w:lastRowFirstColumn="0" w:lastRowLastColumn="0"/>
                <w:trHeight w:val="363"/>
              </w:trPr>
              <w:tc>
                <w:tcPr>
                  <w:tcW w:w="1103" w:type="dxa"/>
                  <w:shd w:val="clear" w:color="auto" w:fill="FFFFFF" w:themeFill="background1"/>
                </w:tcPr>
                <w:p w14:paraId="1E5FA50E" w14:textId="5D61576B" w:rsidR="00104002" w:rsidRPr="0068274C" w:rsidRDefault="00104002" w:rsidP="00104002">
                  <w:pPr>
                    <w:jc w:val="center"/>
                    <w:rPr>
                      <w:sz w:val="20"/>
                      <w:szCs w:val="20"/>
                    </w:rPr>
                  </w:pPr>
                  <w:r w:rsidRPr="0068274C">
                    <w:rPr>
                      <w:sz w:val="20"/>
                      <w:szCs w:val="20"/>
                    </w:rPr>
                    <w:t>n/a</w:t>
                  </w:r>
                  <w:r w:rsidRPr="0068274C">
                    <w:rPr>
                      <w:rFonts w:cs="Arial"/>
                      <w:sz w:val="20"/>
                      <w:szCs w:val="20"/>
                    </w:rPr>
                    <w:t>​</w:t>
                  </w:r>
                </w:p>
              </w:tc>
              <w:tc>
                <w:tcPr>
                  <w:tcW w:w="1103" w:type="dxa"/>
                  <w:shd w:val="clear" w:color="auto" w:fill="FFFFFF" w:themeFill="background1"/>
                </w:tcPr>
                <w:p w14:paraId="564BCB46" w14:textId="58EE1D5A" w:rsidR="00104002" w:rsidRPr="0068274C" w:rsidRDefault="00104002" w:rsidP="00104002">
                  <w:pPr>
                    <w:jc w:val="center"/>
                    <w:rPr>
                      <w:sz w:val="20"/>
                      <w:szCs w:val="20"/>
                    </w:rPr>
                  </w:pPr>
                  <w:r w:rsidRPr="0068274C">
                    <w:rPr>
                      <w:sz w:val="20"/>
                      <w:szCs w:val="20"/>
                    </w:rPr>
                    <w:t>n/a</w:t>
                  </w:r>
                  <w:r w:rsidRPr="0068274C">
                    <w:rPr>
                      <w:rFonts w:cs="Arial"/>
                      <w:sz w:val="20"/>
                      <w:szCs w:val="20"/>
                    </w:rPr>
                    <w:t>​</w:t>
                  </w:r>
                </w:p>
              </w:tc>
              <w:tc>
                <w:tcPr>
                  <w:tcW w:w="1103" w:type="dxa"/>
                  <w:shd w:val="clear" w:color="auto" w:fill="FFFFFF" w:themeFill="background1"/>
                </w:tcPr>
                <w:p w14:paraId="34C21752" w14:textId="2104B7B7" w:rsidR="00104002" w:rsidRPr="0068274C" w:rsidRDefault="00104002" w:rsidP="00104002">
                  <w:pPr>
                    <w:jc w:val="center"/>
                    <w:rPr>
                      <w:sz w:val="20"/>
                      <w:szCs w:val="20"/>
                    </w:rPr>
                  </w:pPr>
                  <w:r w:rsidRPr="0068274C">
                    <w:rPr>
                      <w:sz w:val="20"/>
                      <w:szCs w:val="20"/>
                    </w:rPr>
                    <w:t>n/a</w:t>
                  </w:r>
                  <w:r w:rsidRPr="0068274C">
                    <w:rPr>
                      <w:rFonts w:cs="Arial"/>
                      <w:sz w:val="20"/>
                      <w:szCs w:val="20"/>
                    </w:rPr>
                    <w:t>​</w:t>
                  </w:r>
                </w:p>
              </w:tc>
              <w:tc>
                <w:tcPr>
                  <w:tcW w:w="1103" w:type="dxa"/>
                  <w:shd w:val="clear" w:color="auto" w:fill="FFFFFF" w:themeFill="background1"/>
                </w:tcPr>
                <w:p w14:paraId="150564EE" w14:textId="60F09ADC" w:rsidR="00104002" w:rsidRPr="0068274C" w:rsidRDefault="00104002" w:rsidP="00104002">
                  <w:pPr>
                    <w:jc w:val="center"/>
                    <w:rPr>
                      <w:sz w:val="20"/>
                      <w:szCs w:val="20"/>
                    </w:rPr>
                  </w:pPr>
                  <w:r w:rsidRPr="0068274C">
                    <w:rPr>
                      <w:sz w:val="20"/>
                      <w:szCs w:val="20"/>
                    </w:rPr>
                    <w:t>$9,314</w:t>
                  </w:r>
                  <w:r w:rsidRPr="0068274C">
                    <w:rPr>
                      <w:rFonts w:cs="Arial"/>
                      <w:sz w:val="20"/>
                      <w:szCs w:val="20"/>
                    </w:rPr>
                    <w:t>​</w:t>
                  </w:r>
                </w:p>
              </w:tc>
              <w:tc>
                <w:tcPr>
                  <w:tcW w:w="1103" w:type="dxa"/>
                  <w:shd w:val="clear" w:color="auto" w:fill="FFFFFF" w:themeFill="background1"/>
                </w:tcPr>
                <w:p w14:paraId="0AFDC486" w14:textId="6FABBC43" w:rsidR="00104002" w:rsidRPr="0068274C" w:rsidRDefault="00104002" w:rsidP="00104002">
                  <w:pPr>
                    <w:jc w:val="center"/>
                    <w:rPr>
                      <w:sz w:val="20"/>
                      <w:szCs w:val="20"/>
                    </w:rPr>
                  </w:pPr>
                  <w:r w:rsidRPr="0068274C">
                    <w:rPr>
                      <w:sz w:val="20"/>
                      <w:szCs w:val="20"/>
                    </w:rPr>
                    <w:t>$9,314</w:t>
                  </w:r>
                  <w:r w:rsidRPr="0068274C">
                    <w:rPr>
                      <w:rFonts w:cs="Arial"/>
                      <w:sz w:val="20"/>
                      <w:szCs w:val="20"/>
                    </w:rPr>
                    <w:t>​</w:t>
                  </w:r>
                </w:p>
              </w:tc>
              <w:tc>
                <w:tcPr>
                  <w:tcW w:w="1103" w:type="dxa"/>
                  <w:shd w:val="clear" w:color="auto" w:fill="FFFFFF" w:themeFill="background1"/>
                </w:tcPr>
                <w:p w14:paraId="4468F5C9" w14:textId="19E9A0E2" w:rsidR="00104002" w:rsidRPr="0068274C" w:rsidRDefault="00104002" w:rsidP="00104002">
                  <w:pPr>
                    <w:jc w:val="center"/>
                    <w:rPr>
                      <w:sz w:val="20"/>
                      <w:szCs w:val="20"/>
                    </w:rPr>
                  </w:pPr>
                  <w:r w:rsidRPr="0068274C">
                    <w:rPr>
                      <w:sz w:val="20"/>
                      <w:szCs w:val="20"/>
                    </w:rPr>
                    <w:t>$9,314</w:t>
                  </w:r>
                  <w:r w:rsidRPr="0068274C">
                    <w:rPr>
                      <w:rFonts w:cs="Arial"/>
                      <w:sz w:val="20"/>
                      <w:szCs w:val="20"/>
                    </w:rPr>
                    <w:t>​</w:t>
                  </w:r>
                </w:p>
              </w:tc>
              <w:tc>
                <w:tcPr>
                  <w:tcW w:w="1103" w:type="dxa"/>
                  <w:shd w:val="clear" w:color="auto" w:fill="FFFFFF" w:themeFill="background1"/>
                </w:tcPr>
                <w:p w14:paraId="09AA0733" w14:textId="1A4D137B" w:rsidR="00104002" w:rsidRPr="0068274C" w:rsidRDefault="00104002" w:rsidP="00104002">
                  <w:pPr>
                    <w:jc w:val="center"/>
                    <w:rPr>
                      <w:sz w:val="20"/>
                      <w:szCs w:val="20"/>
                    </w:rPr>
                  </w:pPr>
                  <w:r w:rsidRPr="0068274C">
                    <w:rPr>
                      <w:sz w:val="20"/>
                      <w:szCs w:val="20"/>
                    </w:rPr>
                    <w:t>3 years</w:t>
                  </w:r>
                  <w:r w:rsidRPr="0068274C">
                    <w:rPr>
                      <w:rFonts w:cs="Arial"/>
                      <w:sz w:val="20"/>
                      <w:szCs w:val="20"/>
                    </w:rPr>
                    <w:t>​</w:t>
                  </w:r>
                </w:p>
              </w:tc>
              <w:tc>
                <w:tcPr>
                  <w:tcW w:w="1104" w:type="dxa"/>
                  <w:shd w:val="clear" w:color="auto" w:fill="FFFFFF" w:themeFill="background1"/>
                </w:tcPr>
                <w:p w14:paraId="5AE2E793" w14:textId="5071CAA0" w:rsidR="00104002" w:rsidRPr="0068274C" w:rsidRDefault="00104002" w:rsidP="00104002">
                  <w:pPr>
                    <w:jc w:val="center"/>
                    <w:rPr>
                      <w:sz w:val="20"/>
                      <w:szCs w:val="20"/>
                    </w:rPr>
                  </w:pPr>
                  <w:r w:rsidRPr="0068274C">
                    <w:rPr>
                      <w:sz w:val="20"/>
                      <w:szCs w:val="20"/>
                    </w:rPr>
                    <w:t>$27,942</w:t>
                  </w:r>
                  <w:r w:rsidRPr="0068274C">
                    <w:rPr>
                      <w:rFonts w:cs="Arial"/>
                      <w:sz w:val="20"/>
                      <w:szCs w:val="20"/>
                    </w:rPr>
                    <w:t>​</w:t>
                  </w:r>
                </w:p>
              </w:tc>
            </w:tr>
          </w:tbl>
          <w:p w14:paraId="5A2B9C36" w14:textId="0B5E8186" w:rsidR="00022FE1" w:rsidRPr="005D2F87" w:rsidRDefault="00104002" w:rsidP="005D2F87">
            <w:pPr>
              <w:pStyle w:val="Source"/>
            </w:pPr>
            <w:r w:rsidRPr="00EC5A8B">
              <w:t xml:space="preserve">Source: Diploma of Information Technology (Advanced Networking) </w:t>
            </w:r>
            <w:sdt>
              <w:sdtPr>
                <w:id w:val="-1156995455"/>
                <w:citation/>
              </w:sdtPr>
              <w:sdtEndPr/>
              <w:sdtContent>
                <w:r>
                  <w:fldChar w:fldCharType="begin"/>
                </w:r>
                <w:r>
                  <w:instrText xml:space="preserve"> CITATION TAF241 \l 3081 </w:instrText>
                </w:r>
                <w:r>
                  <w:fldChar w:fldCharType="separate"/>
                </w:r>
                <w:r w:rsidR="00CA3587">
                  <w:rPr>
                    <w:noProof/>
                  </w:rPr>
                  <w:t>(TAFE SA, 2024)</w:t>
                </w:r>
                <w:r>
                  <w:fldChar w:fldCharType="end"/>
                </w:r>
              </w:sdtContent>
            </w:sdt>
            <w:r w:rsidRPr="00EC5A8B">
              <w:t xml:space="preserve"> and Student contributions data </w:t>
            </w:r>
            <w:sdt>
              <w:sdtPr>
                <w:id w:val="387849125"/>
                <w:citation/>
              </w:sdtPr>
              <w:sdtEndPr/>
              <w:sdtContent>
                <w:r>
                  <w:fldChar w:fldCharType="begin"/>
                </w:r>
                <w:r>
                  <w:instrText xml:space="preserve"> CITATION Uni241 \l 3081 </w:instrText>
                </w:r>
                <w:r>
                  <w:fldChar w:fldCharType="separate"/>
                </w:r>
                <w:r w:rsidR="00CA3587">
                  <w:rPr>
                    <w:noProof/>
                  </w:rPr>
                  <w:t>(University of South Australia, 2024)</w:t>
                </w:r>
                <w:r>
                  <w:fldChar w:fldCharType="end"/>
                </w:r>
              </w:sdtContent>
            </w:sdt>
            <w:r w:rsidR="00B21927">
              <w:t>.</w:t>
            </w:r>
          </w:p>
        </w:tc>
      </w:tr>
    </w:tbl>
    <w:p w14:paraId="279DC459" w14:textId="77777777" w:rsidR="00AC2606" w:rsidRPr="00AC0957" w:rsidRDefault="00AC2606" w:rsidP="00AC2606">
      <w:pPr>
        <w:pStyle w:val="Heading4"/>
      </w:pPr>
      <w:r w:rsidRPr="00AC0957">
        <w:t>Tertiary harmonisation as an enabler of access and equity</w:t>
      </w:r>
    </w:p>
    <w:p w14:paraId="791BA6EB" w14:textId="77777777" w:rsidR="00504997" w:rsidRPr="00504997" w:rsidRDefault="00504997" w:rsidP="00504997">
      <w:pPr>
        <w:rPr>
          <w:rFonts w:cs="Arial"/>
        </w:rPr>
      </w:pPr>
      <w:r w:rsidRPr="00504997">
        <w:rPr>
          <w:rFonts w:cs="Arial"/>
        </w:rPr>
        <w:t xml:space="preserve">Tertiary harmonisation can enable greater access and equity to tertiary education including increased participation of under-represented groups (for example First Nations people, those living in rural and remote areas, and individuals with low socioeconomic status). It can also increase the status of VET which has a higher representation of under-represented groups. </w:t>
      </w:r>
    </w:p>
    <w:p w14:paraId="34DF8E6A" w14:textId="77777777" w:rsidR="00504997" w:rsidRPr="00504997" w:rsidRDefault="00504997" w:rsidP="00B81D14">
      <w:pPr>
        <w:keepLines/>
        <w:rPr>
          <w:rFonts w:cs="Arial"/>
        </w:rPr>
      </w:pPr>
      <w:r w:rsidRPr="00504997">
        <w:rPr>
          <w:rFonts w:cs="Arial"/>
        </w:rPr>
        <w:t xml:space="preserve">An essential element of tertiary harmonisation is designing and delivering qualifications that enable student mobility between education levels, and transitions from study to work. Pathways between VET and higher education support access to higher education for all students, but especially for groups who experience labour market disadvantage or are under-represented in the tertiary education system. </w:t>
      </w:r>
    </w:p>
    <w:p w14:paraId="357D699C" w14:textId="7F675AE3" w:rsidR="00AC2606" w:rsidRDefault="00504997" w:rsidP="00504997">
      <w:pPr>
        <w:rPr>
          <w:rFonts w:cs="Arial"/>
        </w:rPr>
      </w:pPr>
      <w:r w:rsidRPr="00504997">
        <w:rPr>
          <w:rFonts w:cs="Arial"/>
        </w:rPr>
        <w:t>By removing or significantly reducing the barriers between VET and higher education, students will have increased opportunities to find the right pathways to study what they want, how they want and to gain the skills needed by industry and the economy</w:t>
      </w:r>
      <w:r w:rsidR="00AC2606" w:rsidRPr="00AC0957">
        <w:rPr>
          <w:rFonts w:cs="Arial"/>
        </w:rPr>
        <w:t xml:space="preserve">. </w:t>
      </w:r>
    </w:p>
    <w:tbl>
      <w:tblPr>
        <w:tblStyle w:val="TableGrid"/>
        <w:tblW w:w="0" w:type="auto"/>
        <w:tblLook w:val="04A0" w:firstRow="1" w:lastRow="0" w:firstColumn="1" w:lastColumn="0" w:noHBand="0" w:noVBand="1"/>
      </w:tblPr>
      <w:tblGrid>
        <w:gridCol w:w="9016"/>
      </w:tblGrid>
      <w:tr w:rsidR="00E16AD2" w14:paraId="6E7E4D01" w14:textId="77777777" w:rsidTr="00734565">
        <w:tc>
          <w:tcPr>
            <w:tcW w:w="9016" w:type="dxa"/>
            <w:tcBorders>
              <w:top w:val="nil"/>
              <w:left w:val="nil"/>
              <w:bottom w:val="nil"/>
              <w:right w:val="nil"/>
            </w:tcBorders>
            <w:shd w:val="clear" w:color="auto" w:fill="E0D1F5" w:themeFill="accent1" w:themeFillTint="33"/>
          </w:tcPr>
          <w:p w14:paraId="3DB87801" w14:textId="3694C7C1" w:rsidR="00E90B0A" w:rsidRPr="00E90B0A" w:rsidRDefault="00E16AD2" w:rsidP="005D2F87">
            <w:pPr>
              <w:pStyle w:val="Heading5"/>
              <w:keepNext/>
            </w:pPr>
            <w:r>
              <w:t xml:space="preserve">TAFE NSW and the University of Canberra </w:t>
            </w:r>
          </w:p>
          <w:p w14:paraId="5128982A" w14:textId="56351B5C" w:rsidR="00E16AD2" w:rsidRPr="00AC0957" w:rsidRDefault="003F03B9" w:rsidP="00E16AD2">
            <w:pPr>
              <w:rPr>
                <w:rFonts w:cs="Arial"/>
              </w:rPr>
            </w:pPr>
            <w:r w:rsidRPr="003F03B9">
              <w:rPr>
                <w:rFonts w:cs="Arial"/>
              </w:rPr>
              <w:t>TAFE NSW and the University of Canberra are working in partnership to deliver the Bachelor of Event and Tourism Management. As part of this partnership, students can study for this bachelor’s degree at TAFE NSW St Leonards, combining academic study with practical learning through work-integrated industry experiences like the Royal Easter Show</w:t>
            </w:r>
            <w:r>
              <w:rPr>
                <w:rFonts w:cs="Arial"/>
              </w:rPr>
              <w:t xml:space="preserve"> </w:t>
            </w:r>
            <w:sdt>
              <w:sdtPr>
                <w:rPr>
                  <w:rFonts w:cs="Arial"/>
                </w:rPr>
                <w:id w:val="-1789658845"/>
                <w:citation/>
              </w:sdtPr>
              <w:sdtEndPr/>
              <w:sdtContent>
                <w:r w:rsidR="00E16AD2" w:rsidRPr="00AC0957">
                  <w:rPr>
                    <w:rFonts w:cs="Arial"/>
                  </w:rPr>
                  <w:fldChar w:fldCharType="begin"/>
                </w:r>
                <w:r w:rsidR="00C73615">
                  <w:rPr>
                    <w:rFonts w:cs="Arial"/>
                  </w:rPr>
                  <w:instrText xml:space="preserve">CITATION TAF24 \l 3081 </w:instrText>
                </w:r>
                <w:r w:rsidR="00E16AD2" w:rsidRPr="00AC0957">
                  <w:rPr>
                    <w:rFonts w:cs="Arial"/>
                  </w:rPr>
                  <w:fldChar w:fldCharType="separate"/>
                </w:r>
                <w:r w:rsidR="00CA3587" w:rsidRPr="00CA3587">
                  <w:rPr>
                    <w:rFonts w:cs="Arial"/>
                    <w:noProof/>
                  </w:rPr>
                  <w:t>(TAFE NSW, 2024)</w:t>
                </w:r>
                <w:r w:rsidR="00E16AD2" w:rsidRPr="00AC0957">
                  <w:rPr>
                    <w:rFonts w:cs="Arial"/>
                  </w:rPr>
                  <w:fldChar w:fldCharType="end"/>
                </w:r>
              </w:sdtContent>
            </w:sdt>
            <w:r w:rsidR="00E16AD2" w:rsidRPr="00AC0957">
              <w:rPr>
                <w:rFonts w:cs="Arial"/>
              </w:rPr>
              <w:t xml:space="preserve">. </w:t>
            </w:r>
          </w:p>
          <w:p w14:paraId="274E6BD9" w14:textId="77777777" w:rsidR="00E741BB" w:rsidRPr="00E741BB" w:rsidRDefault="00E741BB" w:rsidP="00E741BB">
            <w:pPr>
              <w:rPr>
                <w:rFonts w:cs="Arial"/>
              </w:rPr>
            </w:pPr>
            <w:r w:rsidRPr="00E741BB">
              <w:rPr>
                <w:rFonts w:cs="Arial"/>
              </w:rPr>
              <w:t xml:space="preserve">Upon completing a TAFE NSW Diploma or Advanced Diploma in Event Management, Hospitality Management, or Travel and Tourism Management, students can apply for entry to the Bachelor of Event and Tourism Management through the University of Canberra website. TAFE NSW and the University of Canberra have pre-negotiated credits which are automatically granted upon application and the degree is delivered at TAFE NSW either face-to-face or online, with no requirement for students to attend the University of Canberra campus. </w:t>
            </w:r>
          </w:p>
          <w:p w14:paraId="61C857AF" w14:textId="414275BA" w:rsidR="00E16AD2" w:rsidRPr="00AC0957" w:rsidRDefault="00E741BB" w:rsidP="00E741BB">
            <w:pPr>
              <w:rPr>
                <w:rFonts w:cs="Arial"/>
              </w:rPr>
            </w:pPr>
            <w:r w:rsidRPr="00E741BB">
              <w:rPr>
                <w:rFonts w:cs="Arial"/>
              </w:rPr>
              <w:t>The pathway may address barriers to higher education access and equity through its clear credit recognition, no requirement for relocation, flexible online option or familiar TAFE learning environment with smaller classroom size and increased access to teachers and support</w:t>
            </w:r>
            <w:sdt>
              <w:sdtPr>
                <w:rPr>
                  <w:rFonts w:cs="Arial"/>
                </w:rPr>
                <w:id w:val="274075891"/>
                <w:citation/>
              </w:sdtPr>
              <w:sdtEndPr/>
              <w:sdtContent>
                <w:r w:rsidR="00E16AD2" w:rsidRPr="00AC0957">
                  <w:rPr>
                    <w:rFonts w:cs="Arial"/>
                  </w:rPr>
                  <w:fldChar w:fldCharType="begin"/>
                </w:r>
                <w:r w:rsidR="00C73615">
                  <w:rPr>
                    <w:rFonts w:cs="Arial"/>
                  </w:rPr>
                  <w:instrText xml:space="preserve">CITATION Taf23 \l 3081 </w:instrText>
                </w:r>
                <w:r w:rsidR="00E16AD2" w:rsidRPr="00AC0957">
                  <w:rPr>
                    <w:rFonts w:cs="Arial"/>
                  </w:rPr>
                  <w:fldChar w:fldCharType="separate"/>
                </w:r>
                <w:r w:rsidR="00CA3587">
                  <w:rPr>
                    <w:rFonts w:cs="Arial"/>
                    <w:noProof/>
                  </w:rPr>
                  <w:t xml:space="preserve"> </w:t>
                </w:r>
                <w:r w:rsidR="00CA3587" w:rsidRPr="00CA3587">
                  <w:rPr>
                    <w:rFonts w:cs="Arial"/>
                    <w:noProof/>
                  </w:rPr>
                  <w:t>(Tafe Directors Australia, 2023)</w:t>
                </w:r>
                <w:r w:rsidR="00E16AD2" w:rsidRPr="00AC0957">
                  <w:rPr>
                    <w:rFonts w:cs="Arial"/>
                  </w:rPr>
                  <w:fldChar w:fldCharType="end"/>
                </w:r>
              </w:sdtContent>
            </w:sdt>
            <w:r w:rsidR="00E16AD2" w:rsidRPr="00AC0957">
              <w:rPr>
                <w:rFonts w:cs="Arial"/>
              </w:rPr>
              <w:t>.</w:t>
            </w:r>
          </w:p>
          <w:p w14:paraId="1370EE9A" w14:textId="039A3930" w:rsidR="00E16AD2" w:rsidRDefault="00DA7FF5" w:rsidP="00AC2606">
            <w:pPr>
              <w:rPr>
                <w:rFonts w:cs="Arial"/>
              </w:rPr>
            </w:pPr>
            <w:r w:rsidRPr="00DA7FF5">
              <w:rPr>
                <w:rFonts w:cs="Arial"/>
              </w:rPr>
              <w:t>Other benefits of this pathway include industry relevant learning since the degree integrates theory with practical learning through work-integrated industry experiences reduced cost and time of study, with students able to complete the degree in 2 years following completing the relevant VET qualification – saving one year of study and $16,992</w:t>
            </w:r>
            <w:sdt>
              <w:sdtPr>
                <w:rPr>
                  <w:rFonts w:cs="Arial"/>
                </w:rPr>
                <w:id w:val="1984507536"/>
                <w:citation/>
              </w:sdtPr>
              <w:sdtEndPr/>
              <w:sdtContent>
                <w:r w:rsidR="00E16AD2" w:rsidRPr="00AC0957">
                  <w:rPr>
                    <w:rFonts w:cs="Arial"/>
                  </w:rPr>
                  <w:fldChar w:fldCharType="begin"/>
                </w:r>
                <w:r w:rsidR="00C73615">
                  <w:rPr>
                    <w:rFonts w:cs="Arial"/>
                  </w:rPr>
                  <w:instrText xml:space="preserve">CITATION Uni24 \l 3081 </w:instrText>
                </w:r>
                <w:r w:rsidR="00E16AD2" w:rsidRPr="00AC0957">
                  <w:rPr>
                    <w:rFonts w:cs="Arial"/>
                  </w:rPr>
                  <w:fldChar w:fldCharType="separate"/>
                </w:r>
                <w:r w:rsidR="00CA3587">
                  <w:rPr>
                    <w:rFonts w:cs="Arial"/>
                    <w:noProof/>
                  </w:rPr>
                  <w:t xml:space="preserve"> </w:t>
                </w:r>
                <w:r w:rsidR="00CA3587" w:rsidRPr="00CA3587">
                  <w:rPr>
                    <w:rFonts w:cs="Arial"/>
                    <w:noProof/>
                  </w:rPr>
                  <w:t>(University of Canberra, 2024)</w:t>
                </w:r>
                <w:r w:rsidR="00E16AD2" w:rsidRPr="00AC0957">
                  <w:rPr>
                    <w:rFonts w:cs="Arial"/>
                  </w:rPr>
                  <w:fldChar w:fldCharType="end"/>
                </w:r>
              </w:sdtContent>
            </w:sdt>
            <w:r w:rsidR="00E16AD2" w:rsidRPr="00AC0957">
              <w:rPr>
                <w:rFonts w:cs="Arial"/>
              </w:rPr>
              <w:t>.</w:t>
            </w:r>
          </w:p>
        </w:tc>
      </w:tr>
    </w:tbl>
    <w:p w14:paraId="08FB7028" w14:textId="77777777" w:rsidR="00AC2606" w:rsidRPr="00AC0957" w:rsidRDefault="00AC2606" w:rsidP="00AC2606">
      <w:pPr>
        <w:pStyle w:val="Heading4"/>
      </w:pPr>
      <w:r w:rsidRPr="00AC0957">
        <w:t>Tertiary Harmonisation supporting national challenges</w:t>
      </w:r>
    </w:p>
    <w:p w14:paraId="371E6187" w14:textId="77B627D0" w:rsidR="00601563" w:rsidRPr="00601563" w:rsidRDefault="00601563" w:rsidP="00601563">
      <w:pPr>
        <w:rPr>
          <w:rFonts w:cs="Arial"/>
        </w:rPr>
      </w:pPr>
      <w:r w:rsidRPr="00601563">
        <w:rPr>
          <w:rFonts w:cs="Arial"/>
        </w:rPr>
        <w:t>Australia’s national skills challenges are complex, with inter-connected issues that cannot be addressed by one sector alone. Successfully addressing challenges such as the transition to clean energy technologies, leveraging the opportunities of digital innovation, and strengthening the health and wellbeing of people and communities, requires a connected tertiary system.</w:t>
      </w:r>
      <w:r w:rsidR="008C52B1">
        <w:rPr>
          <w:rFonts w:cs="Arial"/>
        </w:rPr>
        <w:t xml:space="preserve"> </w:t>
      </w:r>
    </w:p>
    <w:p w14:paraId="7800F594" w14:textId="3EA9EDD4" w:rsidR="00FB1F74" w:rsidRDefault="00601563" w:rsidP="00601563">
      <w:pPr>
        <w:rPr>
          <w:rFonts w:cs="Arial"/>
        </w:rPr>
      </w:pPr>
      <w:r w:rsidRPr="00601563">
        <w:rPr>
          <w:rFonts w:cs="Arial"/>
        </w:rPr>
        <w:t xml:space="preserve">A harmonised and better-connected tertiary system, where both sectors can collaborate to improve the timeliness and industry relevance of workforce supply, </w:t>
      </w:r>
      <w:r w:rsidR="008F33BF">
        <w:rPr>
          <w:rFonts w:cs="Arial"/>
        </w:rPr>
        <w:t xml:space="preserve">can </w:t>
      </w:r>
      <w:r w:rsidRPr="00601563">
        <w:rPr>
          <w:rFonts w:cs="Arial"/>
        </w:rPr>
        <w:t>play a key role in addressing national challenges by increasing the supply of industry ready graduates, helping to facilitate major workforce transitions in response to industry changes, and improving access and mobility across both sectors by improving recognition of existing skills and knowledge</w:t>
      </w:r>
      <w:r w:rsidR="00AC2606" w:rsidRPr="00AC0957">
        <w:rPr>
          <w:rFonts w:cs="Arial"/>
        </w:rPr>
        <w:t>.</w:t>
      </w:r>
    </w:p>
    <w:p w14:paraId="5DE85700" w14:textId="7A1CA379" w:rsidR="00AC2606" w:rsidRPr="00AC0957" w:rsidRDefault="00FB1F74" w:rsidP="00FB1F74">
      <w:pPr>
        <w:spacing w:after="160" w:line="259" w:lineRule="auto"/>
        <w:rPr>
          <w:rFonts w:cs="Arial"/>
        </w:rPr>
      </w:pPr>
      <w:r>
        <w:rPr>
          <w:rFonts w:cs="Arial"/>
        </w:rPr>
        <w:br w:type="page"/>
      </w:r>
    </w:p>
    <w:tbl>
      <w:tblPr>
        <w:tblStyle w:val="TableGrid"/>
        <w:tblW w:w="0" w:type="auto"/>
        <w:tblLook w:val="04A0" w:firstRow="1" w:lastRow="0" w:firstColumn="1" w:lastColumn="0" w:noHBand="0" w:noVBand="1"/>
      </w:tblPr>
      <w:tblGrid>
        <w:gridCol w:w="9016"/>
      </w:tblGrid>
      <w:tr w:rsidR="00AC2606" w:rsidRPr="00AC0957" w14:paraId="06B4F467" w14:textId="77777777" w:rsidTr="00601563">
        <w:trPr>
          <w:trHeight w:val="300"/>
        </w:trPr>
        <w:tc>
          <w:tcPr>
            <w:tcW w:w="9016" w:type="dxa"/>
            <w:tcBorders>
              <w:top w:val="nil"/>
              <w:left w:val="nil"/>
              <w:bottom w:val="nil"/>
              <w:right w:val="nil"/>
            </w:tcBorders>
            <w:shd w:val="clear" w:color="auto" w:fill="E0D1F5" w:themeFill="accent1" w:themeFillTint="33"/>
          </w:tcPr>
          <w:p w14:paraId="67784B41" w14:textId="5B742517" w:rsidR="00AC2606" w:rsidRPr="00AC0957" w:rsidRDefault="00AC2606" w:rsidP="005D2F87">
            <w:pPr>
              <w:pStyle w:val="Heading5"/>
            </w:pPr>
            <w:r w:rsidRPr="00AC0957">
              <w:t>Case Study: TAFE Queensland enrolled nurse to registered nurse pathway</w:t>
            </w:r>
          </w:p>
          <w:p w14:paraId="1BE7DCAE" w14:textId="77777777" w:rsidR="002C5342" w:rsidRPr="002C5342" w:rsidRDefault="002C5342" w:rsidP="002C5342">
            <w:pPr>
              <w:rPr>
                <w:rFonts w:eastAsia="Aptos" w:cs="Arial"/>
                <w:color w:val="000000" w:themeColor="text1"/>
              </w:rPr>
            </w:pPr>
            <w:r w:rsidRPr="002C5342">
              <w:rPr>
                <w:rFonts w:eastAsia="Aptos" w:cs="Arial"/>
                <w:color w:val="000000" w:themeColor="text1"/>
              </w:rPr>
              <w:t>A more harmonised tertiary education system will ensure a steady supply of entry workers as well as flexible options for career-long upskilling and reskilling.</w:t>
            </w:r>
          </w:p>
          <w:p w14:paraId="2909C32C" w14:textId="77777777" w:rsidR="002C5342" w:rsidRPr="002C5342" w:rsidRDefault="002C5342" w:rsidP="002C5342">
            <w:pPr>
              <w:rPr>
                <w:rFonts w:eastAsia="Aptos" w:cs="Arial"/>
                <w:color w:val="000000" w:themeColor="text1"/>
              </w:rPr>
            </w:pPr>
            <w:r w:rsidRPr="002C5342">
              <w:rPr>
                <w:rFonts w:eastAsia="Aptos" w:cs="Arial"/>
                <w:color w:val="000000" w:themeColor="text1"/>
              </w:rPr>
              <w:t>TAFE Queensland has structured its Bachelor of Nursing program to allow enrolled nurses to transfer into higher education level study.</w:t>
            </w:r>
          </w:p>
          <w:p w14:paraId="76913F28" w14:textId="77777777" w:rsidR="002C5342" w:rsidRPr="002C5342" w:rsidRDefault="002C5342" w:rsidP="002C5342">
            <w:pPr>
              <w:rPr>
                <w:rFonts w:eastAsia="Aptos" w:cs="Arial"/>
                <w:color w:val="000000" w:themeColor="text1"/>
              </w:rPr>
            </w:pPr>
            <w:r w:rsidRPr="002C5342">
              <w:rPr>
                <w:rFonts w:eastAsia="Aptos" w:cs="Arial"/>
                <w:color w:val="000000" w:themeColor="text1"/>
              </w:rPr>
              <w:t>Graduates with a Diploma of Nursing receive credit and are fast tracked into the second year of the degree. This also allows students to use their skills and knowledge by working in healthcare while they complete their studies.</w:t>
            </w:r>
          </w:p>
          <w:p w14:paraId="52FE7400" w14:textId="3D30C902" w:rsidR="00AC2606" w:rsidRPr="00AC0957" w:rsidRDefault="002C5342" w:rsidP="002C5342">
            <w:pPr>
              <w:rPr>
                <w:rFonts w:cs="Arial"/>
              </w:rPr>
            </w:pPr>
            <w:r w:rsidRPr="002C5342">
              <w:rPr>
                <w:rFonts w:eastAsia="Aptos" w:cs="Arial"/>
                <w:color w:val="000000" w:themeColor="text1"/>
              </w:rPr>
              <w:t>While the Bachelor of Nursing is not a Commonwealth Supported Place, this pathway can reduce costs for students as the Diploma of Nursing is eligible for FEE-Free TAFE and/or subsides and concessions.</w:t>
            </w:r>
          </w:p>
        </w:tc>
      </w:tr>
    </w:tbl>
    <w:p w14:paraId="6710C312" w14:textId="77777777" w:rsidR="00AC2606" w:rsidRPr="00AC0957" w:rsidRDefault="00AC2606" w:rsidP="00AC2606">
      <w:pPr>
        <w:pStyle w:val="Heading4"/>
      </w:pPr>
      <w:r w:rsidRPr="00AC0957">
        <w:t>Tertiary harmonisation and productivity and labour market outcomes</w:t>
      </w:r>
    </w:p>
    <w:p w14:paraId="12F97C8D" w14:textId="77777777" w:rsidR="00AE42A3" w:rsidRPr="00AE42A3" w:rsidRDefault="00AE42A3" w:rsidP="00AE42A3">
      <w:pPr>
        <w:rPr>
          <w:rFonts w:cs="Arial"/>
        </w:rPr>
      </w:pPr>
      <w:r w:rsidRPr="00AE42A3">
        <w:rPr>
          <w:rFonts w:cs="Arial"/>
        </w:rPr>
        <w:t>A more harmonised VET and higher education sector has the potential to improve the participation, productivity and inclusiveness in the Australian labour market and economy. These benefits will flow to both workers and employers, but also have subsequent benefits to education providers and the government more broadly.</w:t>
      </w:r>
    </w:p>
    <w:p w14:paraId="082BE473" w14:textId="77777777" w:rsidR="00AE42A3" w:rsidRPr="00AE42A3" w:rsidRDefault="00AE42A3" w:rsidP="00AE42A3">
      <w:pPr>
        <w:rPr>
          <w:rFonts w:cs="Arial"/>
        </w:rPr>
      </w:pPr>
      <w:r w:rsidRPr="00AE42A3">
        <w:rPr>
          <w:rFonts w:cs="Arial"/>
        </w:rPr>
        <w:t xml:space="preserve">The potential labour market impacts of more harmonised tertiary education can be separated into the first-round or initial impacts and the subsequent benefits that flow thereafter. First round impacts include the potential for improvements in the overall level of participation in the labour market, the better alignment of employee skillsets with the needs of industry, improvements in labour market matching, and greater dynamism and responsiveness to opportunities and challenges. </w:t>
      </w:r>
    </w:p>
    <w:p w14:paraId="776F0BBB" w14:textId="16E7BE3C" w:rsidR="00AC2606" w:rsidRPr="00AC0957" w:rsidRDefault="00AE42A3" w:rsidP="00AE42A3">
      <w:pPr>
        <w:rPr>
          <w:rFonts w:cs="Arial"/>
        </w:rPr>
      </w:pPr>
      <w:r w:rsidRPr="00AE42A3">
        <w:rPr>
          <w:rFonts w:cs="Arial"/>
        </w:rPr>
        <w:t>Subsequent benefits include the potential for higher social and economic returns on the government’s investment in education and training, more efficient funding arrangements, including via higher tax revenues, and increased global competitiveness. For education providers, tertiary harmonisation may lead to higher rates of educational participation and completion, supporting the viability and stability of providers. A more harmonised tertiary sector may also provide more flexibility for education providers to deliver a better mix of knowledge, technical skills and general skills to help meet the needs of employers</w:t>
      </w:r>
      <w:r w:rsidR="00AC2606" w:rsidRPr="00AC0957">
        <w:rPr>
          <w:rFonts w:cs="Arial"/>
        </w:rPr>
        <w:t xml:space="preserve">. </w:t>
      </w:r>
    </w:p>
    <w:p w14:paraId="7A21EAD5" w14:textId="77777777" w:rsidR="00AC2606" w:rsidRPr="00AC0957" w:rsidRDefault="00AC2606" w:rsidP="00AC2606">
      <w:pPr>
        <w:pStyle w:val="Heading3"/>
        <w:rPr>
          <w:rFonts w:cs="Arial"/>
        </w:rPr>
      </w:pPr>
      <w:bookmarkStart w:id="288" w:name="_Toc179887415"/>
      <w:bookmarkStart w:id="289" w:name="_Toc181371612"/>
      <w:r w:rsidRPr="00AC0957">
        <w:rPr>
          <w:rFonts w:cs="Arial"/>
        </w:rPr>
        <w:t>Continuing the national conversation</w:t>
      </w:r>
      <w:bookmarkEnd w:id="288"/>
      <w:bookmarkEnd w:id="289"/>
    </w:p>
    <w:p w14:paraId="155FA41B" w14:textId="71F0E035" w:rsidR="00717CE1" w:rsidRPr="00717CE1" w:rsidRDefault="00717CE1" w:rsidP="00717CE1">
      <w:pPr>
        <w:rPr>
          <w:rFonts w:cs="Arial"/>
        </w:rPr>
      </w:pPr>
      <w:r w:rsidRPr="00717CE1">
        <w:rPr>
          <w:rFonts w:cs="Arial"/>
        </w:rPr>
        <w:t>The benefits of harmonisation across a range of key themes are clear. However, for examples such as this to become more widespread and to have system wide value, systemic change is needed. As the national conversation on tertiary harmonisation continues, JSA is in a unique position to contribute to this agenda as an advisor on the national skills system (including both VET and higher education) in collaboration with a proposed Australian Tertiary Education Commission.</w:t>
      </w:r>
      <w:r w:rsidR="008C52B1">
        <w:rPr>
          <w:rFonts w:cs="Arial"/>
        </w:rPr>
        <w:t xml:space="preserve"> </w:t>
      </w:r>
    </w:p>
    <w:p w14:paraId="29E73CCF" w14:textId="11275FE0" w:rsidR="00AC2606" w:rsidRPr="00AC0957" w:rsidRDefault="00717CE1" w:rsidP="00717CE1">
      <w:pPr>
        <w:rPr>
          <w:rFonts w:cs="Arial"/>
          <w:lang w:val="en-US"/>
        </w:rPr>
      </w:pPr>
      <w:r w:rsidRPr="00717CE1">
        <w:rPr>
          <w:rFonts w:cs="Arial"/>
        </w:rPr>
        <w:t>Contributions from JSA to the ongoing agenda could include</w:t>
      </w:r>
      <w:r w:rsidR="00AC2606" w:rsidRPr="00AC0957">
        <w:rPr>
          <w:rFonts w:cs="Arial"/>
          <w:lang w:val="en-US"/>
        </w:rPr>
        <w:t>:</w:t>
      </w:r>
    </w:p>
    <w:p w14:paraId="1E1F91D3" w14:textId="77777777" w:rsidR="002E0637" w:rsidRDefault="002E0637" w:rsidP="002E0637">
      <w:pPr>
        <w:pStyle w:val="ListBullet"/>
      </w:pPr>
      <w:r>
        <w:t>Disseminating concrete examples of possible models of VET and higher education collaboration.</w:t>
      </w:r>
    </w:p>
    <w:p w14:paraId="3C2A0041" w14:textId="77777777" w:rsidR="002E0637" w:rsidRDefault="002E0637" w:rsidP="002E0637">
      <w:pPr>
        <w:pStyle w:val="ListBullet"/>
      </w:pPr>
      <w:r>
        <w:t>Dialogue with Jobs and Skills Councils on what skills are needed across VET and higher education for their sectors.</w:t>
      </w:r>
    </w:p>
    <w:p w14:paraId="325884B9" w14:textId="77777777" w:rsidR="002E0637" w:rsidRDefault="002E0637" w:rsidP="002E0637">
      <w:pPr>
        <w:pStyle w:val="ListBullet"/>
      </w:pPr>
      <w:r>
        <w:t>A future relationship with the proposed Australian Tertiary Education Commission.</w:t>
      </w:r>
    </w:p>
    <w:p w14:paraId="08E86F26" w14:textId="77777777" w:rsidR="002E0637" w:rsidRDefault="002E0637" w:rsidP="002E0637">
      <w:pPr>
        <w:pStyle w:val="ListBullet"/>
      </w:pPr>
      <w:r>
        <w:t xml:space="preserve">Considering a common language and framework that contributes to higher education and VET connectivity. </w:t>
      </w:r>
    </w:p>
    <w:p w14:paraId="57FCB249" w14:textId="77777777" w:rsidR="002E0637" w:rsidRDefault="002E0637" w:rsidP="002E0637">
      <w:pPr>
        <w:pStyle w:val="ListBullet"/>
      </w:pPr>
      <w:r>
        <w:t>Data from the VET National Data Asset, Skills Tracker, and other data sources.</w:t>
      </w:r>
    </w:p>
    <w:p w14:paraId="4954F50A" w14:textId="218D8C39" w:rsidR="00E90B0A" w:rsidRDefault="002E0637" w:rsidP="002E0637">
      <w:pPr>
        <w:pStyle w:val="ListBullet"/>
      </w:pPr>
      <w:r>
        <w:t>Research on the benefits of joint VET and Higher Education pathways.</w:t>
      </w:r>
    </w:p>
    <w:p w14:paraId="6CDF3B06" w14:textId="2D0023CC" w:rsidR="006E1D08" w:rsidRDefault="00DC221B" w:rsidP="00781E97">
      <w:pPr>
        <w:spacing w:after="160" w:line="259" w:lineRule="auto"/>
        <w:rPr>
          <w:rFonts w:cs="Arial"/>
        </w:rPr>
      </w:pPr>
      <w:r w:rsidRPr="00DC221B">
        <w:rPr>
          <w:rFonts w:cs="Arial"/>
        </w:rPr>
        <w:t>This includes work to support 2024-25 Budget measures that the Department of Employment and Workplace Relations and the Department of Education are progressing with relevant agencies to deliver reforms recommended by the Australian Universities Accord</w:t>
      </w:r>
      <w:r w:rsidR="00C8205A">
        <w:rPr>
          <w:rFonts w:cs="Arial"/>
        </w:rPr>
        <w:t xml:space="preserve">. </w:t>
      </w:r>
    </w:p>
    <w:p w14:paraId="3AC2A063" w14:textId="77777777" w:rsidR="00E90B0A" w:rsidRPr="00AC0957" w:rsidRDefault="00E90B0A" w:rsidP="00E90B0A">
      <w:pPr>
        <w:pStyle w:val="Heading3"/>
        <w:rPr>
          <w:rFonts w:eastAsiaTheme="minorHAnsi" w:cs="Arial"/>
          <w:color w:val="auto"/>
          <w:sz w:val="22"/>
          <w:szCs w:val="22"/>
        </w:rPr>
      </w:pPr>
      <w:bookmarkStart w:id="290" w:name="_Toc181371613"/>
      <w:r>
        <w:rPr>
          <w:rFonts w:cs="Arial"/>
        </w:rPr>
        <w:t>The Role for a</w:t>
      </w:r>
      <w:r w:rsidRPr="00AC0957">
        <w:rPr>
          <w:rFonts w:cs="Arial"/>
        </w:rPr>
        <w:t xml:space="preserve"> National Skills Taxonomy</w:t>
      </w:r>
      <w:bookmarkEnd w:id="290"/>
    </w:p>
    <w:p w14:paraId="2FDCBD8C" w14:textId="77777777" w:rsidR="00336EBE" w:rsidRPr="00DA4126" w:rsidRDefault="00336EBE" w:rsidP="00336EBE">
      <w:pPr>
        <w:rPr>
          <w:rFonts w:cs="Arial"/>
        </w:rPr>
      </w:pPr>
      <w:r w:rsidRPr="00DA4126">
        <w:rPr>
          <w:rFonts w:cs="Arial"/>
        </w:rPr>
        <w:t>A common skills language is crucial for ensuring effective collaboration among educators, employers, unions, governments, and individuals. Currently, without a standardised language or a common definition to distinguish skills, tasks, units of competency, or knowledge, conversations can turn to stalemate due to the use of homophones.</w:t>
      </w:r>
    </w:p>
    <w:p w14:paraId="0442CE31" w14:textId="3B02465A" w:rsidR="001639B9" w:rsidRPr="00DA4126" w:rsidRDefault="001639B9" w:rsidP="001639B9">
      <w:pPr>
        <w:rPr>
          <w:rFonts w:cs="Arial"/>
        </w:rPr>
      </w:pPr>
      <w:r w:rsidRPr="00DA4126">
        <w:rPr>
          <w:rFonts w:cs="Arial"/>
        </w:rPr>
        <w:t xml:space="preserve">The primary objective of developing a National Skills Taxonomy (NST) is to establish a common language of skills. Building </w:t>
      </w:r>
      <w:r w:rsidR="00336EBE">
        <w:rPr>
          <w:rFonts w:cs="Arial"/>
        </w:rPr>
        <w:t>a</w:t>
      </w:r>
      <w:r w:rsidRPr="00DA4126">
        <w:rPr>
          <w:rFonts w:cs="Arial"/>
        </w:rPr>
        <w:t xml:space="preserve"> shared understanding </w:t>
      </w:r>
      <w:r w:rsidR="00336EBE">
        <w:rPr>
          <w:rFonts w:cs="Arial"/>
        </w:rPr>
        <w:t xml:space="preserve">of skills </w:t>
      </w:r>
      <w:r w:rsidRPr="00DA4126">
        <w:rPr>
          <w:rFonts w:cs="Arial"/>
        </w:rPr>
        <w:t>among stakeholders will require time and a significant shift in how skills are identified and communicated.</w:t>
      </w:r>
    </w:p>
    <w:p w14:paraId="3AC891B9" w14:textId="77777777" w:rsidR="00DA4126" w:rsidRPr="00DA4126" w:rsidRDefault="00DA4126" w:rsidP="00DA4126">
      <w:pPr>
        <w:rPr>
          <w:rFonts w:cs="Arial"/>
        </w:rPr>
      </w:pPr>
      <w:r w:rsidRPr="00DA4126">
        <w:rPr>
          <w:rFonts w:cs="Arial"/>
        </w:rPr>
        <w:t>The term ‘skill’ is widely used across education, training, and workforce contexts. However, its definition varies significantly across different stakeholders, use cases and formal frameworks.</w:t>
      </w:r>
    </w:p>
    <w:p w14:paraId="3B8B2C1E" w14:textId="77777777" w:rsidR="00DA4126" w:rsidRPr="00DA4126" w:rsidRDefault="00DA4126" w:rsidP="00DA4126">
      <w:pPr>
        <w:rPr>
          <w:rFonts w:cs="Arial"/>
        </w:rPr>
      </w:pPr>
      <w:r w:rsidRPr="00DA4126">
        <w:rPr>
          <w:rFonts w:cs="Arial"/>
        </w:rPr>
        <w:t>Australia currently lacks a unified language of skills, with no single framework consistently describing the range of skills in Australia. This has resulted in different stakeholders employing their own definitions for skills. The absence of a common interpretation and understanding of skills represents a major challenge in the Australian skills landscape, with each actor speaking a different skills language. This fragmentation creates friction and provides challenges when attempting to find alignment between VET, higher education and employment.</w:t>
      </w:r>
    </w:p>
    <w:p w14:paraId="368785E6" w14:textId="77777777" w:rsidR="00DA4126" w:rsidRPr="00DA4126" w:rsidRDefault="00DA4126" w:rsidP="00DA4126">
      <w:pPr>
        <w:rPr>
          <w:rFonts w:cs="Arial"/>
        </w:rPr>
      </w:pPr>
      <w:r w:rsidRPr="00DA4126">
        <w:rPr>
          <w:rFonts w:cs="Arial"/>
        </w:rPr>
        <w:t xml:space="preserve">A NST can offer a starting point for tertiary harmonisation to reset the language of education in the context of a tertiary system with a common objective – a comprehensive education underpinned by a broad portfolio of skills. With this foundation an NST can enable clearer identification of gaps in education that inhibit pathways and more nuanced discussion on how education can best scaffold across a tertiary system. With a foundation of a common language, further progress can be made ahead of more explicit and systematic responses to tertiary harmonisation in later years such as credit recognition across sectors. </w:t>
      </w:r>
    </w:p>
    <w:p w14:paraId="0828A458" w14:textId="225FFE47" w:rsidR="00DA4126" w:rsidRPr="00DA4126" w:rsidRDefault="00DA4126" w:rsidP="00DA4126">
      <w:pPr>
        <w:rPr>
          <w:rFonts w:cs="Arial"/>
        </w:rPr>
      </w:pPr>
      <w:r w:rsidRPr="00DA4126">
        <w:rPr>
          <w:rFonts w:cs="Arial"/>
        </w:rPr>
        <w:t xml:space="preserve">To support high-level conversations and ensure the NST meets additional use cases in education, employment, and labour market analysis, the NST will be developed exclusively with skills in mind. This offers an alternative methodology to the previous Australian Skills Classification, which incorporated specialist tasks, technology tools, and based itself on occupation. This approach will make the NST immune to changes in occupational or educational architecture, such as recent ANZSCO </w:t>
      </w:r>
      <w:r w:rsidR="00DC63E2">
        <w:rPr>
          <w:rFonts w:cs="Arial"/>
        </w:rPr>
        <w:t>changes</w:t>
      </w:r>
      <w:r w:rsidRPr="00DA4126">
        <w:rPr>
          <w:rFonts w:cs="Arial"/>
        </w:rPr>
        <w:t>.</w:t>
      </w:r>
    </w:p>
    <w:p w14:paraId="1A358B01" w14:textId="77777777" w:rsidR="00DA4126" w:rsidRPr="00DA4126" w:rsidRDefault="00DA4126" w:rsidP="00DA4126">
      <w:pPr>
        <w:rPr>
          <w:rFonts w:cs="Arial"/>
        </w:rPr>
      </w:pPr>
      <w:r w:rsidRPr="00DA4126">
        <w:rPr>
          <w:rFonts w:cs="Arial"/>
        </w:rPr>
        <w:t>Ensuring the widespread adoption of the NST as the common skills language requires engaging with stakeholders as a critical component of its development. Through collaborative design processes across all sectors, JSA aims to find common ground among stakeholders to form the foundations of the NST. It is understood that this will take time and necessitates a top-down approach to building key levels of the NST, ensuring that no use case, sector, or skills domain is compromised in the early stages of development.</w:t>
      </w:r>
    </w:p>
    <w:p w14:paraId="305F3507" w14:textId="2A5420B2" w:rsidR="00E90B0A" w:rsidRPr="00E90B0A" w:rsidRDefault="00DA4126" w:rsidP="00DA4126">
      <w:pPr>
        <w:rPr>
          <w:rFonts w:cs="Arial"/>
        </w:rPr>
      </w:pPr>
      <w:r w:rsidRPr="00DA4126">
        <w:rPr>
          <w:rFonts w:cs="Arial"/>
        </w:rPr>
        <w:t>The first level of a NST will be a skills definition, with the aim of achieving an as close to common definition of the term skill within Australia. Consultation on a proposed skills definition is anticipated to occur in the first quarter of 2025</w:t>
      </w:r>
      <w:r w:rsidR="00E90B0A" w:rsidRPr="00AC0957">
        <w:rPr>
          <w:rFonts w:cs="Arial"/>
        </w:rPr>
        <w:t xml:space="preserve">. </w:t>
      </w:r>
    </w:p>
    <w:p w14:paraId="0F5D20B1" w14:textId="77777777" w:rsidR="00AC2606" w:rsidRPr="00AC0957" w:rsidRDefault="00AC2606" w:rsidP="00AC2606">
      <w:pPr>
        <w:pStyle w:val="Heading2"/>
        <w:rPr>
          <w:rFonts w:cs="Arial"/>
          <w:highlight w:val="yellow"/>
        </w:rPr>
      </w:pPr>
      <w:bookmarkStart w:id="291" w:name="_Toc179887417"/>
      <w:bookmarkStart w:id="292" w:name="_Toc181371614"/>
      <w:r w:rsidRPr="00AC0957">
        <w:rPr>
          <w:rFonts w:cs="Arial"/>
        </w:rPr>
        <w:t>Combining work and study</w:t>
      </w:r>
      <w:bookmarkEnd w:id="291"/>
      <w:bookmarkEnd w:id="292"/>
      <w:r w:rsidRPr="00AC0957">
        <w:rPr>
          <w:rFonts w:cs="Arial"/>
        </w:rPr>
        <w:t xml:space="preserve"> </w:t>
      </w:r>
    </w:p>
    <w:p w14:paraId="1E65640B" w14:textId="77777777" w:rsidR="00906D47" w:rsidRPr="00906D47" w:rsidRDefault="00906D47" w:rsidP="002907DF">
      <w:r w:rsidRPr="00906D47">
        <w:t xml:space="preserve">Experience in the workforce of any kind has benefits for individuals including the opportunity to explore different career options, gain an understanding of workplace expectations, culture, and environments, and increase employability skills, self-confidence and independence. </w:t>
      </w:r>
    </w:p>
    <w:p w14:paraId="7EC074E1" w14:textId="3484E466" w:rsidR="00AC2606" w:rsidRPr="00AC0957" w:rsidRDefault="00906D47" w:rsidP="00906D47">
      <w:pPr>
        <w:rPr>
          <w:rFonts w:cs="Arial"/>
        </w:rPr>
      </w:pPr>
      <w:r w:rsidRPr="00906D47">
        <w:rPr>
          <w:rFonts w:cs="Arial"/>
        </w:rPr>
        <w:t>Any employment while studying is also associated with higher rates of employment after study. For young people (age 25) all categories of work experience (regardless of skill level) result in a higher rate of employment than for those who did not have any work experience while studying. When skill level is considered, those who had work experience while studying at a high skill level were then 14-24% more likely to be working in a high-skill job by age 25 than those with no work experience during study</w:t>
      </w:r>
      <w:sdt>
        <w:sdtPr>
          <w:rPr>
            <w:rFonts w:cs="Arial"/>
          </w:rPr>
          <w:id w:val="-1098023489"/>
          <w:citation/>
        </w:sdtPr>
        <w:sdtEndPr/>
        <w:sdtContent>
          <w:r w:rsidR="00AC2606" w:rsidRPr="00AC0957">
            <w:rPr>
              <w:rFonts w:cs="Arial"/>
            </w:rPr>
            <w:fldChar w:fldCharType="begin"/>
          </w:r>
          <w:r w:rsidR="00AC2606" w:rsidRPr="00AC0957">
            <w:rPr>
              <w:rFonts w:cs="Arial"/>
            </w:rPr>
            <w:instrText xml:space="preserve"> CITATION Daw23 \l 3081 </w:instrText>
          </w:r>
          <w:r w:rsidR="00AC2606" w:rsidRPr="00AC0957">
            <w:rPr>
              <w:rFonts w:cs="Arial"/>
            </w:rPr>
            <w:fldChar w:fldCharType="separate"/>
          </w:r>
          <w:r w:rsidR="00CA3587">
            <w:rPr>
              <w:rFonts w:cs="Arial"/>
              <w:noProof/>
            </w:rPr>
            <w:t xml:space="preserve"> </w:t>
          </w:r>
          <w:r w:rsidR="00CA3587" w:rsidRPr="00CA3587">
            <w:rPr>
              <w:rFonts w:cs="Arial"/>
              <w:noProof/>
            </w:rPr>
            <w:t>(Dawkins, Lilly, &amp; Pascoe, 2023)</w:t>
          </w:r>
          <w:r w:rsidR="00AC2606" w:rsidRPr="00AC0957">
            <w:rPr>
              <w:rFonts w:cs="Arial"/>
            </w:rPr>
            <w:fldChar w:fldCharType="end"/>
          </w:r>
        </w:sdtContent>
      </w:sdt>
      <w:r w:rsidR="00AC2606" w:rsidRPr="00AC0957">
        <w:rPr>
          <w:rFonts w:cs="Arial"/>
        </w:rPr>
        <w:t xml:space="preserve">. </w:t>
      </w:r>
    </w:p>
    <w:p w14:paraId="3850DC9E" w14:textId="2F7F15DD" w:rsidR="00AC2606" w:rsidRPr="00AC0957" w:rsidRDefault="000573ED" w:rsidP="00AC2606">
      <w:pPr>
        <w:rPr>
          <w:rFonts w:cs="Arial"/>
        </w:rPr>
      </w:pPr>
      <w:r w:rsidRPr="000573ED">
        <w:rPr>
          <w:rFonts w:cs="Arial"/>
        </w:rPr>
        <w:t>The type of work also makes a difference to outcomes. Analysis undertaken by the National Centre for Vocational Education Research (NCVER) found that students who work in a job they would like as a career (a ‘career job’) while studying are more likely to complete study than those who do not (4 percentage points more likely for full-time students and 10 percentage points more likely for part-time students). While working in a job at all during the last year of study was also associated with a higher probability of employment in the first year post-study, the magnitude of this benefit changed whether this was a ‘career’ or ‘non-career’ job. For students in higher education, working in a career job made them 74 percentage points more likely to be in employment in their first year post-study compared to students who did not work in their last year of higher education. This difference was a smaller 25 percentage points for those working in a non-career job. For VET students, this difference was 68 percentage points and 65 percentage points respectively</w:t>
      </w:r>
      <w:sdt>
        <w:sdtPr>
          <w:rPr>
            <w:rFonts w:cs="Arial"/>
          </w:rPr>
          <w:id w:val="685799022"/>
          <w:citation/>
        </w:sdtPr>
        <w:sdtEndPr/>
        <w:sdtContent>
          <w:r w:rsidR="00AC2606" w:rsidRPr="00AC0957">
            <w:rPr>
              <w:rFonts w:cs="Arial"/>
            </w:rPr>
            <w:fldChar w:fldCharType="begin"/>
          </w:r>
          <w:r w:rsidR="00AC2606" w:rsidRPr="00AC0957">
            <w:rPr>
              <w:rFonts w:cs="Arial"/>
            </w:rPr>
            <w:instrText xml:space="preserve">CITATION Pol \l 3081 </w:instrText>
          </w:r>
          <w:r w:rsidR="00AC2606" w:rsidRPr="00AC0957">
            <w:rPr>
              <w:rFonts w:cs="Arial"/>
            </w:rPr>
            <w:fldChar w:fldCharType="separate"/>
          </w:r>
          <w:r w:rsidR="00CA3587">
            <w:rPr>
              <w:rFonts w:cs="Arial"/>
              <w:noProof/>
            </w:rPr>
            <w:t xml:space="preserve"> </w:t>
          </w:r>
          <w:r w:rsidR="00CA3587" w:rsidRPr="00CA3587">
            <w:rPr>
              <w:rFonts w:cs="Arial"/>
              <w:noProof/>
            </w:rPr>
            <w:t>(Polidano &amp; Rezida, 2011)</w:t>
          </w:r>
          <w:r w:rsidR="00AC2606" w:rsidRPr="00AC0957">
            <w:rPr>
              <w:rFonts w:cs="Arial"/>
            </w:rPr>
            <w:fldChar w:fldCharType="end"/>
          </w:r>
        </w:sdtContent>
      </w:sdt>
      <w:r w:rsidR="00AC2606" w:rsidRPr="00AC0957">
        <w:rPr>
          <w:rFonts w:cs="Arial"/>
        </w:rPr>
        <w:t xml:space="preserve">. </w:t>
      </w:r>
    </w:p>
    <w:p w14:paraId="112C7424" w14:textId="77777777" w:rsidR="00AC2606" w:rsidRPr="00AC0957" w:rsidRDefault="00AC2606" w:rsidP="00AC2606">
      <w:pPr>
        <w:pStyle w:val="Heading3"/>
        <w:rPr>
          <w:rFonts w:cs="Arial"/>
        </w:rPr>
      </w:pPr>
      <w:bookmarkStart w:id="293" w:name="_Toc179887418"/>
      <w:bookmarkStart w:id="294" w:name="_Toc181371615"/>
      <w:r w:rsidRPr="00AC0957">
        <w:rPr>
          <w:rFonts w:cs="Arial"/>
        </w:rPr>
        <w:t>Work-integrated learning</w:t>
      </w:r>
      <w:bookmarkEnd w:id="293"/>
      <w:bookmarkEnd w:id="294"/>
    </w:p>
    <w:p w14:paraId="49AB91D9" w14:textId="77777777" w:rsidR="009910C7" w:rsidRPr="009910C7" w:rsidRDefault="009910C7" w:rsidP="009910C7">
      <w:pPr>
        <w:rPr>
          <w:rFonts w:cs="Arial"/>
        </w:rPr>
      </w:pPr>
      <w:r w:rsidRPr="009910C7">
        <w:rPr>
          <w:rFonts w:cs="Arial"/>
        </w:rPr>
        <w:t>Work-integrated learning combines academic and classroom-based study with time in a workplace learning and practicing relevant skills and tasks. Examples of work-integrated learning include apprenticeships, cadetships, placements, simulations, practicums, and fieldwork. It can form part of professional accreditation requirements or can introduce students to relevant work practices without being a prerequisite for entry into work.</w:t>
      </w:r>
    </w:p>
    <w:p w14:paraId="5606FB69" w14:textId="77777777" w:rsidR="009910C7" w:rsidRPr="009910C7" w:rsidRDefault="009910C7" w:rsidP="009910C7">
      <w:pPr>
        <w:rPr>
          <w:rFonts w:cs="Arial"/>
        </w:rPr>
      </w:pPr>
      <w:r w:rsidRPr="009910C7">
        <w:rPr>
          <w:rFonts w:cs="Arial"/>
        </w:rPr>
        <w:t xml:space="preserve">This type of learning can be beneficial for individuals by helping to consolidate learning and bridge the gap between theory and practice through the application of skills learned in the classroom. It can also help individuals to gain experience of workplace culture and make beneficial professional connections and may have beneficial outcomes in terms of wages and employment prospects post-completion. </w:t>
      </w:r>
    </w:p>
    <w:p w14:paraId="64EDE64C" w14:textId="3428188E" w:rsidR="00AC2606" w:rsidRPr="00AC0957" w:rsidRDefault="009910C7" w:rsidP="009910C7">
      <w:pPr>
        <w:rPr>
          <w:rFonts w:cs="Arial"/>
        </w:rPr>
      </w:pPr>
      <w:r w:rsidRPr="009910C7">
        <w:rPr>
          <w:rFonts w:cs="Arial"/>
        </w:rPr>
        <w:t>For employers, benefits can include access to an additional resource, staff development opportunities from mentoring of a student, and fresh ideas and approaches. It also provides opportunities for employers and education providers to make connections that can benefit both parties. Employers can provide feedback and input into teaching and training practices, and education and training providers may identify new and innovative methodologies and practices based on how skills are being used and applied in an industry context.</w:t>
      </w:r>
      <w:r w:rsidR="008C52B1">
        <w:rPr>
          <w:rFonts w:cs="Arial"/>
        </w:rPr>
        <w:t xml:space="preserve"> </w:t>
      </w:r>
    </w:p>
    <w:p w14:paraId="15A8E6E0" w14:textId="77777777" w:rsidR="00AC2606" w:rsidRPr="00AC0957" w:rsidRDefault="00AC2606" w:rsidP="00FB1F74">
      <w:pPr>
        <w:pStyle w:val="Heading4"/>
        <w:keepNext/>
      </w:pPr>
      <w:r w:rsidRPr="00AC0957">
        <w:t>Apprenticeships</w:t>
      </w:r>
    </w:p>
    <w:p w14:paraId="0BADDD1F" w14:textId="2EA80DE0" w:rsidR="00AC2606" w:rsidRPr="00AC0957" w:rsidRDefault="00DA2E98" w:rsidP="00AC2606">
      <w:pPr>
        <w:rPr>
          <w:rFonts w:cs="Arial"/>
        </w:rPr>
      </w:pPr>
      <w:r>
        <w:rPr>
          <w:rFonts w:cs="Arial"/>
        </w:rPr>
        <w:t>JSA has a legislative requirement to r</w:t>
      </w:r>
      <w:r w:rsidRPr="00FA6809">
        <w:rPr>
          <w:rFonts w:cs="Arial"/>
        </w:rPr>
        <w:t xml:space="preserve">eport on Australia’s current, emerging and future skills and training needs and priorities </w:t>
      </w:r>
      <w:r>
        <w:rPr>
          <w:rFonts w:cs="Arial"/>
        </w:rPr>
        <w:t>– including specifically</w:t>
      </w:r>
      <w:r w:rsidRPr="00FA6809">
        <w:rPr>
          <w:rFonts w:cs="Arial"/>
        </w:rPr>
        <w:t xml:space="preserve"> in relation to apprenticeships</w:t>
      </w:r>
      <w:r>
        <w:rPr>
          <w:rFonts w:cs="Arial"/>
        </w:rPr>
        <w:t xml:space="preserve">. </w:t>
      </w:r>
      <w:r w:rsidRPr="00AC0957">
        <w:rPr>
          <w:rFonts w:cs="Arial"/>
        </w:rPr>
        <w:t>Apprenticeships are a form of work-</w:t>
      </w:r>
      <w:r>
        <w:rPr>
          <w:rFonts w:cs="Arial"/>
        </w:rPr>
        <w:t>based</w:t>
      </w:r>
      <w:r w:rsidRPr="00AC0957">
        <w:rPr>
          <w:rFonts w:cs="Arial"/>
        </w:rPr>
        <w:t xml:space="preserve"> learning that allow individuals to obtain a qualification through a combination of learning at a training organisation and on the job, and also to ‘earn while they learn’. Apprenticeship completion rates have been in steady decline over several years, and the Australian Government is undertaking a review of the Australian Apprenticeship Incentive System</w:t>
      </w:r>
      <w:r>
        <w:rPr>
          <w:rFonts w:cs="Arial"/>
        </w:rPr>
        <w:t xml:space="preserve"> (AAIS)</w:t>
      </w:r>
      <w:r w:rsidRPr="00AC0957">
        <w:rPr>
          <w:rFonts w:cs="Arial"/>
        </w:rPr>
        <w:t xml:space="preserve"> to determine how support can be best placed to increase the completion rate </w:t>
      </w:r>
      <w:sdt>
        <w:sdtPr>
          <w:rPr>
            <w:rFonts w:cs="Arial"/>
          </w:rPr>
          <w:id w:val="1368260845"/>
          <w:citation/>
        </w:sdtPr>
        <w:sdtEndPr/>
        <w:sdtContent>
          <w:r w:rsidR="00AC2606" w:rsidRPr="00AC0957">
            <w:rPr>
              <w:rFonts w:cs="Arial"/>
            </w:rPr>
            <w:fldChar w:fldCharType="begin"/>
          </w:r>
          <w:r w:rsidR="00BC5ABC">
            <w:rPr>
              <w:rFonts w:cs="Arial"/>
            </w:rPr>
            <w:instrText xml:space="preserve">CITATION Rel24 \l 3081 </w:instrText>
          </w:r>
          <w:r w:rsidR="00AC2606" w:rsidRPr="00AC0957">
            <w:rPr>
              <w:rFonts w:cs="Arial"/>
            </w:rPr>
            <w:fldChar w:fldCharType="separate"/>
          </w:r>
          <w:r w:rsidR="00CA3587" w:rsidRPr="00CA3587">
            <w:rPr>
              <w:rFonts w:cs="Arial"/>
              <w:noProof/>
            </w:rPr>
            <w:t>(Australian Government Department of Employment and Workplace Relations, 2024)</w:t>
          </w:r>
          <w:r w:rsidR="00AC2606" w:rsidRPr="00AC0957">
            <w:rPr>
              <w:rFonts w:cs="Arial"/>
            </w:rPr>
            <w:fldChar w:fldCharType="end"/>
          </w:r>
        </w:sdtContent>
      </w:sdt>
      <w:r w:rsidR="00AC2606" w:rsidRPr="00AC0957">
        <w:rPr>
          <w:rFonts w:cs="Arial"/>
        </w:rPr>
        <w:t>.</w:t>
      </w:r>
      <w:r w:rsidR="008C52B1">
        <w:rPr>
          <w:rFonts w:cs="Arial"/>
        </w:rPr>
        <w:t xml:space="preserve"> </w:t>
      </w:r>
    </w:p>
    <w:p w14:paraId="28089527" w14:textId="0134411C" w:rsidR="00AC2606" w:rsidRPr="00AC0957" w:rsidRDefault="00AB0A54" w:rsidP="00AC2606">
      <w:pPr>
        <w:rPr>
          <w:rFonts w:cs="Arial"/>
        </w:rPr>
      </w:pPr>
      <w:r w:rsidRPr="00AC0957">
        <w:rPr>
          <w:rFonts w:cs="Arial"/>
        </w:rPr>
        <w:t xml:space="preserve">As part of analysis undertaken to support the review, JSA found that students who complete a VET qualification via an apprenticeship pathway </w:t>
      </w:r>
      <w:r>
        <w:rPr>
          <w:rFonts w:cs="Arial"/>
        </w:rPr>
        <w:t xml:space="preserve">(formal apprenticeships supported through the AAIS) </w:t>
      </w:r>
      <w:r w:rsidRPr="00AC0957">
        <w:rPr>
          <w:rFonts w:cs="Arial"/>
        </w:rPr>
        <w:t>tend to experience better employment outcomes compared to those who complete a qualification via a non-apprenticeship pathway. These include a higher income uplift and increased likelihood of working in occupations relevant to their qualification</w:t>
      </w:r>
      <w:r w:rsidR="00AC2606" w:rsidRPr="00AC0957">
        <w:rPr>
          <w:rFonts w:cs="Arial"/>
        </w:rPr>
        <w:t>.</w:t>
      </w:r>
    </w:p>
    <w:p w14:paraId="6C4EB70E" w14:textId="77777777" w:rsidR="00AC2606" w:rsidRPr="00AC0957" w:rsidRDefault="00AC2606" w:rsidP="005D2F87">
      <w:pPr>
        <w:pStyle w:val="Heading5"/>
      </w:pPr>
      <w:r w:rsidRPr="005D2F87">
        <w:t>Income</w:t>
      </w:r>
    </w:p>
    <w:p w14:paraId="0663D3DE" w14:textId="77777777" w:rsidR="006A3144" w:rsidRPr="00AC0957" w:rsidRDefault="006A3144" w:rsidP="006A3144">
      <w:pPr>
        <w:rPr>
          <w:rFonts w:cs="Arial"/>
        </w:rPr>
      </w:pPr>
      <w:r w:rsidRPr="00AC0957">
        <w:rPr>
          <w:rFonts w:cs="Arial"/>
        </w:rPr>
        <w:t xml:space="preserve">While the overall median incomes for those who have completed an apprenticeship pathway and those completing a non-apprenticeship pathway are similar (around $60,000), several indicators demonstrate an income benefit to completing an apprenticeship pathway. </w:t>
      </w:r>
    </w:p>
    <w:p w14:paraId="5D666A4D" w14:textId="09148D59" w:rsidR="00AC2606" w:rsidRPr="00AC0957" w:rsidRDefault="006A3144" w:rsidP="006A3144">
      <w:pPr>
        <w:rPr>
          <w:rFonts w:cs="Arial"/>
        </w:rPr>
      </w:pPr>
      <w:r w:rsidRPr="00AC0957">
        <w:rPr>
          <w:rFonts w:cs="Arial"/>
        </w:rPr>
        <w:t xml:space="preserve">Across many fields of education, the annual employee median income for those who have completed an apprenticeship pathway is higher </w:t>
      </w:r>
      <w:r w:rsidR="00AC2606" w:rsidRPr="00AC0957">
        <w:rPr>
          <w:rFonts w:cs="Arial"/>
        </w:rPr>
        <w:t>(</w:t>
      </w:r>
      <w:r w:rsidR="000B055E">
        <w:rPr>
          <w:rFonts w:cs="Arial"/>
        </w:rPr>
        <w:fldChar w:fldCharType="begin"/>
      </w:r>
      <w:r w:rsidR="000B055E">
        <w:rPr>
          <w:rFonts w:cs="Arial"/>
        </w:rPr>
        <w:instrText xml:space="preserve"> REF _Ref179898548 \h </w:instrText>
      </w:r>
      <w:r w:rsidR="000B055E">
        <w:rPr>
          <w:rFonts w:cs="Arial"/>
        </w:rPr>
      </w:r>
      <w:r w:rsidR="000B055E">
        <w:rPr>
          <w:rFonts w:cs="Arial"/>
        </w:rPr>
        <w:fldChar w:fldCharType="separate"/>
      </w:r>
      <w:r w:rsidR="00C47A81">
        <w:t xml:space="preserve">Figure </w:t>
      </w:r>
      <w:r w:rsidR="00C47A81">
        <w:rPr>
          <w:noProof/>
        </w:rPr>
        <w:t>65</w:t>
      </w:r>
      <w:r w:rsidR="000B055E">
        <w:rPr>
          <w:rFonts w:cs="Arial"/>
        </w:rPr>
        <w:fldChar w:fldCharType="end"/>
      </w:r>
      <w:r w:rsidR="00AC2606" w:rsidRPr="00AC0957">
        <w:rPr>
          <w:rFonts w:cs="Arial"/>
        </w:rPr>
        <w:t xml:space="preserve">). Among the top five fields of education, the biggest difference was for study in the field of </w:t>
      </w:r>
      <w:r w:rsidR="00AC2606" w:rsidRPr="00AC0957">
        <w:rPr>
          <w:rFonts w:cs="Arial"/>
          <w:i/>
          <w:iCs/>
        </w:rPr>
        <w:t>Food, Hospitality, and Personal Services</w:t>
      </w:r>
      <w:r w:rsidR="00AC2606" w:rsidRPr="00AC0957">
        <w:rPr>
          <w:rFonts w:cs="Arial"/>
        </w:rPr>
        <w:t xml:space="preserve"> which had a median income of $50,000 for those who completed an apprenticeship pathway and $44,000 for those who completed a non-apprenticeship pathway. </w:t>
      </w:r>
    </w:p>
    <w:p w14:paraId="0F5261EB" w14:textId="254AE7F7" w:rsidR="00E5139D" w:rsidRDefault="00E5139D" w:rsidP="00E5139D">
      <w:pPr>
        <w:pStyle w:val="Caption"/>
      </w:pPr>
      <w:bookmarkStart w:id="295" w:name="_Ref179898548"/>
      <w:bookmarkStart w:id="296" w:name="_Toc181370367"/>
      <w:r>
        <w:t xml:space="preserve">Figure </w:t>
      </w:r>
      <w:r>
        <w:fldChar w:fldCharType="begin"/>
      </w:r>
      <w:r>
        <w:instrText xml:space="preserve"> SEQ Figure \* ARABIC </w:instrText>
      </w:r>
      <w:r>
        <w:fldChar w:fldCharType="separate"/>
      </w:r>
      <w:r w:rsidR="00C47A81">
        <w:rPr>
          <w:noProof/>
        </w:rPr>
        <w:t>65</w:t>
      </w:r>
      <w:r>
        <w:fldChar w:fldCharType="end"/>
      </w:r>
      <w:bookmarkEnd w:id="295"/>
      <w:r>
        <w:t xml:space="preserve">: </w:t>
      </w:r>
      <w:r w:rsidR="00D76A76" w:rsidRPr="00F54B79">
        <w:t>Median income after training for those with an apprenticeship pathway and non-apprenticeship pathway, for the top field of education courses (by completions) and at the overall level</w:t>
      </w:r>
      <w:bookmarkEnd w:id="296"/>
    </w:p>
    <w:p w14:paraId="1AC0FE97" w14:textId="74F4D448" w:rsidR="00AC2606" w:rsidRPr="00AC0957" w:rsidRDefault="003538BB" w:rsidP="00AC2606">
      <w:pPr>
        <w:jc w:val="center"/>
        <w:rPr>
          <w:rFonts w:cs="Arial"/>
        </w:rPr>
      </w:pPr>
      <w:r>
        <w:rPr>
          <w:rFonts w:cs="Arial"/>
          <w:noProof/>
        </w:rPr>
        <w:drawing>
          <wp:inline distT="0" distB="0" distL="0" distR="0" wp14:anchorId="32FD1AC8" wp14:editId="641E1B09">
            <wp:extent cx="5231062" cy="3538331"/>
            <wp:effectExtent l="0" t="0" r="8255" b="5080"/>
            <wp:docPr id="1470552189" name="Picture 79" descr="A clustered bar chart showing the median income on the y-axis and the field of education on the x-axis. The figure shows that among the top 5 Field of Education, Food, Hospitality and Personal Services has the biggest difference between apprenticeship pathway and non-apprenticeship pathway ($50,000 vs. $4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552189" name="Picture 79" descr="A clustered bar chart showing the median income on the y-axis and the field of education on the x-axis. The figure shows that among the top 5 Field of Education, Food, Hospitality and Personal Services has the biggest difference between apprenticeship pathway and non-apprenticeship pathway ($50,000 vs. $44,000)."/>
                    <pic:cNvPicPr>
                      <a:picLocks noChangeAspect="1" noChangeArrowheads="1"/>
                    </pic:cNvPicPr>
                  </pic:nvPicPr>
                  <pic:blipFill rotWithShape="1">
                    <a:blip r:embed="rId121" cstate="print">
                      <a:extLst>
                        <a:ext uri="{28A0092B-C50C-407E-A947-70E740481C1C}">
                          <a14:useLocalDpi xmlns:a14="http://schemas.microsoft.com/office/drawing/2010/main" val="0"/>
                        </a:ext>
                      </a:extLst>
                    </a:blip>
                    <a:srcRect t="1629" b="2079"/>
                    <a:stretch/>
                  </pic:blipFill>
                  <pic:spPr bwMode="auto">
                    <a:xfrm>
                      <a:off x="0" y="0"/>
                      <a:ext cx="5322688" cy="3600307"/>
                    </a:xfrm>
                    <a:prstGeom prst="rect">
                      <a:avLst/>
                    </a:prstGeom>
                    <a:noFill/>
                    <a:ln>
                      <a:noFill/>
                    </a:ln>
                    <a:extLst>
                      <a:ext uri="{53640926-AAD7-44D8-BBD7-CCE9431645EC}">
                        <a14:shadowObscured xmlns:a14="http://schemas.microsoft.com/office/drawing/2010/main"/>
                      </a:ext>
                    </a:extLst>
                  </pic:spPr>
                </pic:pic>
              </a:graphicData>
            </a:graphic>
          </wp:inline>
        </w:drawing>
      </w:r>
    </w:p>
    <w:p w14:paraId="07EBAD8F" w14:textId="6AD32A65" w:rsidR="00344DF6" w:rsidRPr="00A63D63" w:rsidRDefault="00344DF6" w:rsidP="00344DF6">
      <w:pPr>
        <w:rPr>
          <w:rFonts w:cs="Arial"/>
          <w:sz w:val="18"/>
          <w:szCs w:val="18"/>
        </w:rPr>
      </w:pPr>
      <w:r w:rsidRPr="00A63D63">
        <w:rPr>
          <w:rFonts w:cs="Arial"/>
          <w:sz w:val="18"/>
          <w:szCs w:val="18"/>
        </w:rPr>
        <w:t xml:space="preserve">Source: </w:t>
      </w:r>
      <w:r w:rsidRPr="00790848">
        <w:rPr>
          <w:rFonts w:cs="Arial"/>
          <w:sz w:val="18"/>
          <w:szCs w:val="18"/>
        </w:rPr>
        <w:t>Jobs and Skills Australia,</w:t>
      </w:r>
      <w:r w:rsidR="00B528D0">
        <w:rPr>
          <w:rFonts w:cs="Arial"/>
          <w:sz w:val="18"/>
          <w:szCs w:val="18"/>
        </w:rPr>
        <w:t xml:space="preserve"> </w:t>
      </w:r>
      <w:r w:rsidRPr="00790848">
        <w:rPr>
          <w:rFonts w:cs="Arial"/>
          <w:sz w:val="18"/>
          <w:szCs w:val="18"/>
        </w:rPr>
        <w:t>VET National Data Asset (VNDA), May 2024</w:t>
      </w:r>
      <w:r>
        <w:rPr>
          <w:rFonts w:cs="Arial"/>
          <w:sz w:val="18"/>
          <w:szCs w:val="18"/>
        </w:rPr>
        <w:t xml:space="preserve">. </w:t>
      </w:r>
      <w:r w:rsidRPr="00E756BC">
        <w:rPr>
          <w:rFonts w:cs="Arial"/>
          <w:sz w:val="18"/>
          <w:szCs w:val="18"/>
        </w:rPr>
        <w:t>2002-2022, VET National Data Asset, ABS DataLab. Findings based on use of PLIDA data.</w:t>
      </w:r>
    </w:p>
    <w:p w14:paraId="4D14693C" w14:textId="2E7970F0" w:rsidR="00AC2606" w:rsidRPr="00AC0957" w:rsidRDefault="007600B9" w:rsidP="00AC2606">
      <w:pPr>
        <w:rPr>
          <w:rFonts w:cs="Arial"/>
        </w:rPr>
      </w:pPr>
      <w:r w:rsidRPr="007600B9">
        <w:rPr>
          <w:rFonts w:cs="Arial"/>
        </w:rPr>
        <w:t xml:space="preserve">When the income </w:t>
      </w:r>
      <w:r w:rsidRPr="007600B9">
        <w:rPr>
          <w:rFonts w:cs="Arial"/>
          <w:i/>
          <w:iCs/>
        </w:rPr>
        <w:t>uplift</w:t>
      </w:r>
      <w:r w:rsidRPr="007600B9">
        <w:rPr>
          <w:rFonts w:cs="Arial"/>
        </w:rPr>
        <w:t xml:space="preserve"> provided by a qualification of either type is considered (income for a person in the year after completing a qualification as compared to their income in the year before completion), the overall median income uplift is also higher for apprenticeship pathways ($21,000) compared to non- apprenticeship pathways ($9,000) </w:t>
      </w:r>
      <w:r w:rsidR="00AC2606" w:rsidRPr="00AC0957">
        <w:rPr>
          <w:rFonts w:cs="Arial"/>
        </w:rPr>
        <w:t>(</w:t>
      </w:r>
      <w:r w:rsidR="000B055E">
        <w:rPr>
          <w:rFonts w:cs="Arial"/>
        </w:rPr>
        <w:fldChar w:fldCharType="begin"/>
      </w:r>
      <w:r w:rsidR="000B055E">
        <w:rPr>
          <w:rFonts w:cs="Arial"/>
        </w:rPr>
        <w:instrText xml:space="preserve"> REF _Ref179898560 \h </w:instrText>
      </w:r>
      <w:r w:rsidR="000B055E">
        <w:rPr>
          <w:rFonts w:cs="Arial"/>
        </w:rPr>
      </w:r>
      <w:r w:rsidR="000B055E">
        <w:rPr>
          <w:rFonts w:cs="Arial"/>
        </w:rPr>
        <w:fldChar w:fldCharType="separate"/>
      </w:r>
      <w:r w:rsidR="00C47A81">
        <w:t xml:space="preserve">Figure </w:t>
      </w:r>
      <w:r w:rsidR="00C47A81">
        <w:rPr>
          <w:noProof/>
        </w:rPr>
        <w:t>66</w:t>
      </w:r>
      <w:r w:rsidR="000B055E">
        <w:rPr>
          <w:rFonts w:cs="Arial"/>
        </w:rPr>
        <w:fldChar w:fldCharType="end"/>
      </w:r>
      <w:r w:rsidR="00AC2606" w:rsidRPr="00AC0957">
        <w:rPr>
          <w:rFonts w:cs="Arial"/>
        </w:rPr>
        <w:t xml:space="preserve">). </w:t>
      </w:r>
    </w:p>
    <w:p w14:paraId="748E1087" w14:textId="08C7E098" w:rsidR="00E5139D" w:rsidRDefault="00E5139D" w:rsidP="00E5139D">
      <w:pPr>
        <w:pStyle w:val="Caption"/>
      </w:pPr>
      <w:bookmarkStart w:id="297" w:name="_Ref179898560"/>
      <w:bookmarkStart w:id="298" w:name="_Toc181370368"/>
      <w:r>
        <w:t xml:space="preserve">Figure </w:t>
      </w:r>
      <w:r>
        <w:fldChar w:fldCharType="begin"/>
      </w:r>
      <w:r>
        <w:instrText xml:space="preserve"> SEQ Figure \* ARABIC </w:instrText>
      </w:r>
      <w:r>
        <w:fldChar w:fldCharType="separate"/>
      </w:r>
      <w:r w:rsidR="00C47A81">
        <w:rPr>
          <w:noProof/>
        </w:rPr>
        <w:t>66</w:t>
      </w:r>
      <w:r>
        <w:fldChar w:fldCharType="end"/>
      </w:r>
      <w:bookmarkEnd w:id="297"/>
      <w:r>
        <w:t xml:space="preserve">: </w:t>
      </w:r>
      <w:r w:rsidR="006E6798" w:rsidRPr="006E6798">
        <w:t>Median income uplift after training for those with an apprenticeship pathway and non-apprenticeship pathway, for the top field of education courses (by completions)</w:t>
      </w:r>
      <w:bookmarkEnd w:id="298"/>
    </w:p>
    <w:p w14:paraId="1C8FB624" w14:textId="54A6BE0F" w:rsidR="00AC2606" w:rsidRPr="00AC0957" w:rsidRDefault="006D5407" w:rsidP="00AC2606">
      <w:pPr>
        <w:jc w:val="center"/>
        <w:rPr>
          <w:rFonts w:cs="Arial"/>
        </w:rPr>
      </w:pPr>
      <w:r>
        <w:rPr>
          <w:rFonts w:cs="Arial"/>
          <w:noProof/>
        </w:rPr>
        <w:drawing>
          <wp:inline distT="0" distB="0" distL="0" distR="0" wp14:anchorId="3D4ACAE6" wp14:editId="7EC53DC3">
            <wp:extent cx="5590800" cy="4129200"/>
            <wp:effectExtent l="0" t="0" r="0" b="5080"/>
            <wp:docPr id="787350083" name="Picture 80" descr="A clustered bar chart showing the income uplift on the y-axis and the field of education on the x-axis. The overall median income uplift is higher for apprenticeship pathway ($21,000) compared to non-apprenticeship pathway ($9,000).The same trend can be observed across all top 5 Field of education, with the Architecture and Building having the biggest difference of around $30,000 ($32,000 vs. $2,00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350083" name="Picture 80" descr="A clustered bar chart showing the income uplift on the y-axis and the field of education on the x-axis. The overall median income uplift is higher for apprenticeship pathway ($21,000) compared to non-apprenticeship pathway ($9,000).The same trend can be observed across all top 5 Field of education, with the Architecture and Building having the biggest difference of around $30,000 ($32,000 vs. $2,000) "/>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590800" cy="4129200"/>
                    </a:xfrm>
                    <a:prstGeom prst="rect">
                      <a:avLst/>
                    </a:prstGeom>
                    <a:noFill/>
                  </pic:spPr>
                </pic:pic>
              </a:graphicData>
            </a:graphic>
          </wp:inline>
        </w:drawing>
      </w:r>
    </w:p>
    <w:p w14:paraId="504B435E" w14:textId="3FEFB988" w:rsidR="00AC2606" w:rsidRPr="00A63D63" w:rsidRDefault="00AC2606" w:rsidP="005D2F87">
      <w:pPr>
        <w:pStyle w:val="Source"/>
      </w:pPr>
      <w:r w:rsidRPr="00A63D63">
        <w:t xml:space="preserve">Source: </w:t>
      </w:r>
      <w:r w:rsidR="00C44161" w:rsidRPr="00A12C6B">
        <w:rPr>
          <w:rFonts w:cs="Arial"/>
        </w:rPr>
        <w:t>Jobs and Skills Australia,</w:t>
      </w:r>
      <w:r w:rsidR="00B528D0">
        <w:rPr>
          <w:rFonts w:cs="Arial"/>
        </w:rPr>
        <w:t xml:space="preserve"> </w:t>
      </w:r>
      <w:r w:rsidR="00C44161" w:rsidRPr="00A12C6B">
        <w:rPr>
          <w:rFonts w:cs="Arial"/>
        </w:rPr>
        <w:t>VET National Data Asset (VNDA), May 2024</w:t>
      </w:r>
      <w:r w:rsidR="00C44161">
        <w:rPr>
          <w:rFonts w:cs="Arial"/>
        </w:rPr>
        <w:t xml:space="preserve">. </w:t>
      </w:r>
      <w:r w:rsidR="00C44161" w:rsidRPr="000E6DEF">
        <w:rPr>
          <w:rFonts w:cs="Arial"/>
        </w:rPr>
        <w:t>2002-2022 VET National Data Asset, ABS DataLab. Findings based on use of PLIDA data</w:t>
      </w:r>
      <w:r w:rsidR="00B21927">
        <w:rPr>
          <w:rFonts w:cs="Arial"/>
        </w:rPr>
        <w:t>.</w:t>
      </w:r>
    </w:p>
    <w:p w14:paraId="72644124" w14:textId="037CC115" w:rsidR="00AC2606" w:rsidRPr="00AC0957" w:rsidRDefault="005D4FC8" w:rsidP="00AC2606">
      <w:pPr>
        <w:rPr>
          <w:rFonts w:cs="Arial"/>
        </w:rPr>
      </w:pPr>
      <w:r w:rsidRPr="005D4FC8">
        <w:rPr>
          <w:rFonts w:cs="Arial"/>
        </w:rPr>
        <w:t>A similar benefit is observed when the data is considered at the occupation rather than the course or field of study level. For all occupations as a group, young new entrants</w:t>
      </w:r>
      <w:r w:rsidR="00D50E62">
        <w:rPr>
          <w:rStyle w:val="FootnoteReference"/>
          <w:rFonts w:cs="Arial"/>
        </w:rPr>
        <w:footnoteReference w:id="34"/>
      </w:r>
      <w:r w:rsidRPr="005D4FC8">
        <w:rPr>
          <w:rFonts w:cs="Arial"/>
        </w:rPr>
        <w:t xml:space="preserve"> into an occupation in scope (occupations that are from skill levels 2 to 5 and have between 10% and 75% apprenticeship pathway) via an apprenticeship pathway have a higher median starting income compared to non-apprentices ($36,700 compared to $24,600). They also have a higher median income 2 years later ($47,800 compared to $40,700) (</w:t>
      </w:r>
      <w:r>
        <w:rPr>
          <w:rFonts w:cs="Arial"/>
        </w:rPr>
        <w:fldChar w:fldCharType="begin"/>
      </w:r>
      <w:r>
        <w:rPr>
          <w:rFonts w:cs="Arial"/>
        </w:rPr>
        <w:instrText xml:space="preserve"> REF _Ref179898600 \h </w:instrText>
      </w:r>
      <w:r>
        <w:rPr>
          <w:rFonts w:cs="Arial"/>
        </w:rPr>
      </w:r>
      <w:r>
        <w:rPr>
          <w:rFonts w:cs="Arial"/>
        </w:rPr>
        <w:fldChar w:fldCharType="separate"/>
      </w:r>
      <w:r w:rsidR="00C47A81">
        <w:t xml:space="preserve">Figure </w:t>
      </w:r>
      <w:r w:rsidR="00C47A81">
        <w:rPr>
          <w:noProof/>
        </w:rPr>
        <w:t>67</w:t>
      </w:r>
      <w:r>
        <w:rPr>
          <w:rFonts w:cs="Arial"/>
        </w:rPr>
        <w:fldChar w:fldCharType="end"/>
      </w:r>
      <w:r w:rsidRPr="005D4FC8">
        <w:rPr>
          <w:rFonts w:cs="Arial"/>
        </w:rPr>
        <w:t>). When considered by ANZSCO major occupation group, this is the case for all groups except Professionals, which have the least occupations in scope. The income differences two years on are particularly large for apprentices who are Labourers ($43,900 compared with $33,700) and Sales Workers ($45,900 compared with $33,600). The most common Labourers occupation for people who completed an apprenticeship or traineeship was ‘Other Miscellaneous Labourers’ which includes Bicycle Mechanics and Electrical or Telecommunications Trades Assistants. A range of relevant courses can be completed as apprenticeships and traineeships, such as Certificate II in Bicycle Mechanical Technology or Certificate II in Telecommunications Technology</w:t>
      </w:r>
      <w:r w:rsidR="0064368E">
        <w:t>.</w:t>
      </w:r>
    </w:p>
    <w:p w14:paraId="6FD3F3A4" w14:textId="62F45255" w:rsidR="00E5139D" w:rsidRDefault="00E5139D" w:rsidP="00E5139D">
      <w:pPr>
        <w:pStyle w:val="Caption"/>
      </w:pPr>
      <w:bookmarkStart w:id="299" w:name="_Ref179898600"/>
      <w:bookmarkStart w:id="300" w:name="_Toc181370369"/>
      <w:r>
        <w:t xml:space="preserve">Figure </w:t>
      </w:r>
      <w:r>
        <w:fldChar w:fldCharType="begin"/>
      </w:r>
      <w:r>
        <w:instrText xml:space="preserve"> SEQ Figure \* ARABIC </w:instrText>
      </w:r>
      <w:r>
        <w:fldChar w:fldCharType="separate"/>
      </w:r>
      <w:r w:rsidR="00C47A81">
        <w:rPr>
          <w:noProof/>
        </w:rPr>
        <w:t>67</w:t>
      </w:r>
      <w:r>
        <w:fldChar w:fldCharType="end"/>
      </w:r>
      <w:bookmarkEnd w:id="299"/>
      <w:r>
        <w:t xml:space="preserve">: </w:t>
      </w:r>
      <w:r w:rsidR="0015590A">
        <w:t>Median income in the base year and two years after commencing an occupation, for those with an apprenticeship pathway and non-apprenticeship pathway, by ANZSCO Major Group</w:t>
      </w:r>
      <w:bookmarkEnd w:id="300"/>
    </w:p>
    <w:p w14:paraId="7D47CF0B" w14:textId="2DC5531F" w:rsidR="00AC2606" w:rsidRPr="00AC0957" w:rsidRDefault="002E43E6" w:rsidP="00AC2606">
      <w:pPr>
        <w:jc w:val="center"/>
        <w:rPr>
          <w:rFonts w:cs="Arial"/>
        </w:rPr>
      </w:pPr>
      <w:r>
        <w:rPr>
          <w:rFonts w:cs="Arial"/>
          <w:noProof/>
        </w:rPr>
        <w:drawing>
          <wp:inline distT="0" distB="0" distL="0" distR="0" wp14:anchorId="3086E4CA" wp14:editId="7B18AFFA">
            <wp:extent cx="5906988" cy="3541729"/>
            <wp:effectExtent l="0" t="0" r="0" b="0"/>
            <wp:docPr id="754802961" name="Picture 86" descr="The figure shows a dumbbell chart comparing the base year and year 2 income by ANZSCO Major Groups for apprentices and non apprentices. Overall, apprentices have a higher starting income ($36,700 vs $24,600) as well as a higher income 2 years later ($47,600 vs $40,600). This is the case for all ANZSCO groups except Profession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802961" name="Picture 86" descr="The figure shows a dumbbell chart comparing the base year and year 2 income by ANZSCO Major Groups for apprentices and non apprentices. Overall, apprentices have a higher starting income ($36,700 vs $24,600) as well as a higher income 2 years later ($47,600 vs $40,600). This is the case for all ANZSCO groups except Professionals."/>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a:stretch/>
                  </pic:blipFill>
                  <pic:spPr bwMode="auto">
                    <a:xfrm>
                      <a:off x="0" y="0"/>
                      <a:ext cx="5908988" cy="3542928"/>
                    </a:xfrm>
                    <a:prstGeom prst="rect">
                      <a:avLst/>
                    </a:prstGeom>
                    <a:noFill/>
                    <a:ln>
                      <a:noFill/>
                    </a:ln>
                    <a:extLst>
                      <a:ext uri="{53640926-AAD7-44D8-BBD7-CCE9431645EC}">
                        <a14:shadowObscured xmlns:a14="http://schemas.microsoft.com/office/drawing/2010/main"/>
                      </a:ext>
                    </a:extLst>
                  </pic:spPr>
                </pic:pic>
              </a:graphicData>
            </a:graphic>
          </wp:inline>
        </w:drawing>
      </w:r>
    </w:p>
    <w:p w14:paraId="729E50BF" w14:textId="218ED047" w:rsidR="00121C9D" w:rsidRDefault="00121C9D" w:rsidP="00AC2606">
      <w:pPr>
        <w:pStyle w:val="Heading5"/>
        <w:rPr>
          <w:rFonts w:cstheme="minorBidi"/>
          <w:color w:val="auto"/>
          <w:sz w:val="18"/>
          <w:szCs w:val="18"/>
        </w:rPr>
      </w:pPr>
      <w:r w:rsidRPr="00121C9D">
        <w:rPr>
          <w:rFonts w:cstheme="minorBidi"/>
          <w:color w:val="auto"/>
          <w:sz w:val="18"/>
          <w:szCs w:val="18"/>
        </w:rPr>
        <w:t xml:space="preserve">Source: Jobs and Skills Australia’s Analysis, Skills Tracker, May 2024. ABS (2024) [Datalab], Income Tax Returns 2011-2019, Australian Apprenticeship Incentive Program 2006-2019; </w:t>
      </w:r>
      <w:r>
        <w:rPr>
          <w:rFonts w:cstheme="minorBidi"/>
          <w:color w:val="auto"/>
          <w:sz w:val="18"/>
          <w:szCs w:val="18"/>
        </w:rPr>
        <w:t>Jobs and Skills Australia’s</w:t>
      </w:r>
      <w:r w:rsidRPr="00121C9D">
        <w:rPr>
          <w:rFonts w:cstheme="minorBidi"/>
          <w:color w:val="auto"/>
          <w:sz w:val="18"/>
          <w:szCs w:val="18"/>
        </w:rPr>
        <w:t xml:space="preserve"> Analysis</w:t>
      </w:r>
      <w:r w:rsidR="00B21927">
        <w:rPr>
          <w:rFonts w:cstheme="minorBidi"/>
          <w:color w:val="auto"/>
          <w:sz w:val="18"/>
          <w:szCs w:val="18"/>
        </w:rPr>
        <w:t>.</w:t>
      </w:r>
    </w:p>
    <w:p w14:paraId="6DE06F9D" w14:textId="53A16B4D" w:rsidR="00AC2606" w:rsidRPr="00AC0957" w:rsidRDefault="00AC2606" w:rsidP="00AC2606">
      <w:pPr>
        <w:pStyle w:val="Heading5"/>
      </w:pPr>
      <w:r w:rsidRPr="00AC0957">
        <w:t>Employment outcomes</w:t>
      </w:r>
    </w:p>
    <w:p w14:paraId="3093D5D3" w14:textId="77777777" w:rsidR="00EC1140" w:rsidRPr="00EC1140" w:rsidRDefault="00EC1140" w:rsidP="00EC1140">
      <w:pPr>
        <w:rPr>
          <w:rFonts w:cs="Arial"/>
        </w:rPr>
      </w:pPr>
      <w:r w:rsidRPr="00EC1140">
        <w:rPr>
          <w:rFonts w:cs="Arial"/>
        </w:rPr>
        <w:t xml:space="preserve">In addition to improved monetary outcomes, apprentices are also more likely to have both a higher employment rate and occupation relevancy rate than non-apprentices. </w:t>
      </w:r>
    </w:p>
    <w:p w14:paraId="327ECDA7" w14:textId="18A3C4D2" w:rsidR="00EC1140" w:rsidRPr="00EC1140" w:rsidRDefault="00EC1140" w:rsidP="00EC1140">
      <w:pPr>
        <w:rPr>
          <w:rFonts w:cs="Arial"/>
        </w:rPr>
      </w:pPr>
      <w:r w:rsidRPr="00EC1140">
        <w:rPr>
          <w:rFonts w:cs="Arial"/>
        </w:rPr>
        <w:t>For occupation relevancy, this was true across all top 5 fields of education, and across fields of education overall. It was also true for all skill levels and all major occupation groups, but particularly observed for skill level 3 jobs and for Technicians and Trade Workers.</w:t>
      </w:r>
      <w:r w:rsidR="008C52B1">
        <w:rPr>
          <w:rFonts w:cs="Arial"/>
        </w:rPr>
        <w:t xml:space="preserve"> </w:t>
      </w:r>
    </w:p>
    <w:p w14:paraId="45A45CE1" w14:textId="77777777" w:rsidR="00EC1140" w:rsidRPr="00EC1140" w:rsidRDefault="00EC1140" w:rsidP="00EC1140">
      <w:pPr>
        <w:rPr>
          <w:rFonts w:cs="Arial"/>
        </w:rPr>
      </w:pPr>
      <w:r w:rsidRPr="00EC1140">
        <w:rPr>
          <w:rFonts w:cs="Arial"/>
        </w:rPr>
        <w:t xml:space="preserve">For employment rates, this was true after a year for all major occupation groups, but particularly for Labourers (94% as compared to 88%) and Professionals (99% as compared to 94%). It was also true across all skill levels, but the biggest difference was observed for Skill Level 5 occupations (94% compared to 89%). </w:t>
      </w:r>
    </w:p>
    <w:p w14:paraId="49765FD3" w14:textId="39509611" w:rsidR="00AC2606" w:rsidRPr="00AC0957" w:rsidRDefault="00EC1140" w:rsidP="00EC1140">
      <w:pPr>
        <w:rPr>
          <w:rFonts w:cs="Arial"/>
        </w:rPr>
      </w:pPr>
      <w:r w:rsidRPr="00EC1140">
        <w:rPr>
          <w:rFonts w:cs="Arial"/>
        </w:rPr>
        <w:t xml:space="preserve">When this is analysed at the occupation level over a longer period of time (3 years), apprentices were still better off overall. For apprentices, 117 occupations have a higher employment rate after 3 years and higher rate of working in similar occupations after 3 years than their respective median rates </w:t>
      </w:r>
      <w:r w:rsidR="00AC2606" w:rsidRPr="00AC0957">
        <w:rPr>
          <w:rFonts w:cs="Arial"/>
        </w:rPr>
        <w:t>(</w:t>
      </w:r>
      <w:r w:rsidR="000B055E">
        <w:rPr>
          <w:rFonts w:cs="Arial"/>
        </w:rPr>
        <w:fldChar w:fldCharType="begin"/>
      </w:r>
      <w:r w:rsidR="000B055E">
        <w:rPr>
          <w:rFonts w:cs="Arial"/>
        </w:rPr>
        <w:instrText xml:space="preserve"> REF _Ref179898582 \h </w:instrText>
      </w:r>
      <w:r w:rsidR="000B055E">
        <w:rPr>
          <w:rFonts w:cs="Arial"/>
        </w:rPr>
      </w:r>
      <w:r w:rsidR="000B055E">
        <w:rPr>
          <w:rFonts w:cs="Arial"/>
        </w:rPr>
        <w:fldChar w:fldCharType="separate"/>
      </w:r>
      <w:r w:rsidR="00C47A81">
        <w:t xml:space="preserve">Figure </w:t>
      </w:r>
      <w:r w:rsidR="00C47A81">
        <w:rPr>
          <w:noProof/>
        </w:rPr>
        <w:t>68</w:t>
      </w:r>
      <w:r w:rsidR="000B055E">
        <w:rPr>
          <w:rFonts w:cs="Arial"/>
        </w:rPr>
        <w:fldChar w:fldCharType="end"/>
      </w:r>
      <w:r>
        <w:rPr>
          <w:rFonts w:cs="Arial"/>
        </w:rPr>
        <w:t xml:space="preserve"> </w:t>
      </w:r>
      <w:r w:rsidR="00AC2606" w:rsidRPr="00AC0957">
        <w:rPr>
          <w:rFonts w:cs="Arial"/>
        </w:rPr>
        <w:t>top right quadrant). This is compared to 44 occupations for non-apprentices.</w:t>
      </w:r>
    </w:p>
    <w:p w14:paraId="23A63782" w14:textId="75499FF3" w:rsidR="00735420" w:rsidRDefault="00735420" w:rsidP="00735420">
      <w:pPr>
        <w:pStyle w:val="Caption"/>
      </w:pPr>
      <w:bookmarkStart w:id="301" w:name="_Ref179898582"/>
      <w:bookmarkStart w:id="302" w:name="_Toc181370370"/>
      <w:r>
        <w:t xml:space="preserve">Figure </w:t>
      </w:r>
      <w:r>
        <w:fldChar w:fldCharType="begin"/>
      </w:r>
      <w:r>
        <w:instrText xml:space="preserve"> SEQ Figure \* ARABIC </w:instrText>
      </w:r>
      <w:r>
        <w:fldChar w:fldCharType="separate"/>
      </w:r>
      <w:r w:rsidR="00C47A81">
        <w:rPr>
          <w:noProof/>
        </w:rPr>
        <w:t>68</w:t>
      </w:r>
      <w:r>
        <w:fldChar w:fldCharType="end"/>
      </w:r>
      <w:bookmarkEnd w:id="301"/>
      <w:r>
        <w:t xml:space="preserve">: </w:t>
      </w:r>
      <w:r w:rsidR="00B44122" w:rsidRPr="00B44122">
        <w:t>Proportion of occupation entrants who are employed three years after entering an occupation, and in a similar occupation after 3 years, by occupation (unit group) and apprentice pathway</w:t>
      </w:r>
      <w:bookmarkEnd w:id="302"/>
    </w:p>
    <w:p w14:paraId="0A24A02D" w14:textId="263CF472" w:rsidR="00AC2606" w:rsidRPr="00AC0957" w:rsidRDefault="001041D7" w:rsidP="00AC2606">
      <w:pPr>
        <w:jc w:val="center"/>
        <w:rPr>
          <w:rFonts w:cs="Arial"/>
        </w:rPr>
      </w:pPr>
      <w:r>
        <w:rPr>
          <w:rFonts w:cs="Arial"/>
          <w:noProof/>
        </w:rPr>
        <w:drawing>
          <wp:inline distT="0" distB="0" distL="0" distR="0" wp14:anchorId="4B2E228F" wp14:editId="50B29044">
            <wp:extent cx="5043502" cy="3751278"/>
            <wp:effectExtent l="0" t="0" r="5080" b="1905"/>
            <wp:docPr id="1449914553" name="Picture 87" descr="A scatterplot showing '% in similar occupations after 3 years' in the y-axis and '% employed after 3 years' in the x axis. Dots are coloured in purple for apprentice occupations and black for non-apprentices. A horizontal axis line in red shows the medians of each axis. The chart shows a higher number of purple (apprentice occupations) in the upper right quadrant indicating a higher rate of above median employment rate and similar occupations after 3 years for apprentices pathways, whilst the black dots (non-apprentices) are more heavily featured in the bottom left quadrant indicating a higher density below the median employment and similar-occupations after 3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914553" name="Picture 87" descr="A scatterplot showing '% in similar occupations after 3 years' in the y-axis and '% employed after 3 years' in the x axis. Dots are coloured in purple for apprentice occupations and black for non-apprentices. A horizontal axis line in red shows the medians of each axis. The chart shows a higher number of purple (apprentice occupations) in the upper right quadrant indicating a higher rate of above median employment rate and similar occupations after 3 years for apprentices pathways, whilst the black dots (non-apprentices) are more heavily featured in the bottom left quadrant indicating a higher density below the median employment and similar-occupations after 3 years."/>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055160" cy="3759949"/>
                    </a:xfrm>
                    <a:prstGeom prst="rect">
                      <a:avLst/>
                    </a:prstGeom>
                    <a:noFill/>
                  </pic:spPr>
                </pic:pic>
              </a:graphicData>
            </a:graphic>
          </wp:inline>
        </w:drawing>
      </w:r>
    </w:p>
    <w:p w14:paraId="3A21A5D4" w14:textId="573F7170" w:rsidR="00AC2606" w:rsidRPr="00735420" w:rsidRDefault="00AC2606" w:rsidP="005D2F87">
      <w:pPr>
        <w:pStyle w:val="Source"/>
      </w:pPr>
      <w:r w:rsidRPr="00735420">
        <w:t>Source: Source: ABS (2024) [Datalab], Income Tax Returns 2011-2019, Australian Apprenticeship Incentive Program 2006-2019; JSA Australian Skills Classification Occupation Similarity, J</w:t>
      </w:r>
      <w:r w:rsidR="00B44122">
        <w:t>obs and Skills Australia’s</w:t>
      </w:r>
      <w:r w:rsidRPr="00735420">
        <w:t xml:space="preserve"> Analysis</w:t>
      </w:r>
      <w:r w:rsidR="00B21927">
        <w:t>.</w:t>
      </w:r>
    </w:p>
    <w:p w14:paraId="31B6435A" w14:textId="4D9036A2" w:rsidR="00AC2606" w:rsidRPr="00AC0957" w:rsidRDefault="00084EFE" w:rsidP="00AC2606">
      <w:pPr>
        <w:rPr>
          <w:rFonts w:cs="Arial"/>
        </w:rPr>
      </w:pPr>
      <w:r w:rsidRPr="00084EFE">
        <w:rPr>
          <w:rFonts w:cs="Arial"/>
        </w:rPr>
        <w:t>Further modelling and analysis are needed to confirm the relationship between apprenticeship pathways and employment outcomes, as well as to assess the impact of other contributing factors. Early evidence is promising, however, as to the benefits of work-integrated learning for individual outcomes</w:t>
      </w:r>
      <w:r w:rsidR="00AC2606" w:rsidRPr="00AC0957">
        <w:rPr>
          <w:rFonts w:cs="Arial"/>
        </w:rPr>
        <w:t xml:space="preserve">. </w:t>
      </w:r>
    </w:p>
    <w:p w14:paraId="384292DC" w14:textId="77777777" w:rsidR="00AC2606" w:rsidRPr="00AC0957" w:rsidRDefault="00AC2606" w:rsidP="00AC2606">
      <w:pPr>
        <w:pStyle w:val="Heading2"/>
        <w:rPr>
          <w:rFonts w:cs="Arial"/>
        </w:rPr>
      </w:pPr>
      <w:bookmarkStart w:id="303" w:name="_Toc179887419"/>
      <w:bookmarkStart w:id="304" w:name="_Toc181371616"/>
      <w:r w:rsidRPr="00AC0957">
        <w:rPr>
          <w:rFonts w:cs="Arial"/>
        </w:rPr>
        <w:t>VET workforce development</w:t>
      </w:r>
      <w:bookmarkEnd w:id="303"/>
      <w:bookmarkEnd w:id="304"/>
    </w:p>
    <w:p w14:paraId="1F0EEFEE" w14:textId="5A6E7115" w:rsidR="009043D9" w:rsidRPr="009043D9" w:rsidRDefault="009043D9" w:rsidP="009043D9">
      <w:pPr>
        <w:rPr>
          <w:rFonts w:cs="Arial"/>
        </w:rPr>
      </w:pPr>
      <w:bookmarkStart w:id="305" w:name="_Hlk178943647"/>
      <w:r w:rsidRPr="009043D9">
        <w:rPr>
          <w:rFonts w:cs="Arial"/>
        </w:rPr>
        <w:t>With projections showing more than 90% growth in post-secondary qualifications, and VET playing a major part in these qualifications, a strong VET sector is critical to Australia’s future labour market.</w:t>
      </w:r>
      <w:r w:rsidR="008C52B1">
        <w:rPr>
          <w:rFonts w:cs="Arial"/>
        </w:rPr>
        <w:t xml:space="preserve"> </w:t>
      </w:r>
      <w:r w:rsidRPr="009043D9">
        <w:rPr>
          <w:rFonts w:cs="Arial"/>
        </w:rPr>
        <w:t xml:space="preserve">VET teachers and trainers are at the centre of a successfully functioning VET system, and JSA undertook a VET workforce study to inform the VET Workforce Blueprint as part of the National Skills Agreement. </w:t>
      </w:r>
    </w:p>
    <w:p w14:paraId="6D08E07B" w14:textId="0596968C" w:rsidR="00AC2606" w:rsidRPr="00AC0957" w:rsidRDefault="009043D9" w:rsidP="009043D9">
      <w:pPr>
        <w:rPr>
          <w:rFonts w:cs="Arial"/>
        </w:rPr>
      </w:pPr>
      <w:r w:rsidRPr="009043D9">
        <w:rPr>
          <w:rFonts w:cs="Arial"/>
        </w:rPr>
        <w:t>The study profiled this important workforce and identified recommendations on how to support, sustain and build the VET teachers and trainers of the future. In particular, it recommended better workforce data collection to help manage future risk to Australia’s economy and society by ensuring a sustainable and high-quality supply of teachers and trainers, particularly in industry sectors experiencing skills shortages and high employment demand. The study developed a new VET workforce taxonomy, profiled the increasingly dynamic jobs in the sector and identified demand and supply issues to aid future workforce planning</w:t>
      </w:r>
      <w:r w:rsidR="4D8CBCD1" w:rsidRPr="20D368EF">
        <w:rPr>
          <w:rFonts w:cs="Arial"/>
        </w:rPr>
        <w:t>.</w:t>
      </w:r>
      <w:r w:rsidR="008C52B1">
        <w:rPr>
          <w:rFonts w:cs="Arial"/>
        </w:rPr>
        <w:t xml:space="preserve"> </w:t>
      </w:r>
    </w:p>
    <w:p w14:paraId="0F9C107F" w14:textId="77777777" w:rsidR="003F38FA" w:rsidRDefault="003F38FA" w:rsidP="000B28CE">
      <w:bookmarkStart w:id="306" w:name="_Toc179887420"/>
      <w:bookmarkEnd w:id="305"/>
    </w:p>
    <w:p w14:paraId="0898B15E" w14:textId="2EA51ED1" w:rsidR="00AC2606" w:rsidRPr="00AC0957" w:rsidRDefault="00AC2606" w:rsidP="00AC2606">
      <w:pPr>
        <w:pStyle w:val="Heading3"/>
        <w:rPr>
          <w:rFonts w:cs="Arial"/>
        </w:rPr>
      </w:pPr>
      <w:bookmarkStart w:id="307" w:name="_Toc181371617"/>
      <w:r w:rsidRPr="00AC0957">
        <w:rPr>
          <w:rFonts w:cs="Arial"/>
        </w:rPr>
        <w:t>Challenges in the sector</w:t>
      </w:r>
      <w:bookmarkEnd w:id="306"/>
      <w:bookmarkEnd w:id="307"/>
    </w:p>
    <w:p w14:paraId="39650FF3" w14:textId="77777777" w:rsidR="00483173" w:rsidRPr="00483173" w:rsidRDefault="00483173" w:rsidP="00483173">
      <w:pPr>
        <w:rPr>
          <w:rFonts w:cs="Arial"/>
        </w:rPr>
      </w:pPr>
      <w:r w:rsidRPr="00483173">
        <w:rPr>
          <w:rFonts w:cs="Arial"/>
        </w:rPr>
        <w:t xml:space="preserve">VET delivers the skills needed for occupations in shortage, and there is strong alignment between high enrolment qualifications and occupations rated in skills shortages. Addressing the shortage of VET teachers and trainers themselves is a critical step in addressing occupational shortages. </w:t>
      </w:r>
    </w:p>
    <w:p w14:paraId="7521B517" w14:textId="77777777" w:rsidR="00483173" w:rsidRPr="00483173" w:rsidRDefault="00483173" w:rsidP="00483173">
      <w:pPr>
        <w:rPr>
          <w:rFonts w:cs="Arial"/>
        </w:rPr>
      </w:pPr>
      <w:r w:rsidRPr="00483173">
        <w:rPr>
          <w:rFonts w:cs="Arial"/>
        </w:rPr>
        <w:t xml:space="preserve">While there is high and growing demand for VET teachers, VET teacher numbers have shrunk by between 11 and 18% over the last decade. </w:t>
      </w:r>
    </w:p>
    <w:p w14:paraId="292D2F10" w14:textId="77777777" w:rsidR="00483173" w:rsidRPr="00483173" w:rsidRDefault="00483173" w:rsidP="00483173">
      <w:pPr>
        <w:rPr>
          <w:rFonts w:cs="Arial"/>
        </w:rPr>
      </w:pPr>
      <w:r w:rsidRPr="00483173">
        <w:rPr>
          <w:rFonts w:cs="Arial"/>
        </w:rPr>
        <w:t xml:space="preserve">The VET teaching profession also lost more people to other occupations than it gained in the 8 years leading up to 2018/19 and those that leave get higher pay increases than those that enter. There are few common career movements in and out of VET teaching, but where there are it is generally to and from other education occupations, rather than from vocational occupations.   </w:t>
      </w:r>
    </w:p>
    <w:p w14:paraId="45734E75" w14:textId="614A12D4" w:rsidR="00483173" w:rsidRPr="00483173" w:rsidRDefault="00483173" w:rsidP="00483173">
      <w:pPr>
        <w:rPr>
          <w:rFonts w:cs="Arial"/>
        </w:rPr>
      </w:pPr>
      <w:r w:rsidRPr="00483173">
        <w:rPr>
          <w:rFonts w:cs="Arial"/>
        </w:rPr>
        <w:t>Some training providers are finding it difficult to attract suitable applicants to fill teacher vacancies, with a lower vacancy fill rate than in universities, secondary and primary schools. Considering skills supply challenges, the training pipeline is shrinking and not particularly targeted at new entrants to the occupations – that is, completions are lower and more likely to be undertaken by existing workers. Completions in the key mandatory teaching credential – the Certificate IV in Training and Assessment – have fallen by almost 25% since 2016. However, this isn’t impacting supply as drastically as expected as only a small proportion of graduates are using the Certificate IV in Training and Assessment to move into VET teaching roles, and overall, almost 70% of graduates are doing the qualification for their existing job. It is also notable that due to qualification upgrades in 2016 and 2022 large numbers of VET teachers and trainers undertook the qualification to maintain currency – explaining some of the shortfall. Migration pathways are also infrequently used for VET teachers, however there are some visa options available that potentially could offer a source of supply for VET teachers.</w:t>
      </w:r>
      <w:r w:rsidR="008C52B1">
        <w:rPr>
          <w:rFonts w:cs="Arial"/>
        </w:rPr>
        <w:t xml:space="preserve"> </w:t>
      </w:r>
    </w:p>
    <w:p w14:paraId="654CEF42" w14:textId="7395A994" w:rsidR="00AC2606" w:rsidRPr="00AC0957" w:rsidRDefault="00483173" w:rsidP="00483173">
      <w:pPr>
        <w:rPr>
          <w:rFonts w:cs="Arial"/>
        </w:rPr>
      </w:pPr>
      <w:r w:rsidRPr="00483173">
        <w:rPr>
          <w:rFonts w:cs="Arial"/>
        </w:rPr>
        <w:t>VET has a 16% gender pay gap. The VET workforce is slightly higher paid than the Australian workforce, but not when compared to their teaching counterparts in other education sectors or industry vocations prominent in VET. Although VET is less award dependent, it is more casualised than the Australian workforce</w:t>
      </w:r>
      <w:r w:rsidR="00AC2606" w:rsidRPr="00AC0957">
        <w:rPr>
          <w:rFonts w:cs="Arial"/>
        </w:rPr>
        <w:t>.</w:t>
      </w:r>
    </w:p>
    <w:p w14:paraId="53839C5B" w14:textId="77777777" w:rsidR="00AC2606" w:rsidRPr="00AC0957" w:rsidRDefault="00AC2606" w:rsidP="00531B20">
      <w:pPr>
        <w:pStyle w:val="Heading3"/>
        <w:rPr>
          <w:rFonts w:cs="Arial"/>
        </w:rPr>
      </w:pPr>
      <w:bookmarkStart w:id="308" w:name="_Toc179887421"/>
      <w:bookmarkStart w:id="309" w:name="_Toc181371618"/>
      <w:r w:rsidRPr="00AC0957">
        <w:rPr>
          <w:rFonts w:cs="Arial"/>
        </w:rPr>
        <w:t>Understanding the workforce</w:t>
      </w:r>
      <w:bookmarkEnd w:id="308"/>
      <w:bookmarkEnd w:id="309"/>
    </w:p>
    <w:p w14:paraId="7B121FAE" w14:textId="245C6491" w:rsidR="00AC2606" w:rsidRPr="00AC0957" w:rsidRDefault="00475BF3" w:rsidP="00AC2606">
      <w:pPr>
        <w:rPr>
          <w:rFonts w:cs="Arial"/>
        </w:rPr>
      </w:pPr>
      <w:r w:rsidRPr="00475BF3">
        <w:rPr>
          <w:rFonts w:cs="Arial"/>
        </w:rPr>
        <w:t xml:space="preserve">Using census data and industry supplied position descriptions and expert advice from sector leaders, the study developed a VET workforce taxonomy to analyse workforce data in a new way and provide a framework for governments, RTOs, and individuals to consider emerging roles, pathways and issues in the VET workforce. The taxonomy categorises the workforce into 6 segments </w:t>
      </w:r>
      <w:r w:rsidR="00AC2606" w:rsidRPr="00AC0957">
        <w:rPr>
          <w:rFonts w:cs="Arial"/>
        </w:rPr>
        <w:t>(</w:t>
      </w:r>
      <w:r w:rsidR="000B055E">
        <w:rPr>
          <w:rFonts w:cs="Arial"/>
        </w:rPr>
        <w:fldChar w:fldCharType="begin"/>
      </w:r>
      <w:r w:rsidR="000B055E">
        <w:rPr>
          <w:rFonts w:cs="Arial"/>
        </w:rPr>
        <w:instrText xml:space="preserve"> REF _Ref179898610 \h </w:instrText>
      </w:r>
      <w:r w:rsidR="000B055E">
        <w:rPr>
          <w:rFonts w:cs="Arial"/>
        </w:rPr>
      </w:r>
      <w:r w:rsidR="000B055E">
        <w:rPr>
          <w:rFonts w:cs="Arial"/>
        </w:rPr>
        <w:fldChar w:fldCharType="separate"/>
      </w:r>
      <w:r w:rsidR="00C47A81">
        <w:t xml:space="preserve">Figure </w:t>
      </w:r>
      <w:r w:rsidR="00C47A81">
        <w:rPr>
          <w:noProof/>
        </w:rPr>
        <w:t>69</w:t>
      </w:r>
      <w:r w:rsidR="000B055E">
        <w:rPr>
          <w:rFonts w:cs="Arial"/>
        </w:rPr>
        <w:fldChar w:fldCharType="end"/>
      </w:r>
      <w:r w:rsidR="00AC2606" w:rsidRPr="00AC0957">
        <w:rPr>
          <w:rFonts w:cs="Arial"/>
        </w:rPr>
        <w:t xml:space="preserve">). </w:t>
      </w:r>
    </w:p>
    <w:p w14:paraId="3AECD8E0" w14:textId="3A4EEBBC" w:rsidR="00735420" w:rsidRDefault="00735420" w:rsidP="00735420">
      <w:pPr>
        <w:pStyle w:val="Caption"/>
      </w:pPr>
      <w:bookmarkStart w:id="310" w:name="_Ref179898610"/>
      <w:bookmarkStart w:id="311" w:name="_Toc181370371"/>
      <w:r>
        <w:t xml:space="preserve">Figure </w:t>
      </w:r>
      <w:r>
        <w:fldChar w:fldCharType="begin"/>
      </w:r>
      <w:r>
        <w:instrText xml:space="preserve"> SEQ Figure \* ARABIC </w:instrText>
      </w:r>
      <w:r>
        <w:fldChar w:fldCharType="separate"/>
      </w:r>
      <w:r w:rsidR="00C47A81">
        <w:rPr>
          <w:noProof/>
        </w:rPr>
        <w:t>69</w:t>
      </w:r>
      <w:r>
        <w:fldChar w:fldCharType="end"/>
      </w:r>
      <w:bookmarkEnd w:id="310"/>
      <w:r>
        <w:t>: JSA VET workforce taxonomy</w:t>
      </w:r>
      <w:bookmarkEnd w:id="311"/>
    </w:p>
    <w:p w14:paraId="650D96FB" w14:textId="77777777" w:rsidR="00AC2606" w:rsidRDefault="00AC2606" w:rsidP="00AC2606">
      <w:pPr>
        <w:jc w:val="center"/>
        <w:rPr>
          <w:rFonts w:cs="Arial"/>
          <w:lang w:val="en-US"/>
        </w:rPr>
      </w:pPr>
      <w:r w:rsidRPr="00AC0957">
        <w:rPr>
          <w:rFonts w:cs="Arial"/>
          <w:noProof/>
          <w:lang w:val="en-US"/>
        </w:rPr>
        <w:drawing>
          <wp:inline distT="0" distB="0" distL="0" distR="0" wp14:anchorId="35692EC4" wp14:editId="1C75A60B">
            <wp:extent cx="5043118" cy="5668341"/>
            <wp:effectExtent l="0" t="0" r="5715" b="8890"/>
            <wp:docPr id="507047163" name="Picture 1" descr="This figure shows the VET Workforce taxonomy. It is divided into 6 segments - Teach, Train, and Assess, Curriculum Development and Learning Design, Learning Support, Quality and Compliance, Administration and Operations, and Leadership. It proposes example job titles against each of the categories. For example, the teach train and assess segment makes up 48.5 per cent of the workforce and includes Assessors, TAFE lecturers, VET teachers, and LLN practitio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047163" name="Picture 1" descr="This figure shows the VET Workforce taxonomy. It is divided into 6 segments - Teach, Train, and Assess, Curriculum Development and Learning Design, Learning Support, Quality and Compliance, Administration and Operations, and Leadership. It proposes example job titles against each of the categories. For example, the teach train and assess segment makes up 48.5 per cent of the workforce and includes Assessors, TAFE lecturers, VET teachers, and LLN practitioner. "/>
                    <pic:cNvPicPr/>
                  </pic:nvPicPr>
                  <pic:blipFill>
                    <a:blip r:embed="rId125"/>
                    <a:stretch>
                      <a:fillRect/>
                    </a:stretch>
                  </pic:blipFill>
                  <pic:spPr>
                    <a:xfrm>
                      <a:off x="0" y="0"/>
                      <a:ext cx="5064367" cy="5692225"/>
                    </a:xfrm>
                    <a:prstGeom prst="rect">
                      <a:avLst/>
                    </a:prstGeom>
                  </pic:spPr>
                </pic:pic>
              </a:graphicData>
            </a:graphic>
          </wp:inline>
        </w:drawing>
      </w:r>
    </w:p>
    <w:p w14:paraId="1F53388F" w14:textId="584A2FDC" w:rsidR="00E634A6" w:rsidRPr="00AC0957" w:rsidRDefault="00E634A6" w:rsidP="00CC2C5B">
      <w:pPr>
        <w:pStyle w:val="ChartorTableNote"/>
      </w:pPr>
      <w:r>
        <w:t xml:space="preserve">Note: </w:t>
      </w:r>
      <w:r w:rsidR="00CC2C5B">
        <w:t>Please see glossary for explanation of terms</w:t>
      </w:r>
      <w:r w:rsidR="00BD1522">
        <w:t>.</w:t>
      </w:r>
    </w:p>
    <w:p w14:paraId="55660F06" w14:textId="7A8F50CA" w:rsidR="00AC2606" w:rsidRPr="00AC0957" w:rsidRDefault="00AC2606" w:rsidP="00FA5C89">
      <w:pPr>
        <w:spacing w:after="160" w:line="259" w:lineRule="auto"/>
        <w:rPr>
          <w:rFonts w:cs="Arial"/>
        </w:rPr>
      </w:pPr>
      <w:r w:rsidRPr="00AC0957">
        <w:rPr>
          <w:rFonts w:cs="Arial"/>
        </w:rPr>
        <w:t xml:space="preserve">Demographically, the most distinguishing characteristics of the VET workforce is that it is older and more feminised, and this is more pronounced for the Teach, Train, and Assess workforce. The VET workforce is also not as diverse as </w:t>
      </w:r>
      <w:r w:rsidR="546955AA" w:rsidRPr="00AC0957">
        <w:rPr>
          <w:rFonts w:cs="Arial"/>
        </w:rPr>
        <w:t xml:space="preserve">the </w:t>
      </w:r>
      <w:r w:rsidRPr="00AC0957">
        <w:rPr>
          <w:rFonts w:cs="Arial"/>
        </w:rPr>
        <w:t>student</w:t>
      </w:r>
      <w:r w:rsidR="53E68438" w:rsidRPr="00AC0957">
        <w:rPr>
          <w:rFonts w:cs="Arial"/>
        </w:rPr>
        <w:t xml:space="preserve"> </w:t>
      </w:r>
      <w:r w:rsidR="53E68438" w:rsidRPr="002907DF">
        <w:rPr>
          <w:rFonts w:cs="Arial"/>
        </w:rPr>
        <w:t>cohort</w:t>
      </w:r>
      <w:r w:rsidRPr="002907DF">
        <w:rPr>
          <w:rFonts w:cs="Arial"/>
        </w:rPr>
        <w:t xml:space="preserve"> they teach</w:t>
      </w:r>
      <w:r w:rsidRPr="00AC0957">
        <w:rPr>
          <w:rFonts w:cs="Arial"/>
        </w:rPr>
        <w:t xml:space="preserve"> </w:t>
      </w:r>
      <w:r w:rsidR="005D2F87">
        <w:rPr>
          <w:rFonts w:cs="Arial"/>
        </w:rPr>
        <w:br/>
      </w:r>
      <w:r w:rsidRPr="00AC0957">
        <w:rPr>
          <w:rFonts w:cs="Arial"/>
        </w:rPr>
        <w:t>(</w:t>
      </w:r>
      <w:r w:rsidR="000654E2">
        <w:rPr>
          <w:rFonts w:cs="Arial"/>
        </w:rPr>
        <w:fldChar w:fldCharType="begin"/>
      </w:r>
      <w:r w:rsidR="000654E2">
        <w:rPr>
          <w:rFonts w:cs="Arial"/>
        </w:rPr>
        <w:instrText xml:space="preserve"> REF _Ref181278039 \h </w:instrText>
      </w:r>
      <w:r w:rsidR="000654E2">
        <w:rPr>
          <w:rFonts w:cs="Arial"/>
        </w:rPr>
      </w:r>
      <w:r w:rsidR="000654E2">
        <w:rPr>
          <w:rFonts w:cs="Arial"/>
        </w:rPr>
        <w:fldChar w:fldCharType="separate"/>
      </w:r>
      <w:r w:rsidR="00C47A81">
        <w:t xml:space="preserve">Table </w:t>
      </w:r>
      <w:r w:rsidR="00C47A81">
        <w:rPr>
          <w:noProof/>
        </w:rPr>
        <w:t>20</w:t>
      </w:r>
      <w:r w:rsidR="000654E2">
        <w:rPr>
          <w:rFonts w:cs="Arial"/>
        </w:rPr>
        <w:fldChar w:fldCharType="end"/>
      </w:r>
      <w:r w:rsidRPr="00AC0957">
        <w:rPr>
          <w:rFonts w:cs="Arial"/>
        </w:rPr>
        <w:t>).</w:t>
      </w:r>
    </w:p>
    <w:p w14:paraId="44ADC5F4" w14:textId="77777777" w:rsidR="003F38FA" w:rsidRDefault="003F38FA">
      <w:pPr>
        <w:spacing w:after="160" w:line="259" w:lineRule="auto"/>
        <w:rPr>
          <w:b/>
          <w:bCs/>
          <w:sz w:val="18"/>
          <w:szCs w:val="18"/>
        </w:rPr>
      </w:pPr>
      <w:bookmarkStart w:id="312" w:name="_Ref179898621"/>
      <w:r>
        <w:br w:type="page"/>
      </w:r>
    </w:p>
    <w:p w14:paraId="7945574E" w14:textId="3FAC3E54" w:rsidR="00582DDE" w:rsidRDefault="00582DDE" w:rsidP="00582DDE">
      <w:pPr>
        <w:pStyle w:val="Caption"/>
      </w:pPr>
      <w:bookmarkStart w:id="313" w:name="_Ref181278039"/>
      <w:r>
        <w:t xml:space="preserve">Table </w:t>
      </w:r>
      <w:r>
        <w:fldChar w:fldCharType="begin"/>
      </w:r>
      <w:r>
        <w:instrText xml:space="preserve"> SEQ Table \* ARABIC </w:instrText>
      </w:r>
      <w:r>
        <w:fldChar w:fldCharType="separate"/>
      </w:r>
      <w:r w:rsidR="00C47A81">
        <w:rPr>
          <w:noProof/>
        </w:rPr>
        <w:t>20</w:t>
      </w:r>
      <w:r>
        <w:fldChar w:fldCharType="end"/>
      </w:r>
      <w:bookmarkEnd w:id="312"/>
      <w:bookmarkEnd w:id="313"/>
      <w:r>
        <w:t xml:space="preserve">: </w:t>
      </w:r>
      <w:r w:rsidRPr="009C7399">
        <w:t xml:space="preserve">Key demographic findings </w:t>
      </w:r>
      <w:r w:rsidR="00A65A7E">
        <w:t>on VET workforce</w:t>
      </w:r>
    </w:p>
    <w:tbl>
      <w:tblPr>
        <w:tblStyle w:val="JSATable1"/>
        <w:tblW w:w="4997" w:type="pct"/>
        <w:jc w:val="right"/>
        <w:tblBorders>
          <w:bottom w:val="none" w:sz="0" w:space="0" w:color="auto"/>
        </w:tblBorders>
        <w:tblLook w:val="04A0" w:firstRow="1" w:lastRow="0" w:firstColumn="1" w:lastColumn="0" w:noHBand="0" w:noVBand="1"/>
        <w:tblCaption w:val="Key demographic findings on VET workforce"/>
        <w:tblDescription w:val="The table shows key demographics of the Australian workforce, the VET workforce and the Teach, Train and Assess workforce. It shows that the VET workforce is older and more feminised, and that this is more pronounced for the teach, train and assess workforce. "/>
      </w:tblPr>
      <w:tblGrid>
        <w:gridCol w:w="2269"/>
        <w:gridCol w:w="2694"/>
        <w:gridCol w:w="1844"/>
        <w:gridCol w:w="2214"/>
      </w:tblGrid>
      <w:tr w:rsidR="003F38FA" w:rsidRPr="003F38FA" w14:paraId="0E220F7B" w14:textId="77777777" w:rsidTr="003F38FA">
        <w:trPr>
          <w:cnfStyle w:val="100000000000" w:firstRow="1" w:lastRow="0" w:firstColumn="0" w:lastColumn="0" w:oddVBand="0" w:evenVBand="0" w:oddHBand="0" w:evenHBand="0" w:firstRowFirstColumn="0" w:firstRowLastColumn="0" w:lastRowFirstColumn="0" w:lastRowLastColumn="0"/>
          <w:cantSplit/>
          <w:jc w:val="right"/>
        </w:trPr>
        <w:tc>
          <w:tcPr>
            <w:tcW w:w="1258" w:type="pct"/>
          </w:tcPr>
          <w:p w14:paraId="2A4964CD" w14:textId="39F4F5F7" w:rsidR="00B75B9B" w:rsidRPr="003F38FA" w:rsidRDefault="00B75B9B" w:rsidP="003F38FA">
            <w:pPr>
              <w:jc w:val="right"/>
              <w:rPr>
                <w:rFonts w:cs="Arial"/>
                <w:sz w:val="20"/>
                <w:szCs w:val="20"/>
              </w:rPr>
            </w:pPr>
          </w:p>
        </w:tc>
        <w:tc>
          <w:tcPr>
            <w:tcW w:w="1493" w:type="pct"/>
          </w:tcPr>
          <w:p w14:paraId="5CACE1F7" w14:textId="000292BE" w:rsidR="00B75B9B" w:rsidRPr="003F38FA" w:rsidRDefault="00B75B9B" w:rsidP="003F38FA">
            <w:pPr>
              <w:jc w:val="right"/>
              <w:rPr>
                <w:rFonts w:cs="Arial"/>
                <w:sz w:val="20"/>
                <w:szCs w:val="20"/>
              </w:rPr>
            </w:pPr>
            <w:r w:rsidRPr="003F38FA">
              <w:rPr>
                <w:sz w:val="20"/>
                <w:szCs w:val="20"/>
              </w:rPr>
              <w:t>Australian workforce</w:t>
            </w:r>
          </w:p>
        </w:tc>
        <w:tc>
          <w:tcPr>
            <w:tcW w:w="1022" w:type="pct"/>
          </w:tcPr>
          <w:p w14:paraId="6F65A43C" w14:textId="7DC42B8E" w:rsidR="00B75B9B" w:rsidRPr="003F38FA" w:rsidRDefault="00B75B9B" w:rsidP="003F38FA">
            <w:pPr>
              <w:jc w:val="right"/>
              <w:rPr>
                <w:rFonts w:cs="Arial"/>
                <w:sz w:val="20"/>
                <w:szCs w:val="20"/>
              </w:rPr>
            </w:pPr>
            <w:r w:rsidRPr="003F38FA">
              <w:rPr>
                <w:sz w:val="20"/>
                <w:szCs w:val="20"/>
              </w:rPr>
              <w:t>VET workforce</w:t>
            </w:r>
          </w:p>
        </w:tc>
        <w:tc>
          <w:tcPr>
            <w:tcW w:w="1227" w:type="pct"/>
          </w:tcPr>
          <w:p w14:paraId="295A7408" w14:textId="69C7F10D" w:rsidR="00B75B9B" w:rsidRPr="003F38FA" w:rsidRDefault="00B75B9B" w:rsidP="003F38FA">
            <w:pPr>
              <w:jc w:val="right"/>
              <w:rPr>
                <w:rFonts w:cs="Arial"/>
                <w:sz w:val="20"/>
                <w:szCs w:val="20"/>
              </w:rPr>
            </w:pPr>
            <w:r w:rsidRPr="003F38FA">
              <w:rPr>
                <w:sz w:val="20"/>
                <w:szCs w:val="20"/>
              </w:rPr>
              <w:t>Teach, Train and Assess</w:t>
            </w:r>
          </w:p>
        </w:tc>
      </w:tr>
      <w:tr w:rsidR="000D4CFD" w:rsidRPr="003F38FA" w14:paraId="1E454F5F" w14:textId="77777777" w:rsidTr="003F38FA">
        <w:trPr>
          <w:cantSplit/>
          <w:jc w:val="right"/>
        </w:trPr>
        <w:tc>
          <w:tcPr>
            <w:tcW w:w="1258" w:type="pct"/>
          </w:tcPr>
          <w:p w14:paraId="4BB89A7B" w14:textId="4273F428" w:rsidR="000D4CFD" w:rsidRPr="003F38FA" w:rsidRDefault="000D4CFD" w:rsidP="003F38FA">
            <w:pPr>
              <w:jc w:val="right"/>
              <w:rPr>
                <w:rFonts w:cs="Arial"/>
                <w:sz w:val="20"/>
                <w:szCs w:val="20"/>
              </w:rPr>
            </w:pPr>
            <w:r w:rsidRPr="003F38FA">
              <w:rPr>
                <w:sz w:val="20"/>
                <w:szCs w:val="20"/>
              </w:rPr>
              <w:t>Female</w:t>
            </w:r>
          </w:p>
        </w:tc>
        <w:tc>
          <w:tcPr>
            <w:tcW w:w="1493" w:type="pct"/>
          </w:tcPr>
          <w:p w14:paraId="040B2E63" w14:textId="756A7241" w:rsidR="000D4CFD" w:rsidRPr="003F38FA" w:rsidRDefault="000D4CFD" w:rsidP="003F38FA">
            <w:pPr>
              <w:jc w:val="right"/>
              <w:rPr>
                <w:rFonts w:cs="Arial"/>
                <w:sz w:val="20"/>
                <w:szCs w:val="20"/>
              </w:rPr>
            </w:pPr>
            <w:r w:rsidRPr="003F38FA">
              <w:rPr>
                <w:sz w:val="20"/>
                <w:szCs w:val="20"/>
              </w:rPr>
              <w:t>48.50%</w:t>
            </w:r>
          </w:p>
        </w:tc>
        <w:tc>
          <w:tcPr>
            <w:tcW w:w="1022" w:type="pct"/>
          </w:tcPr>
          <w:p w14:paraId="3BFF4D4E" w14:textId="0FAE0BA5" w:rsidR="000D4CFD" w:rsidRPr="003F38FA" w:rsidRDefault="000D4CFD" w:rsidP="003F38FA">
            <w:pPr>
              <w:jc w:val="right"/>
              <w:rPr>
                <w:rFonts w:cs="Arial"/>
                <w:sz w:val="20"/>
                <w:szCs w:val="20"/>
              </w:rPr>
            </w:pPr>
            <w:r w:rsidRPr="003F38FA">
              <w:rPr>
                <w:sz w:val="20"/>
                <w:szCs w:val="20"/>
              </w:rPr>
              <w:t>57.20%</w:t>
            </w:r>
          </w:p>
        </w:tc>
        <w:tc>
          <w:tcPr>
            <w:tcW w:w="1227" w:type="pct"/>
          </w:tcPr>
          <w:p w14:paraId="4C456BCC" w14:textId="23017F4D" w:rsidR="000D4CFD" w:rsidRPr="003F38FA" w:rsidRDefault="000D4CFD" w:rsidP="003F38FA">
            <w:pPr>
              <w:jc w:val="right"/>
              <w:rPr>
                <w:rFonts w:cs="Arial"/>
                <w:sz w:val="20"/>
                <w:szCs w:val="20"/>
              </w:rPr>
            </w:pPr>
            <w:r w:rsidRPr="003F38FA">
              <w:rPr>
                <w:sz w:val="20"/>
                <w:szCs w:val="20"/>
              </w:rPr>
              <w:t>51.10%</w:t>
            </w:r>
          </w:p>
        </w:tc>
      </w:tr>
      <w:tr w:rsidR="003F38FA" w:rsidRPr="003F38FA" w14:paraId="1A48379A" w14:textId="77777777" w:rsidTr="003F38FA">
        <w:trPr>
          <w:cnfStyle w:val="000000010000" w:firstRow="0" w:lastRow="0" w:firstColumn="0" w:lastColumn="0" w:oddVBand="0" w:evenVBand="0" w:oddHBand="0" w:evenHBand="1" w:firstRowFirstColumn="0" w:firstRowLastColumn="0" w:lastRowFirstColumn="0" w:lastRowLastColumn="0"/>
          <w:cantSplit/>
          <w:jc w:val="right"/>
        </w:trPr>
        <w:tc>
          <w:tcPr>
            <w:tcW w:w="1258" w:type="pct"/>
          </w:tcPr>
          <w:p w14:paraId="6402B651" w14:textId="0B7D75F5" w:rsidR="000D4CFD" w:rsidRPr="003F38FA" w:rsidRDefault="000D4CFD" w:rsidP="003F38FA">
            <w:pPr>
              <w:jc w:val="right"/>
              <w:rPr>
                <w:rFonts w:cs="Arial"/>
                <w:sz w:val="20"/>
                <w:szCs w:val="20"/>
              </w:rPr>
            </w:pPr>
            <w:r w:rsidRPr="003F38FA">
              <w:rPr>
                <w:sz w:val="20"/>
                <w:szCs w:val="20"/>
              </w:rPr>
              <w:t>Average age</w:t>
            </w:r>
            <w:r w:rsidRPr="003F38FA">
              <w:rPr>
                <w:rFonts w:cs="Arial"/>
                <w:sz w:val="20"/>
                <w:szCs w:val="20"/>
              </w:rPr>
              <w:t>​</w:t>
            </w:r>
          </w:p>
        </w:tc>
        <w:tc>
          <w:tcPr>
            <w:tcW w:w="1493" w:type="pct"/>
          </w:tcPr>
          <w:p w14:paraId="57193437" w14:textId="6722E855" w:rsidR="000D4CFD" w:rsidRPr="003F38FA" w:rsidRDefault="000D4CFD" w:rsidP="003F38FA">
            <w:pPr>
              <w:jc w:val="right"/>
              <w:rPr>
                <w:rFonts w:cs="Arial"/>
                <w:sz w:val="20"/>
                <w:szCs w:val="20"/>
              </w:rPr>
            </w:pPr>
            <w:r w:rsidRPr="003F38FA">
              <w:rPr>
                <w:sz w:val="20"/>
                <w:szCs w:val="20"/>
              </w:rPr>
              <w:t>40.1</w:t>
            </w:r>
          </w:p>
        </w:tc>
        <w:tc>
          <w:tcPr>
            <w:tcW w:w="1022" w:type="pct"/>
          </w:tcPr>
          <w:p w14:paraId="7CF5064E" w14:textId="4137E4CA" w:rsidR="000D4CFD" w:rsidRPr="003F38FA" w:rsidRDefault="000D4CFD" w:rsidP="003F38FA">
            <w:pPr>
              <w:jc w:val="right"/>
              <w:rPr>
                <w:rFonts w:cs="Arial"/>
                <w:sz w:val="20"/>
                <w:szCs w:val="20"/>
              </w:rPr>
            </w:pPr>
            <w:r w:rsidRPr="003F38FA">
              <w:rPr>
                <w:sz w:val="20"/>
                <w:szCs w:val="20"/>
              </w:rPr>
              <w:t>47.3</w:t>
            </w:r>
          </w:p>
        </w:tc>
        <w:tc>
          <w:tcPr>
            <w:tcW w:w="1227" w:type="pct"/>
          </w:tcPr>
          <w:p w14:paraId="5EFFE6DB" w14:textId="1850E00B" w:rsidR="000D4CFD" w:rsidRPr="003F38FA" w:rsidRDefault="000D4CFD" w:rsidP="003F38FA">
            <w:pPr>
              <w:jc w:val="right"/>
              <w:rPr>
                <w:rFonts w:cs="Arial"/>
                <w:sz w:val="20"/>
                <w:szCs w:val="20"/>
              </w:rPr>
            </w:pPr>
            <w:r w:rsidRPr="003F38FA">
              <w:rPr>
                <w:sz w:val="20"/>
                <w:szCs w:val="20"/>
              </w:rPr>
              <w:t>48.1</w:t>
            </w:r>
          </w:p>
        </w:tc>
      </w:tr>
      <w:tr w:rsidR="000D4CFD" w:rsidRPr="003F38FA" w14:paraId="5C1DBAAE" w14:textId="77777777" w:rsidTr="003F38FA">
        <w:trPr>
          <w:cantSplit/>
          <w:jc w:val="right"/>
        </w:trPr>
        <w:tc>
          <w:tcPr>
            <w:tcW w:w="1258" w:type="pct"/>
          </w:tcPr>
          <w:p w14:paraId="5F89D2D4" w14:textId="14263D85" w:rsidR="000D4CFD" w:rsidRPr="003F38FA" w:rsidRDefault="000D4CFD" w:rsidP="003F38FA">
            <w:pPr>
              <w:jc w:val="right"/>
              <w:rPr>
                <w:rFonts w:cs="Arial"/>
                <w:sz w:val="20"/>
                <w:szCs w:val="20"/>
              </w:rPr>
            </w:pPr>
            <w:r w:rsidRPr="003F38FA">
              <w:rPr>
                <w:sz w:val="20"/>
                <w:szCs w:val="20"/>
              </w:rPr>
              <w:t>First Nations</w:t>
            </w:r>
            <w:r w:rsidR="005C3AEA" w:rsidRPr="003F38FA">
              <w:rPr>
                <w:sz w:val="20"/>
                <w:szCs w:val="20"/>
              </w:rPr>
              <w:t xml:space="preserve"> people</w:t>
            </w:r>
          </w:p>
        </w:tc>
        <w:tc>
          <w:tcPr>
            <w:tcW w:w="1493" w:type="pct"/>
          </w:tcPr>
          <w:p w14:paraId="4569FE95" w14:textId="7F11B59D" w:rsidR="000D4CFD" w:rsidRPr="003F38FA" w:rsidRDefault="000D4CFD" w:rsidP="003F38FA">
            <w:pPr>
              <w:jc w:val="right"/>
              <w:rPr>
                <w:rFonts w:cs="Arial"/>
                <w:sz w:val="20"/>
                <w:szCs w:val="20"/>
              </w:rPr>
            </w:pPr>
            <w:r w:rsidRPr="003F38FA">
              <w:rPr>
                <w:sz w:val="20"/>
                <w:szCs w:val="20"/>
              </w:rPr>
              <w:t>2.20%</w:t>
            </w:r>
          </w:p>
        </w:tc>
        <w:tc>
          <w:tcPr>
            <w:tcW w:w="1022" w:type="pct"/>
          </w:tcPr>
          <w:p w14:paraId="0E5885BB" w14:textId="65714FE1" w:rsidR="000D4CFD" w:rsidRPr="003F38FA" w:rsidRDefault="000D4CFD" w:rsidP="003F38FA">
            <w:pPr>
              <w:jc w:val="right"/>
              <w:rPr>
                <w:rFonts w:cs="Arial"/>
                <w:sz w:val="20"/>
                <w:szCs w:val="20"/>
              </w:rPr>
            </w:pPr>
            <w:r w:rsidRPr="003F38FA">
              <w:rPr>
                <w:sz w:val="20"/>
                <w:szCs w:val="20"/>
              </w:rPr>
              <w:t>2.10%</w:t>
            </w:r>
          </w:p>
        </w:tc>
        <w:tc>
          <w:tcPr>
            <w:tcW w:w="1227" w:type="pct"/>
          </w:tcPr>
          <w:p w14:paraId="750F041D" w14:textId="471250B7" w:rsidR="000D4CFD" w:rsidRPr="003F38FA" w:rsidRDefault="000D4CFD" w:rsidP="003F38FA">
            <w:pPr>
              <w:jc w:val="right"/>
              <w:rPr>
                <w:rFonts w:cs="Arial"/>
                <w:sz w:val="20"/>
                <w:szCs w:val="20"/>
              </w:rPr>
            </w:pPr>
            <w:r w:rsidRPr="003F38FA">
              <w:rPr>
                <w:sz w:val="20"/>
                <w:szCs w:val="20"/>
              </w:rPr>
              <w:t>1.80%</w:t>
            </w:r>
          </w:p>
        </w:tc>
      </w:tr>
      <w:tr w:rsidR="003F38FA" w:rsidRPr="003F38FA" w14:paraId="6E4CD20B" w14:textId="77777777" w:rsidTr="003F38FA">
        <w:trPr>
          <w:cnfStyle w:val="000000010000" w:firstRow="0" w:lastRow="0" w:firstColumn="0" w:lastColumn="0" w:oddVBand="0" w:evenVBand="0" w:oddHBand="0" w:evenHBand="1" w:firstRowFirstColumn="0" w:firstRowLastColumn="0" w:lastRowFirstColumn="0" w:lastRowLastColumn="0"/>
          <w:cantSplit/>
          <w:jc w:val="right"/>
        </w:trPr>
        <w:tc>
          <w:tcPr>
            <w:tcW w:w="1258" w:type="pct"/>
          </w:tcPr>
          <w:p w14:paraId="7B8F7FA5" w14:textId="24AF5E7D" w:rsidR="000D4CFD" w:rsidRPr="003F38FA" w:rsidRDefault="000D4CFD" w:rsidP="003F38FA">
            <w:pPr>
              <w:jc w:val="right"/>
              <w:rPr>
                <w:rFonts w:cs="Arial"/>
                <w:sz w:val="20"/>
                <w:szCs w:val="20"/>
              </w:rPr>
            </w:pPr>
            <w:r w:rsidRPr="003F38FA">
              <w:rPr>
                <w:sz w:val="20"/>
                <w:szCs w:val="20"/>
              </w:rPr>
              <w:t>Born overseas </w:t>
            </w:r>
            <w:r w:rsidRPr="003F38FA">
              <w:rPr>
                <w:rFonts w:cs="Arial"/>
                <w:sz w:val="20"/>
                <w:szCs w:val="20"/>
              </w:rPr>
              <w:t>​</w:t>
            </w:r>
          </w:p>
        </w:tc>
        <w:tc>
          <w:tcPr>
            <w:tcW w:w="1493" w:type="pct"/>
          </w:tcPr>
          <w:p w14:paraId="4B20E65C" w14:textId="76C8AB5D" w:rsidR="000D4CFD" w:rsidRPr="003F38FA" w:rsidRDefault="000D4CFD" w:rsidP="003F38FA">
            <w:pPr>
              <w:jc w:val="right"/>
              <w:rPr>
                <w:rFonts w:cs="Arial"/>
                <w:sz w:val="20"/>
                <w:szCs w:val="20"/>
              </w:rPr>
            </w:pPr>
            <w:r w:rsidRPr="003F38FA">
              <w:rPr>
                <w:sz w:val="20"/>
                <w:szCs w:val="20"/>
              </w:rPr>
              <w:t>32.40%</w:t>
            </w:r>
          </w:p>
        </w:tc>
        <w:tc>
          <w:tcPr>
            <w:tcW w:w="1022" w:type="pct"/>
          </w:tcPr>
          <w:p w14:paraId="4832365B" w14:textId="0B62F358" w:rsidR="000D4CFD" w:rsidRPr="003F38FA" w:rsidRDefault="000D4CFD" w:rsidP="003F38FA">
            <w:pPr>
              <w:jc w:val="right"/>
              <w:rPr>
                <w:rFonts w:cs="Arial"/>
                <w:sz w:val="20"/>
                <w:szCs w:val="20"/>
              </w:rPr>
            </w:pPr>
            <w:r w:rsidRPr="003F38FA">
              <w:rPr>
                <w:sz w:val="20"/>
                <w:szCs w:val="20"/>
              </w:rPr>
              <w:t>33.00%</w:t>
            </w:r>
          </w:p>
        </w:tc>
        <w:tc>
          <w:tcPr>
            <w:tcW w:w="1227" w:type="pct"/>
          </w:tcPr>
          <w:p w14:paraId="495C2038" w14:textId="6E1E2173" w:rsidR="000D4CFD" w:rsidRPr="003F38FA" w:rsidRDefault="000D4CFD" w:rsidP="003F38FA">
            <w:pPr>
              <w:jc w:val="right"/>
              <w:rPr>
                <w:rFonts w:cs="Arial"/>
                <w:sz w:val="20"/>
                <w:szCs w:val="20"/>
              </w:rPr>
            </w:pPr>
            <w:r w:rsidRPr="003F38FA">
              <w:rPr>
                <w:sz w:val="20"/>
                <w:szCs w:val="20"/>
              </w:rPr>
              <w:t>31.40%</w:t>
            </w:r>
          </w:p>
        </w:tc>
      </w:tr>
      <w:tr w:rsidR="000D4CFD" w:rsidRPr="003F38FA" w14:paraId="0FEBD3AD" w14:textId="77777777" w:rsidTr="003F38FA">
        <w:trPr>
          <w:cantSplit/>
          <w:jc w:val="right"/>
        </w:trPr>
        <w:tc>
          <w:tcPr>
            <w:tcW w:w="1258" w:type="pct"/>
          </w:tcPr>
          <w:p w14:paraId="1422D7B3" w14:textId="14F6389C" w:rsidR="000D4CFD" w:rsidRPr="003F38FA" w:rsidRDefault="000D4CFD" w:rsidP="003F38FA">
            <w:pPr>
              <w:jc w:val="right"/>
              <w:rPr>
                <w:rFonts w:cs="Arial"/>
                <w:sz w:val="20"/>
                <w:szCs w:val="20"/>
              </w:rPr>
            </w:pPr>
            <w:r w:rsidRPr="003F38FA">
              <w:rPr>
                <w:sz w:val="20"/>
                <w:szCs w:val="20"/>
              </w:rPr>
              <w:t>LOTE at home</w:t>
            </w:r>
          </w:p>
        </w:tc>
        <w:tc>
          <w:tcPr>
            <w:tcW w:w="1493" w:type="pct"/>
          </w:tcPr>
          <w:p w14:paraId="17B9B07E" w14:textId="44E667A7" w:rsidR="000D4CFD" w:rsidRPr="003F38FA" w:rsidRDefault="000D4CFD" w:rsidP="003F38FA">
            <w:pPr>
              <w:jc w:val="right"/>
              <w:rPr>
                <w:rFonts w:cs="Arial"/>
                <w:sz w:val="20"/>
                <w:szCs w:val="20"/>
              </w:rPr>
            </w:pPr>
            <w:r w:rsidRPr="003F38FA">
              <w:rPr>
                <w:sz w:val="20"/>
                <w:szCs w:val="20"/>
              </w:rPr>
              <w:t>23.40%</w:t>
            </w:r>
          </w:p>
        </w:tc>
        <w:tc>
          <w:tcPr>
            <w:tcW w:w="1022" w:type="pct"/>
          </w:tcPr>
          <w:p w14:paraId="49B489AB" w14:textId="5623473C" w:rsidR="000D4CFD" w:rsidRPr="003F38FA" w:rsidRDefault="000D4CFD" w:rsidP="003F38FA">
            <w:pPr>
              <w:jc w:val="right"/>
              <w:rPr>
                <w:rFonts w:cs="Arial"/>
                <w:sz w:val="20"/>
                <w:szCs w:val="20"/>
              </w:rPr>
            </w:pPr>
            <w:r w:rsidRPr="003F38FA">
              <w:rPr>
                <w:sz w:val="20"/>
                <w:szCs w:val="20"/>
              </w:rPr>
              <w:t>20.50%</w:t>
            </w:r>
          </w:p>
        </w:tc>
        <w:tc>
          <w:tcPr>
            <w:tcW w:w="1227" w:type="pct"/>
          </w:tcPr>
          <w:p w14:paraId="2E12524B" w14:textId="2270B346" w:rsidR="000D4CFD" w:rsidRPr="003F38FA" w:rsidRDefault="000D4CFD" w:rsidP="003F38FA">
            <w:pPr>
              <w:jc w:val="right"/>
              <w:rPr>
                <w:rFonts w:cs="Arial"/>
                <w:sz w:val="20"/>
                <w:szCs w:val="20"/>
              </w:rPr>
            </w:pPr>
            <w:r w:rsidRPr="003F38FA">
              <w:rPr>
                <w:sz w:val="20"/>
                <w:szCs w:val="20"/>
              </w:rPr>
              <w:t>18.20%</w:t>
            </w:r>
          </w:p>
        </w:tc>
      </w:tr>
    </w:tbl>
    <w:p w14:paraId="3B0C74D7" w14:textId="327291A8" w:rsidR="00AC2606" w:rsidRDefault="00AC2606" w:rsidP="005D2F87">
      <w:pPr>
        <w:pStyle w:val="Source"/>
        <w:rPr>
          <w:lang w:val="en-US"/>
        </w:rPr>
      </w:pPr>
      <w:r w:rsidRPr="00735420">
        <w:t xml:space="preserve">Sources: </w:t>
      </w:r>
      <w:r w:rsidRPr="00735420">
        <w:rPr>
          <w:lang w:val="en-US"/>
        </w:rPr>
        <w:t>ABS, 2021 Census of Population and Housing, counting persons, 15 years and over, TableBuilder ANZSCO6, ANZSIC4, AGE5P, INGP, SEXP, LFS, LANP2</w:t>
      </w:r>
      <w:r w:rsidR="00BD1522">
        <w:rPr>
          <w:lang w:val="en-US"/>
        </w:rPr>
        <w:t>.</w:t>
      </w:r>
    </w:p>
    <w:p w14:paraId="0C0AA9DD" w14:textId="688000BD" w:rsidR="00CA598C" w:rsidRPr="00CA598C" w:rsidRDefault="00CA598C" w:rsidP="000D7EBE">
      <w:pPr>
        <w:pStyle w:val="ChartorTableNote"/>
      </w:pPr>
      <w:r>
        <w:t>Note: LOTE stands for Language</w:t>
      </w:r>
      <w:r w:rsidR="00710B52">
        <w:t>s</w:t>
      </w:r>
      <w:r>
        <w:t xml:space="preserve"> Other Than English</w:t>
      </w:r>
      <w:r w:rsidR="00BD1522">
        <w:t>.</w:t>
      </w:r>
    </w:p>
    <w:p w14:paraId="44E05DD4" w14:textId="088C8548" w:rsidR="00AC2606" w:rsidRPr="00AC0957" w:rsidRDefault="00AC2606" w:rsidP="00293C51">
      <w:pPr>
        <w:keepLines/>
        <w:rPr>
          <w:rFonts w:cs="Arial"/>
        </w:rPr>
      </w:pPr>
      <w:r w:rsidRPr="00AC0957">
        <w:rPr>
          <w:rFonts w:cs="Arial"/>
        </w:rPr>
        <w:t>There is currently no national data collection mechanism for the VET workforce</w:t>
      </w:r>
      <w:r w:rsidR="5E582939" w:rsidRPr="06A4B628">
        <w:rPr>
          <w:rFonts w:cs="Arial"/>
        </w:rPr>
        <w:t xml:space="preserve"> </w:t>
      </w:r>
      <w:r w:rsidR="5E582939" w:rsidRPr="4315F119">
        <w:rPr>
          <w:rFonts w:cs="Arial"/>
        </w:rPr>
        <w:t xml:space="preserve">and the </w:t>
      </w:r>
      <w:r w:rsidR="00AA1D7A">
        <w:rPr>
          <w:rFonts w:cs="Arial"/>
        </w:rPr>
        <w:t>report</w:t>
      </w:r>
      <w:r w:rsidRPr="00AC0957">
        <w:rPr>
          <w:rFonts w:cs="Arial"/>
        </w:rPr>
        <w:t xml:space="preserve"> </w:t>
      </w:r>
      <w:r w:rsidR="4287B730" w:rsidRPr="4315F119">
        <w:rPr>
          <w:rFonts w:cs="Arial"/>
        </w:rPr>
        <w:t xml:space="preserve">recommends future </w:t>
      </w:r>
      <w:r w:rsidR="4287B730" w:rsidRPr="4B93708A">
        <w:rPr>
          <w:rFonts w:cs="Arial"/>
        </w:rPr>
        <w:t>options for workforce data collection</w:t>
      </w:r>
      <w:r w:rsidR="00244022">
        <w:rPr>
          <w:rFonts w:cs="Arial"/>
        </w:rPr>
        <w:t>.</w:t>
      </w:r>
      <w:r w:rsidR="4287B730" w:rsidRPr="4B93708A">
        <w:rPr>
          <w:rFonts w:cs="Arial"/>
        </w:rPr>
        <w:t xml:space="preserve"> </w:t>
      </w:r>
      <w:r w:rsidR="00244022">
        <w:rPr>
          <w:rFonts w:cs="Arial"/>
        </w:rPr>
        <w:t>T</w:t>
      </w:r>
      <w:r w:rsidR="4287B730" w:rsidRPr="14D1E2E4">
        <w:rPr>
          <w:rFonts w:cs="Arial"/>
        </w:rPr>
        <w:t xml:space="preserve">he broader VET </w:t>
      </w:r>
      <w:r w:rsidR="4287B730" w:rsidRPr="701DC32E">
        <w:rPr>
          <w:rFonts w:cs="Arial"/>
        </w:rPr>
        <w:t>Workforce</w:t>
      </w:r>
      <w:r w:rsidR="4287B730" w:rsidRPr="6062389F">
        <w:rPr>
          <w:rFonts w:cs="Arial"/>
        </w:rPr>
        <w:t xml:space="preserve"> Blueprint has taken on these </w:t>
      </w:r>
      <w:r w:rsidR="0CA2CB10" w:rsidRPr="1B3368D3">
        <w:rPr>
          <w:rFonts w:cs="Arial"/>
        </w:rPr>
        <w:t xml:space="preserve">study recommendations and funded further work to </w:t>
      </w:r>
      <w:r w:rsidR="0CA2CB10" w:rsidRPr="397C159E">
        <w:rPr>
          <w:rFonts w:cs="Arial"/>
        </w:rPr>
        <w:t xml:space="preserve">extend the </w:t>
      </w:r>
      <w:r w:rsidR="0CA2CB10" w:rsidRPr="444C1D44">
        <w:rPr>
          <w:rFonts w:cs="Arial"/>
        </w:rPr>
        <w:t>study</w:t>
      </w:r>
      <w:r w:rsidR="7F79B152" w:rsidRPr="444C1D44">
        <w:rPr>
          <w:rFonts w:cs="Arial"/>
        </w:rPr>
        <w:t>’</w:t>
      </w:r>
      <w:r w:rsidR="0CA2CB10" w:rsidRPr="444C1D44">
        <w:rPr>
          <w:rFonts w:cs="Arial"/>
        </w:rPr>
        <w:t>s</w:t>
      </w:r>
      <w:r w:rsidR="0CA2CB10" w:rsidRPr="397C159E">
        <w:rPr>
          <w:rFonts w:cs="Arial"/>
        </w:rPr>
        <w:t xml:space="preserve"> findings</w:t>
      </w:r>
      <w:r w:rsidR="2CA27081" w:rsidRPr="444C1D44">
        <w:rPr>
          <w:rFonts w:cs="Arial"/>
        </w:rPr>
        <w:t>.</w:t>
      </w:r>
    </w:p>
    <w:p w14:paraId="6E7C6801" w14:textId="77777777" w:rsidR="00AC2606" w:rsidRPr="00AC0957" w:rsidRDefault="00AC2606" w:rsidP="00AC2606">
      <w:pPr>
        <w:rPr>
          <w:rFonts w:cs="Arial"/>
        </w:rPr>
      </w:pPr>
      <w:r w:rsidRPr="00AC0957">
        <w:rPr>
          <w:rFonts w:cs="Arial"/>
        </w:rPr>
        <w:t xml:space="preserve">As part of the nationally led actions, JSA will undertake: </w:t>
      </w:r>
    </w:p>
    <w:p w14:paraId="35AECDF9" w14:textId="4499ED8C" w:rsidR="00AC2606" w:rsidRPr="00AC0957" w:rsidRDefault="00AC2606" w:rsidP="005D2F87">
      <w:pPr>
        <w:pStyle w:val="ListBullet"/>
      </w:pPr>
      <w:r w:rsidRPr="00AC0957">
        <w:t xml:space="preserve">comprehensive occupational mapping </w:t>
      </w:r>
      <w:r w:rsidR="795B5279" w:rsidRPr="04CAD4E2">
        <w:t>of</w:t>
      </w:r>
      <w:r w:rsidRPr="00AC0957">
        <w:t xml:space="preserve"> the VET workforce</w:t>
      </w:r>
    </w:p>
    <w:p w14:paraId="0E209A9C" w14:textId="343E72F0" w:rsidR="00AC2606" w:rsidRPr="00AC0957" w:rsidRDefault="00AC2606" w:rsidP="005D2F87">
      <w:pPr>
        <w:pStyle w:val="ListBullet"/>
      </w:pPr>
      <w:r w:rsidRPr="00AC0957">
        <w:t>develop</w:t>
      </w:r>
      <w:r w:rsidR="00C319A1">
        <w:t>ment of</w:t>
      </w:r>
      <w:r w:rsidRPr="00AC0957">
        <w:t xml:space="preserve"> a VET workforce data strategy</w:t>
      </w:r>
    </w:p>
    <w:p w14:paraId="13D7FB49" w14:textId="4BF32EEF" w:rsidR="00AC2606" w:rsidRPr="00AC0957" w:rsidRDefault="00AC2606" w:rsidP="005D2F87">
      <w:pPr>
        <w:pStyle w:val="ListBullet"/>
      </w:pPr>
      <w:r w:rsidRPr="00AC0957">
        <w:t>establish</w:t>
      </w:r>
      <w:r w:rsidR="00C319A1">
        <w:t>ment of</w:t>
      </w:r>
      <w:r w:rsidRPr="00AC0957">
        <w:t xml:space="preserve"> an ongoing research program for key workforce issues.</w:t>
      </w:r>
    </w:p>
    <w:p w14:paraId="5FCFE43A" w14:textId="77777777" w:rsidR="00AC2606" w:rsidRPr="00AC0957" w:rsidRDefault="00AC2606" w:rsidP="00AC2606">
      <w:pPr>
        <w:rPr>
          <w:rFonts w:cs="Arial"/>
        </w:rPr>
      </w:pPr>
      <w:r w:rsidRPr="00AC0957">
        <w:rPr>
          <w:rFonts w:cs="Arial"/>
        </w:rPr>
        <w:t>These foundational actions will lead to improved workforce data and fill key gaps identified in the VET Workforce Study. They will provide an evidence base for further responses to support the VET workforce.</w:t>
      </w:r>
    </w:p>
    <w:p w14:paraId="45737490" w14:textId="77777777" w:rsidR="00AC2606" w:rsidRPr="00AC0957" w:rsidRDefault="00AC2606" w:rsidP="00AC2606">
      <w:pPr>
        <w:pStyle w:val="Heading3"/>
        <w:rPr>
          <w:rFonts w:cs="Arial"/>
        </w:rPr>
      </w:pPr>
      <w:bookmarkStart w:id="314" w:name="_Toc179887422"/>
      <w:bookmarkStart w:id="315" w:name="_Toc181371619"/>
      <w:r w:rsidRPr="00AC0957">
        <w:rPr>
          <w:rFonts w:cs="Arial"/>
        </w:rPr>
        <w:t>First Nations VET Workforce</w:t>
      </w:r>
      <w:bookmarkEnd w:id="314"/>
      <w:bookmarkEnd w:id="315"/>
    </w:p>
    <w:p w14:paraId="1CFEE4C0" w14:textId="77777777" w:rsidR="00AA6229" w:rsidRPr="00AA6229" w:rsidRDefault="00AA6229" w:rsidP="002907DF">
      <w:r w:rsidRPr="00AA6229">
        <w:t xml:space="preserve">A key part of building and maintaining a sustainable vocational education and training workforce is ensuring that the First Nations VET workforce is grown and supported, including the sustainability of the Aboriginal Community-Controlled (ACC) and First Nations Owned (FNO) training sector. </w:t>
      </w:r>
    </w:p>
    <w:p w14:paraId="64D0A137" w14:textId="57CF823A" w:rsidR="00AC2606" w:rsidRPr="00AC0957" w:rsidRDefault="00AA6229" w:rsidP="00AA6229">
      <w:pPr>
        <w:rPr>
          <w:rFonts w:cs="Arial"/>
          <w:lang w:val="en-US"/>
        </w:rPr>
      </w:pPr>
      <w:r w:rsidRPr="00AA6229">
        <w:rPr>
          <w:rFonts w:cs="Arial"/>
        </w:rPr>
        <w:t xml:space="preserve">The First Nations working age population participate in VET at a rate double that of the non-First Nations population, and in very remote and on-community delivery contexts, delivery of VET by First Nations staff correlates with more positive learner outcomes </w:t>
      </w:r>
      <w:sdt>
        <w:sdtPr>
          <w:rPr>
            <w:rFonts w:cs="Arial"/>
          </w:rPr>
          <w:id w:val="-2003264216"/>
          <w:citation/>
        </w:sdtPr>
        <w:sdtEndPr/>
        <w:sdtContent>
          <w:r w:rsidR="00AC2606" w:rsidRPr="00AC0957">
            <w:rPr>
              <w:rFonts w:cs="Arial"/>
            </w:rPr>
            <w:fldChar w:fldCharType="begin"/>
          </w:r>
          <w:r w:rsidR="00934658">
            <w:rPr>
              <w:rFonts w:cs="Arial"/>
            </w:rPr>
            <w:instrText xml:space="preserve">CITATION Win17 \l 3081 </w:instrText>
          </w:r>
          <w:r w:rsidR="00AC2606" w:rsidRPr="00AC0957">
            <w:rPr>
              <w:rFonts w:cs="Arial"/>
            </w:rPr>
            <w:fldChar w:fldCharType="separate"/>
          </w:r>
          <w:r w:rsidR="00934658" w:rsidRPr="00934658">
            <w:rPr>
              <w:rFonts w:cs="Arial"/>
              <w:noProof/>
            </w:rPr>
            <w:t>(Windley, 2017)</w:t>
          </w:r>
          <w:r w:rsidR="00AC2606" w:rsidRPr="00AC0957">
            <w:rPr>
              <w:rFonts w:cs="Arial"/>
            </w:rPr>
            <w:fldChar w:fldCharType="end"/>
          </w:r>
        </w:sdtContent>
      </w:sdt>
      <w:r w:rsidR="00AC2606" w:rsidRPr="00AC0957">
        <w:rPr>
          <w:rFonts w:cs="Arial"/>
        </w:rPr>
        <w:t>.</w:t>
      </w:r>
    </w:p>
    <w:p w14:paraId="2AD7EDC0" w14:textId="77777777" w:rsidR="00345DE3" w:rsidRPr="00345DE3" w:rsidRDefault="00345DE3" w:rsidP="00345DE3">
      <w:pPr>
        <w:rPr>
          <w:rFonts w:cs="Arial"/>
        </w:rPr>
      </w:pPr>
      <w:r w:rsidRPr="00345DE3">
        <w:rPr>
          <w:rFonts w:cs="Arial"/>
        </w:rPr>
        <w:t>JSA is undertaking research to identify opportunities for improvements for the recruitment, retention, and cultural safety of the First Nations VET workforce. This includes analysing institutional and systematic barriers and enablers for First Nations people joining, staying and progressing in the VET workforce, and identifying promising practices that address barriers and support enablers. Considerations in relation to data about or relating to First Nations people in the VET workforce will need to engage meaningfully with principles outlined in the Framework for Governance of Indigenous Data.</w:t>
      </w:r>
    </w:p>
    <w:p w14:paraId="63ED6B4D" w14:textId="38C8B8D1" w:rsidR="00AC2606" w:rsidRPr="00AC0957" w:rsidRDefault="00345DE3" w:rsidP="00345DE3">
      <w:pPr>
        <w:rPr>
          <w:rFonts w:cs="Arial"/>
          <w:lang w:val="en-US"/>
        </w:rPr>
      </w:pPr>
      <w:r w:rsidRPr="00345DE3">
        <w:rPr>
          <w:rFonts w:cs="Arial"/>
        </w:rPr>
        <w:t>It is expected that the experiences of First Nations VET workers will differ substantially between individuals, their roles (e.g., teaching, training and assessing and other roles) and contexts (e.g., Public TAFE, independent RTOs, First Nations owned or Aboriginal Community Controlled and delivery setting of RTOs, whether urban, regional and remote). JSA will share findings in early 2025</w:t>
      </w:r>
      <w:r w:rsidR="00AC2606" w:rsidRPr="00AC0957">
        <w:rPr>
          <w:rFonts w:cs="Arial"/>
          <w:lang w:val="en-US"/>
        </w:rPr>
        <w:t xml:space="preserve">. </w:t>
      </w:r>
    </w:p>
    <w:p w14:paraId="263A4A75" w14:textId="77777777" w:rsidR="00AC2606" w:rsidRPr="00AC0957" w:rsidRDefault="00AC2606" w:rsidP="00AC2606">
      <w:pPr>
        <w:pStyle w:val="Heading2"/>
        <w:rPr>
          <w:rFonts w:cs="Arial"/>
        </w:rPr>
      </w:pPr>
      <w:bookmarkStart w:id="316" w:name="_Toc179887423"/>
      <w:bookmarkStart w:id="317" w:name="_Toc181371620"/>
      <w:r w:rsidRPr="00AC0957">
        <w:rPr>
          <w:rFonts w:cs="Arial"/>
        </w:rPr>
        <w:t>Skilled migration</w:t>
      </w:r>
      <w:bookmarkEnd w:id="316"/>
      <w:bookmarkEnd w:id="317"/>
      <w:r w:rsidRPr="00AC0957">
        <w:rPr>
          <w:rFonts w:cs="Arial"/>
        </w:rPr>
        <w:t xml:space="preserve"> </w:t>
      </w:r>
    </w:p>
    <w:p w14:paraId="25472A0C" w14:textId="71817DAD" w:rsidR="00AC2606" w:rsidRDefault="00902B27" w:rsidP="00AC2606">
      <w:pPr>
        <w:rPr>
          <w:rFonts w:cs="Arial"/>
        </w:rPr>
      </w:pPr>
      <w:r w:rsidRPr="00902B27">
        <w:rPr>
          <w:rFonts w:cs="Arial"/>
        </w:rPr>
        <w:t>In addition to the rich cultural and social contributions of migrants to our country, there is a positive link between migration and labour productivity</w:t>
      </w:r>
      <w:sdt>
        <w:sdtPr>
          <w:rPr>
            <w:rFonts w:cs="Arial"/>
          </w:rPr>
          <w:id w:val="1748305357"/>
          <w:citation/>
        </w:sdtPr>
        <w:sdtEndPr/>
        <w:sdtContent>
          <w:r w:rsidR="00854C66">
            <w:rPr>
              <w:rFonts w:cs="Arial"/>
            </w:rPr>
            <w:fldChar w:fldCharType="begin"/>
          </w:r>
          <w:r w:rsidR="00854C66">
            <w:rPr>
              <w:rFonts w:cs="Arial"/>
            </w:rPr>
            <w:instrText xml:space="preserve"> CITATION OEC23 \l 3081 </w:instrText>
          </w:r>
          <w:r w:rsidR="00854C66">
            <w:rPr>
              <w:rFonts w:cs="Arial"/>
            </w:rPr>
            <w:fldChar w:fldCharType="separate"/>
          </w:r>
          <w:r w:rsidR="00CA3587">
            <w:rPr>
              <w:rFonts w:cs="Arial"/>
              <w:noProof/>
            </w:rPr>
            <w:t xml:space="preserve"> </w:t>
          </w:r>
          <w:r w:rsidR="00CA3587" w:rsidRPr="00CA3587">
            <w:rPr>
              <w:rFonts w:cs="Arial"/>
              <w:noProof/>
            </w:rPr>
            <w:t>(OECD, 2023)</w:t>
          </w:r>
          <w:r w:rsidR="00854C66">
            <w:rPr>
              <w:rFonts w:cs="Arial"/>
            </w:rPr>
            <w:fldChar w:fldCharType="end"/>
          </w:r>
        </w:sdtContent>
      </w:sdt>
      <w:r w:rsidR="00AC2606" w:rsidRPr="00AC0957">
        <w:rPr>
          <w:rFonts w:cs="Arial"/>
        </w:rPr>
        <w:t xml:space="preserve">, </w:t>
      </w:r>
      <w:r w:rsidR="00300AB5" w:rsidRPr="00300AB5">
        <w:rPr>
          <w:rFonts w:cs="Arial"/>
        </w:rPr>
        <w:t>and skilled migration plays an important role in providing skills and labour to supplement workforce needs.</w:t>
      </w:r>
      <w:r w:rsidR="00AC2606" w:rsidRPr="00AC0957">
        <w:rPr>
          <w:rFonts w:cs="Arial"/>
        </w:rPr>
        <w:t xml:space="preserve"> </w:t>
      </w:r>
    </w:p>
    <w:p w14:paraId="4374157C" w14:textId="77777777" w:rsidR="00ED7657" w:rsidRPr="00ED7657" w:rsidRDefault="00ED7657" w:rsidP="00ED7657">
      <w:pPr>
        <w:keepLines/>
        <w:rPr>
          <w:rFonts w:cs="Arial"/>
        </w:rPr>
      </w:pPr>
      <w:r w:rsidRPr="00ED7657">
        <w:rPr>
          <w:rFonts w:cs="Arial"/>
        </w:rPr>
        <w:t>A strong skill focus to Australia’s migration system can help to address changing workforce needs, including those arising from technological and digital transformation; increased demand for health services; climate change and net zero transformation. Temporary and permanent skilled migration also assists to fill identified skill shortages and facilitates the transfer of specialist knowledge and skills that are difficult to fill in Australia.</w:t>
      </w:r>
    </w:p>
    <w:p w14:paraId="0360DE74" w14:textId="5769185A" w:rsidR="00AE7650" w:rsidRDefault="00ED7657" w:rsidP="00ED7657">
      <w:pPr>
        <w:keepLines/>
        <w:rPr>
          <w:rFonts w:cs="Arial"/>
        </w:rPr>
      </w:pPr>
      <w:r w:rsidRPr="00ED7657">
        <w:rPr>
          <w:rFonts w:cs="Arial"/>
        </w:rPr>
        <w:t xml:space="preserve">Permanent skilled migration should aim to maximise Australia’s long-term prosperity. This goal is distinct from meeting short term labour shortages, which is a purpose of temporary skilled migration. For 2023-24, the permanent Migration Program was delivered at 190,000 entrants which included 137,100 Skill Stream; 52,720 Family Stream and 180 Special </w:t>
      </w:r>
      <w:r w:rsidRPr="001D1055">
        <w:rPr>
          <w:rFonts w:cs="Arial"/>
        </w:rPr>
        <w:t>Eligibility places</w:t>
      </w:r>
      <w:r w:rsidR="00AE7650">
        <w:rPr>
          <w:rStyle w:val="FootnoteReference"/>
          <w:rFonts w:cs="Arial"/>
        </w:rPr>
        <w:footnoteReference w:id="35"/>
      </w:r>
      <w:r w:rsidR="00AE7650" w:rsidRPr="003F66A1">
        <w:rPr>
          <w:rFonts w:cs="Arial"/>
        </w:rPr>
        <w:t xml:space="preserve">. </w:t>
      </w:r>
    </w:p>
    <w:p w14:paraId="532333A9" w14:textId="11689E86" w:rsidR="00140DF8" w:rsidRPr="00AE7650" w:rsidRDefault="00140DF8" w:rsidP="00ED7657">
      <w:pPr>
        <w:keepLines/>
        <w:rPr>
          <w:rFonts w:cs="Arial"/>
        </w:rPr>
      </w:pPr>
      <w:r w:rsidRPr="00140DF8">
        <w:rPr>
          <w:rFonts w:cs="Arial"/>
        </w:rPr>
        <w:t xml:space="preserve">The Australian Government’s White Paper on Jobs and Opportunities, </w:t>
      </w:r>
      <w:r w:rsidRPr="00140DF8">
        <w:rPr>
          <w:rFonts w:cs="Arial"/>
          <w:i/>
          <w:iCs/>
        </w:rPr>
        <w:t>Working Future</w:t>
      </w:r>
      <w:r w:rsidRPr="00140DF8">
        <w:rPr>
          <w:rFonts w:cs="Arial"/>
        </w:rPr>
        <w:t>, noted that</w:t>
      </w:r>
      <w:r>
        <w:rPr>
          <w:rFonts w:cs="Arial"/>
        </w:rPr>
        <w:t>:</w:t>
      </w:r>
    </w:p>
    <w:p w14:paraId="4FF289D6" w14:textId="2D8CF006" w:rsidR="008E5B6F" w:rsidRPr="008E5B6F" w:rsidRDefault="008E5B6F" w:rsidP="008E5B6F">
      <w:pPr>
        <w:pStyle w:val="Quote"/>
      </w:pPr>
      <w:r w:rsidRPr="008E5B6F">
        <w:t xml:space="preserve">There is </w:t>
      </w:r>
      <w:r w:rsidR="00957E0A">
        <w:t xml:space="preserve">also </w:t>
      </w:r>
      <w:r w:rsidRPr="008E5B6F">
        <w:t xml:space="preserve">scope to better use the skills and experience that migrants bring to Australia. Nearly a quarter of permanent skilled migrants are working in a job beneath their skill level </w:t>
      </w:r>
      <w:sdt>
        <w:sdtPr>
          <w:id w:val="757950485"/>
          <w:citation/>
        </w:sdtPr>
        <w:sdtEndPr/>
        <w:sdtContent>
          <w:r>
            <w:fldChar w:fldCharType="begin"/>
          </w:r>
          <w:r w:rsidR="001829B0">
            <w:instrText xml:space="preserve">CITATION Com211 \l 3081 </w:instrText>
          </w:r>
          <w:r>
            <w:fldChar w:fldCharType="separate"/>
          </w:r>
          <w:r w:rsidR="00CA3587">
            <w:rPr>
              <w:noProof/>
            </w:rPr>
            <w:t>(Committee for Economic Development of Australia, 2021)</w:t>
          </w:r>
          <w:r>
            <w:fldChar w:fldCharType="end"/>
          </w:r>
        </w:sdtContent>
      </w:sdt>
      <w:r w:rsidRPr="008E5B6F">
        <w:t xml:space="preserve">. This could reflect a range of reasons, including challenges navigating licensing systems, completing top-up qualifications, and working through Australian recruitment processes. Discrimination and unconscious bias among employers can also adversely impact migrant employment outcomes </w:t>
      </w:r>
      <w:sdt>
        <w:sdtPr>
          <w:id w:val="2058507630"/>
          <w:citation/>
        </w:sdtPr>
        <w:sdtEndPr/>
        <w:sdtContent>
          <w:r>
            <w:fldChar w:fldCharType="begin"/>
          </w:r>
          <w:r>
            <w:instrText xml:space="preserve"> CITATION Boo12 \l 3081 </w:instrText>
          </w:r>
          <w:r>
            <w:fldChar w:fldCharType="separate"/>
          </w:r>
          <w:r w:rsidR="00CA3587">
            <w:rPr>
              <w:noProof/>
            </w:rPr>
            <w:t>(Booth, Leigh, &amp; Varganova, 2012)</w:t>
          </w:r>
          <w:r>
            <w:fldChar w:fldCharType="end"/>
          </w:r>
        </w:sdtContent>
      </w:sdt>
      <w:r w:rsidRPr="008E5B6F">
        <w:t xml:space="preserve">. Some occupations exhibit particularly poor results for migrant skills matching. Migrant engineers and accountants stand out among the occupations not matching well into their nominated occupation </w:t>
      </w:r>
      <w:sdt>
        <w:sdtPr>
          <w:id w:val="611249907"/>
          <w:citation/>
        </w:sdtPr>
        <w:sdtEndPr/>
        <w:sdtContent>
          <w:r w:rsidR="004007E7">
            <w:fldChar w:fldCharType="begin"/>
          </w:r>
          <w:r w:rsidR="004007E7">
            <w:instrText xml:space="preserve">CITATION Aus23 \t  \l 3081 </w:instrText>
          </w:r>
          <w:r w:rsidR="004007E7">
            <w:fldChar w:fldCharType="separate"/>
          </w:r>
          <w:r w:rsidR="00CA3587">
            <w:rPr>
              <w:noProof/>
            </w:rPr>
            <w:t>(Commonwealth of Australia, 2023a)</w:t>
          </w:r>
          <w:r w:rsidR="004007E7">
            <w:fldChar w:fldCharType="end"/>
          </w:r>
        </w:sdtContent>
      </w:sdt>
      <w:r w:rsidRPr="008E5B6F">
        <w:t xml:space="preserve">. </w:t>
      </w:r>
    </w:p>
    <w:p w14:paraId="269EAB30" w14:textId="484C596C" w:rsidR="008E5B6F" w:rsidRPr="008E5B6F" w:rsidRDefault="008E5B6F" w:rsidP="008E5B6F">
      <w:pPr>
        <w:rPr>
          <w:rFonts w:cs="Arial"/>
        </w:rPr>
      </w:pPr>
      <w:r w:rsidRPr="008E5B6F">
        <w:rPr>
          <w:rFonts w:cs="Arial"/>
        </w:rPr>
        <w:t>It also noted that</w:t>
      </w:r>
      <w:r w:rsidR="00957E0A">
        <w:rPr>
          <w:rFonts w:cs="Arial"/>
        </w:rPr>
        <w:t xml:space="preserve"> temporary migrants can play an important role in meeting short term skills needs, but those selected on a skills basis currently make up a small proportion of the temporary migration system</w:t>
      </w:r>
      <w:r w:rsidRPr="008E5B6F">
        <w:rPr>
          <w:rFonts w:cs="Arial"/>
        </w:rPr>
        <w:t>:</w:t>
      </w:r>
    </w:p>
    <w:p w14:paraId="301A1F1D" w14:textId="0AE534E2" w:rsidR="008E5B6F" w:rsidRPr="008E5B6F" w:rsidRDefault="008E5B6F" w:rsidP="004007E7">
      <w:pPr>
        <w:pStyle w:val="Quote"/>
      </w:pPr>
      <w:r w:rsidRPr="008E5B6F">
        <w:t xml:space="preserve">Students and New Zealand citizens, who are not selected on a skill-based criteria, make up about 60 per cent of people holding a temporary visa. Australia only actively shapes a very small proportion of its migrant intake, with the overwhelming majority of migrants arriving in Australia for non-work purposes but then participating in the labour market. This creates tension between the objectives of specific visa classes, for instance balancing student work rights with study requirements </w:t>
      </w:r>
      <w:sdt>
        <w:sdtPr>
          <w:id w:val="-1670706269"/>
          <w:citation/>
        </w:sdtPr>
        <w:sdtEndPr/>
        <w:sdtContent>
          <w:r w:rsidR="004007E7">
            <w:fldChar w:fldCharType="begin"/>
          </w:r>
          <w:r w:rsidR="004007E7">
            <w:instrText xml:space="preserve">CITATION Aus23 \t  \l 3081 </w:instrText>
          </w:r>
          <w:r w:rsidR="004007E7">
            <w:fldChar w:fldCharType="separate"/>
          </w:r>
          <w:r w:rsidR="00CA3587">
            <w:rPr>
              <w:noProof/>
            </w:rPr>
            <w:t>(Commonwealth of Australia, 2023a)</w:t>
          </w:r>
          <w:r w:rsidR="004007E7">
            <w:fldChar w:fldCharType="end"/>
          </w:r>
        </w:sdtContent>
      </w:sdt>
      <w:r w:rsidRPr="008E5B6F">
        <w:t>.</w:t>
      </w:r>
    </w:p>
    <w:p w14:paraId="75286ABB" w14:textId="77777777" w:rsidR="008E5B6F" w:rsidRPr="008E5B6F" w:rsidRDefault="008E5B6F" w:rsidP="008E5B6F">
      <w:pPr>
        <w:rPr>
          <w:rFonts w:cs="Arial"/>
        </w:rPr>
      </w:pPr>
      <w:r w:rsidRPr="008E5B6F">
        <w:rPr>
          <w:rFonts w:cs="Arial"/>
        </w:rPr>
        <w:t xml:space="preserve">The Australian Government’s Migration Strategy was released in December 2023, following the comprehensive review of Australia’s migration system which captured valuable insights and directions for reform. It also drew on extensive consultation and public submissions. </w:t>
      </w:r>
    </w:p>
    <w:p w14:paraId="5678CE4C" w14:textId="0EA6BC95" w:rsidR="00A01C60" w:rsidRDefault="008E5B6F" w:rsidP="008E5B6F">
      <w:pPr>
        <w:rPr>
          <w:rFonts w:cs="Arial"/>
        </w:rPr>
      </w:pPr>
      <w:r w:rsidRPr="008E5B6F">
        <w:rPr>
          <w:rFonts w:cs="Arial"/>
        </w:rPr>
        <w:t xml:space="preserve">The Migration Review was critical of the approach to identifying skills needs, including the limited coordination between elements of the national skills system (education, training, and migration) and the lack of a whole-of-government and tripartite mechanism for assessing Australia’s skills needs. It recommended a more forward looking and evidence-based approach led by JSA that includes consideration of domestic training and workforce planning efforts </w:t>
      </w:r>
      <w:sdt>
        <w:sdtPr>
          <w:rPr>
            <w:rFonts w:cs="Arial"/>
          </w:rPr>
          <w:id w:val="1285387849"/>
          <w:citation/>
        </w:sdtPr>
        <w:sdtEndPr/>
        <w:sdtContent>
          <w:r w:rsidR="00A01C60">
            <w:rPr>
              <w:rFonts w:cs="Arial"/>
            </w:rPr>
            <w:fldChar w:fldCharType="begin"/>
          </w:r>
          <w:r w:rsidR="00A01C60">
            <w:rPr>
              <w:rFonts w:cs="Arial"/>
            </w:rPr>
            <w:instrText xml:space="preserve"> CITATION Com231 \l 3081 </w:instrText>
          </w:r>
          <w:r w:rsidR="00A01C60">
            <w:rPr>
              <w:rFonts w:cs="Arial"/>
            </w:rPr>
            <w:fldChar w:fldCharType="separate"/>
          </w:r>
          <w:r w:rsidR="00CA3587" w:rsidRPr="00CA3587">
            <w:rPr>
              <w:rFonts w:cs="Arial"/>
              <w:noProof/>
            </w:rPr>
            <w:t>(Commonwealth of Australia, 2023b)</w:t>
          </w:r>
          <w:r w:rsidR="00A01C60">
            <w:rPr>
              <w:rFonts w:cs="Arial"/>
            </w:rPr>
            <w:fldChar w:fldCharType="end"/>
          </w:r>
        </w:sdtContent>
      </w:sdt>
      <w:r w:rsidR="00A01C60">
        <w:rPr>
          <w:rFonts w:cs="Arial"/>
        </w:rPr>
        <w:t>.</w:t>
      </w:r>
    </w:p>
    <w:p w14:paraId="29081ABB" w14:textId="77777777" w:rsidR="00D6216B" w:rsidRPr="00D6216B" w:rsidRDefault="00D6216B" w:rsidP="00D6216B">
      <w:pPr>
        <w:rPr>
          <w:rFonts w:cs="Arial"/>
        </w:rPr>
      </w:pPr>
      <w:r w:rsidRPr="00D6216B">
        <w:rPr>
          <w:rFonts w:cs="Arial"/>
        </w:rPr>
        <w:t>The Migration Strategy establishes a formal role of JSA in defining skills needs using evidence, including advice from tripartite mechanisms. JSA will also have a role in helping to ensure local workers’ skills and job opportunities are prioritised, and that the migration system complements the domestic skills and training system and is guided to areas of best use. The Migration Strategy notes that JSA’s role in the new Skills in Demand visa for employer sponsored temporary migration will include:</w:t>
      </w:r>
    </w:p>
    <w:p w14:paraId="36F648B5" w14:textId="77777777" w:rsidR="00D6216B" w:rsidRPr="00D6216B" w:rsidRDefault="00D6216B" w:rsidP="00E441FC">
      <w:pPr>
        <w:pStyle w:val="ListBullet"/>
      </w:pPr>
      <w:r w:rsidRPr="00D6216B">
        <w:t>providing labour market analysis relevant to the Specialist Skills Pathway</w:t>
      </w:r>
    </w:p>
    <w:p w14:paraId="21501A41" w14:textId="6C67BB4B" w:rsidR="00D6216B" w:rsidRPr="00D6216B" w:rsidRDefault="00D6216B" w:rsidP="00E441FC">
      <w:pPr>
        <w:pStyle w:val="ListBullet"/>
      </w:pPr>
      <w:r w:rsidRPr="00D6216B">
        <w:t>provid</w:t>
      </w:r>
      <w:r w:rsidR="00810569">
        <w:t>ing</w:t>
      </w:r>
      <w:r w:rsidRPr="00D6216B">
        <w:t xml:space="preserve"> advice for a new Core Skills Occupation List for the Core Skills Pathway</w:t>
      </w:r>
    </w:p>
    <w:p w14:paraId="190BE291" w14:textId="77777777" w:rsidR="00D6216B" w:rsidRPr="00D6216B" w:rsidRDefault="00D6216B" w:rsidP="00E441FC">
      <w:pPr>
        <w:pStyle w:val="ListBullet"/>
      </w:pPr>
      <w:r w:rsidRPr="00D6216B">
        <w:t>providing advice on appropriate sectors and occupations in the Essential Skills Pathway.</w:t>
      </w:r>
    </w:p>
    <w:p w14:paraId="77FF9BEE" w14:textId="215A2238" w:rsidR="00D6216B" w:rsidRPr="00D6216B" w:rsidRDefault="00D6216B" w:rsidP="00D6216B">
      <w:pPr>
        <w:rPr>
          <w:rFonts w:cs="Arial"/>
        </w:rPr>
      </w:pPr>
      <w:r w:rsidRPr="00D6216B">
        <w:rPr>
          <w:rFonts w:cs="Arial"/>
        </w:rPr>
        <w:t xml:space="preserve">The Government, through the Migration Strategy has committed to explore a reformed points test to better identify migrants who will drive Australia’s long-term prosperity </w:t>
      </w:r>
      <w:sdt>
        <w:sdtPr>
          <w:rPr>
            <w:rFonts w:cs="Arial"/>
          </w:rPr>
          <w:id w:val="174083521"/>
          <w:citation/>
        </w:sdtPr>
        <w:sdtEndPr/>
        <w:sdtContent>
          <w:r w:rsidR="00E441FC">
            <w:rPr>
              <w:rFonts w:cs="Arial"/>
            </w:rPr>
            <w:fldChar w:fldCharType="begin"/>
          </w:r>
          <w:r w:rsidR="00E441FC">
            <w:rPr>
              <w:rFonts w:cs="Arial"/>
            </w:rPr>
            <w:instrText xml:space="preserve"> CITATION Com233 \l 3081 </w:instrText>
          </w:r>
          <w:r w:rsidR="00E441FC">
            <w:rPr>
              <w:rFonts w:cs="Arial"/>
            </w:rPr>
            <w:fldChar w:fldCharType="separate"/>
          </w:r>
          <w:r w:rsidR="00CA3587" w:rsidRPr="00CA3587">
            <w:rPr>
              <w:rFonts w:cs="Arial"/>
              <w:noProof/>
            </w:rPr>
            <w:t>(Commonwealth of Australia, Department of Home Affairs, 2023)</w:t>
          </w:r>
          <w:r w:rsidR="00E441FC">
            <w:rPr>
              <w:rFonts w:cs="Arial"/>
            </w:rPr>
            <w:fldChar w:fldCharType="end"/>
          </w:r>
        </w:sdtContent>
      </w:sdt>
      <w:r w:rsidRPr="00D6216B">
        <w:rPr>
          <w:rFonts w:cs="Arial"/>
        </w:rPr>
        <w:t>. JSA will actively contribute to the policy discussions around the points test review.</w:t>
      </w:r>
    </w:p>
    <w:p w14:paraId="240DEFB3" w14:textId="77777777" w:rsidR="00D6216B" w:rsidRPr="00D6216B" w:rsidRDefault="00D6216B" w:rsidP="00D6216B">
      <w:pPr>
        <w:rPr>
          <w:rFonts w:cs="Arial"/>
        </w:rPr>
      </w:pPr>
      <w:r w:rsidRPr="00D6216B">
        <w:rPr>
          <w:rFonts w:cs="Arial"/>
        </w:rPr>
        <w:t>The Government has also commissioned a study through JSA to better analyse international student outcomes and pathways into the labour market. Initial outcomes from this study are included in chapter one.</w:t>
      </w:r>
    </w:p>
    <w:p w14:paraId="0B7D9E5F" w14:textId="45B171C8" w:rsidR="0082550D" w:rsidRPr="00AC0957" w:rsidRDefault="00D6216B" w:rsidP="00D6216B">
      <w:pPr>
        <w:rPr>
          <w:rFonts w:cs="Arial"/>
        </w:rPr>
      </w:pPr>
      <w:r w:rsidRPr="00D6216B">
        <w:rPr>
          <w:rFonts w:cs="Arial"/>
        </w:rPr>
        <w:t>JSA’s aim is to ensure a common analytical approach and understanding of current and future skills needs is applied to its advice on migration, higher education and VET. This is core to working towards a more joined up national skill system that will better meet Australia’s future workforce skills needs</w:t>
      </w:r>
      <w:r w:rsidR="00A449AC">
        <w:rPr>
          <w:rFonts w:cs="Arial"/>
        </w:rPr>
        <w:t>.</w:t>
      </w:r>
    </w:p>
    <w:p w14:paraId="0996D1C7" w14:textId="77777777" w:rsidR="00AC2606" w:rsidRPr="00AC0957" w:rsidRDefault="00AC2606" w:rsidP="00AC2606">
      <w:pPr>
        <w:pStyle w:val="Heading2"/>
        <w:rPr>
          <w:rFonts w:cs="Arial"/>
        </w:rPr>
      </w:pPr>
      <w:bookmarkStart w:id="318" w:name="_Toc179887424"/>
      <w:bookmarkStart w:id="319" w:name="_Toc181371621"/>
      <w:r w:rsidRPr="00AC0957">
        <w:rPr>
          <w:rFonts w:cs="Arial"/>
        </w:rPr>
        <w:t>In summary</w:t>
      </w:r>
      <w:bookmarkEnd w:id="318"/>
      <w:bookmarkEnd w:id="319"/>
    </w:p>
    <w:p w14:paraId="2780C091" w14:textId="77777777" w:rsidR="00E63649" w:rsidRPr="00E63649" w:rsidRDefault="00E63649" w:rsidP="00E63649">
      <w:pPr>
        <w:rPr>
          <w:rFonts w:cs="Arial"/>
        </w:rPr>
      </w:pPr>
      <w:r w:rsidRPr="00E63649">
        <w:rPr>
          <w:rFonts w:cs="Arial"/>
        </w:rPr>
        <w:t xml:space="preserve">A strong national skills system is critical to fulfilling Australia’s current and future skills needs. It requires not only the elements of the system to be strong and well-functioning, but also for the elements to work in harmony. This means that the migration system complements the domestic skills and training system and is guided to areas of best use. It means that there is fit-for-purpose education and training that capitalises on the strengths of both sectors to deliver quality outcomes. It means that individuals can navigate and access the education and training they need throughout their life course to support ongoing skills development needs. </w:t>
      </w:r>
    </w:p>
    <w:p w14:paraId="19B56E5C" w14:textId="11685006" w:rsidR="00AC2606" w:rsidRPr="00AC0957" w:rsidRDefault="00E63649" w:rsidP="00E63649">
      <w:pPr>
        <w:rPr>
          <w:rFonts w:cs="Arial"/>
        </w:rPr>
      </w:pPr>
      <w:r w:rsidRPr="00E63649">
        <w:rPr>
          <w:rFonts w:cs="Arial"/>
        </w:rPr>
        <w:t>JSA contributes to the optimisation of a strong national skills system by providing analysis and advice on the performance and outcomes of various components – including for specific cohorts of interest. This also includes research, analysis and advice that can inform efforts to better optimise and align the system</w:t>
      </w:r>
      <w:r w:rsidR="00AC2606" w:rsidRPr="00AC0957">
        <w:rPr>
          <w:rFonts w:cs="Arial"/>
        </w:rPr>
        <w:t>.</w:t>
      </w:r>
    </w:p>
    <w:p w14:paraId="1DB50779" w14:textId="77777777" w:rsidR="00A06692" w:rsidRDefault="00A06692" w:rsidP="00AC2606">
      <w:pPr>
        <w:pStyle w:val="Heading1"/>
        <w:rPr>
          <w:rFonts w:cs="Arial"/>
        </w:rPr>
        <w:sectPr w:rsidR="00A06692" w:rsidSect="00934658">
          <w:headerReference w:type="default" r:id="rId126"/>
          <w:pgSz w:w="11906" w:h="16838" w:code="9"/>
          <w:pgMar w:top="1276" w:right="1440" w:bottom="1134" w:left="1440" w:header="709" w:footer="709" w:gutter="0"/>
          <w:cols w:space="708"/>
          <w:docGrid w:linePitch="360"/>
        </w:sectPr>
      </w:pPr>
      <w:bookmarkStart w:id="320" w:name="_Toc179887425"/>
    </w:p>
    <w:p w14:paraId="63DC50E0" w14:textId="77777777" w:rsidR="00DA5349" w:rsidRDefault="00DA5349" w:rsidP="00DA5349">
      <w:pPr>
        <w:pStyle w:val="Chaptergap"/>
        <w:spacing w:after="3000"/>
      </w:pPr>
    </w:p>
    <w:p w14:paraId="17A01F0E" w14:textId="63EF0694" w:rsidR="00AC2606" w:rsidRPr="00AC0957" w:rsidRDefault="00AC2606" w:rsidP="00AC2606">
      <w:pPr>
        <w:pStyle w:val="Heading1"/>
        <w:rPr>
          <w:rFonts w:cs="Arial"/>
        </w:rPr>
      </w:pPr>
      <w:bookmarkStart w:id="321" w:name="_Toc181371622"/>
      <w:r w:rsidRPr="00AC0957">
        <w:rPr>
          <w:rFonts w:cs="Arial"/>
        </w:rPr>
        <w:t xml:space="preserve">Chapter </w:t>
      </w:r>
      <w:r w:rsidR="00CB060C">
        <w:rPr>
          <w:rFonts w:cs="Arial"/>
        </w:rPr>
        <w:t>5:</w:t>
      </w:r>
      <w:r w:rsidRPr="00AC0957">
        <w:rPr>
          <w:rFonts w:cs="Arial"/>
        </w:rPr>
        <w:t xml:space="preserve"> Activating an informed dialogue</w:t>
      </w:r>
      <w:bookmarkEnd w:id="320"/>
      <w:bookmarkEnd w:id="321"/>
    </w:p>
    <w:p w14:paraId="2DB70BA9" w14:textId="77777777" w:rsidR="008D54A7" w:rsidRPr="008D54A7" w:rsidRDefault="008D54A7" w:rsidP="008D54A7">
      <w:pPr>
        <w:rPr>
          <w:rFonts w:cs="Arial"/>
        </w:rPr>
      </w:pPr>
      <w:r w:rsidRPr="008D54A7">
        <w:rPr>
          <w:rFonts w:cs="Arial"/>
        </w:rPr>
        <w:t xml:space="preserve">Activating an informed dialogue is about impact. In part, this is about ensuring the insights and advice we provide at JSA are impactful and make a difference to a variety of users across governments, industry, education and training, and beyond. This means we have considered how our outputs, products and advice can have impact in the real world and have built this into project design. We seek to ensure that our work has the intended impact and reach by communicating in a way that enables broad understanding and meets stakeholder and user needs for our insights. </w:t>
      </w:r>
    </w:p>
    <w:p w14:paraId="62472989" w14:textId="4181546D" w:rsidR="008D54A7" w:rsidRPr="008D54A7" w:rsidRDefault="008D54A7" w:rsidP="008D54A7">
      <w:pPr>
        <w:rPr>
          <w:rFonts w:cs="Arial"/>
        </w:rPr>
      </w:pPr>
      <w:r w:rsidRPr="008D54A7">
        <w:rPr>
          <w:rFonts w:cs="Arial"/>
        </w:rPr>
        <w:t>Importantly, though, it’s also about the impact of others. It’s about enabling more voices to be part of the conversation about skills needs in Australia. This means that we give stakeholders a voice in how our products are developed and shaped. Our work is guided by the insights, expertise and involvement of others so we can better understand workforce and skills opportunities. This means that the advice we provide to government is better informed and grounded in the real world experience of our partners.</w:t>
      </w:r>
      <w:r w:rsidR="008C52B1">
        <w:rPr>
          <w:rFonts w:cs="Arial"/>
        </w:rPr>
        <w:t xml:space="preserve"> </w:t>
      </w:r>
    </w:p>
    <w:p w14:paraId="713CA43B" w14:textId="503AD1E3" w:rsidR="00DA5349" w:rsidRDefault="008D54A7" w:rsidP="00DA5349">
      <w:pPr>
        <w:rPr>
          <w:rFonts w:cs="Arial"/>
        </w:rPr>
      </w:pPr>
      <w:r w:rsidRPr="008D54A7">
        <w:rPr>
          <w:rFonts w:cs="Arial"/>
        </w:rPr>
        <w:t xml:space="preserve">Because we understand that the best advice considers a range of evidence and perspectives to reach a more holistic understanding of the issues, as well as better solutions, we have a strong focus on listening and collaboration. We value the unique experiences, opinions, skills, and qualities of others, and how these can enrich our work, and consider the full suite of evidence to formulate the best advice. We identify important connections between the work we do and the work of others, and how working together can improve outcomes and drive better results. </w:t>
      </w:r>
    </w:p>
    <w:p w14:paraId="44AF9267" w14:textId="61D987D3" w:rsidR="008D54A7" w:rsidRDefault="008D54A7" w:rsidP="008D54A7">
      <w:pPr>
        <w:rPr>
          <w:rFonts w:cs="Arial"/>
        </w:rPr>
      </w:pPr>
      <w:r w:rsidRPr="008D54A7">
        <w:rPr>
          <w:rFonts w:cs="Arial"/>
        </w:rPr>
        <w:t>It's why we have mechanisms such as the Ministerial Advisory Board, partnerships, and forums embedded into how we work to keep collaboration and tripartism at the centre of all that we do. It’s why we have an ‘always open’ hub for people to connect with us at any time. And it’s why JSA has a legislative remit to</w:t>
      </w:r>
      <w:r>
        <w:rPr>
          <w:rFonts w:cs="Arial"/>
        </w:rPr>
        <w:t>:</w:t>
      </w:r>
    </w:p>
    <w:p w14:paraId="66CAA838" w14:textId="5E590D2B" w:rsidR="000C146D" w:rsidRPr="000C146D" w:rsidRDefault="000C146D" w:rsidP="00DA5349">
      <w:pPr>
        <w:pStyle w:val="ListBullet"/>
        <w:spacing w:after="80"/>
      </w:pPr>
      <w:r w:rsidRPr="000C146D">
        <w:t>contribute to industry consultation forums</w:t>
      </w:r>
    </w:p>
    <w:p w14:paraId="07A45253" w14:textId="59201B08" w:rsidR="000C146D" w:rsidRPr="000C146D" w:rsidRDefault="000C146D" w:rsidP="00DA5349">
      <w:pPr>
        <w:pStyle w:val="ListBullet"/>
        <w:spacing w:after="80"/>
      </w:pPr>
      <w:r w:rsidRPr="000C146D">
        <w:t>inform the public about JSA’s advice, analysis, and work</w:t>
      </w:r>
    </w:p>
    <w:p w14:paraId="45F6F5CC" w14:textId="66420FEA" w:rsidR="000C146D" w:rsidRPr="000C146D" w:rsidRDefault="000C146D" w:rsidP="00DA5349">
      <w:pPr>
        <w:pStyle w:val="ListBullet"/>
        <w:spacing w:after="80"/>
      </w:pPr>
      <w:r w:rsidRPr="000C146D">
        <w:t>collect, analyse, share and publish data to inform policy development and program delivery</w:t>
      </w:r>
    </w:p>
    <w:p w14:paraId="2E405D11" w14:textId="195F36C5" w:rsidR="000C146D" w:rsidRPr="000C146D" w:rsidRDefault="000C146D" w:rsidP="00DA5349">
      <w:pPr>
        <w:pStyle w:val="ListBullet"/>
        <w:spacing w:after="80"/>
      </w:pPr>
      <w:r w:rsidRPr="000C146D">
        <w:t>consult and work with others on what we do</w:t>
      </w:r>
    </w:p>
    <w:p w14:paraId="60B6E408" w14:textId="56377201" w:rsidR="00AC2606" w:rsidRPr="00AC0957" w:rsidRDefault="000C146D" w:rsidP="00DA5349">
      <w:pPr>
        <w:pStyle w:val="ListBullet"/>
        <w:spacing w:after="80"/>
      </w:pPr>
      <w:r w:rsidRPr="000C146D">
        <w:t>publish the annual Jobs and Skills report on Australia’s current, emerging and future skills and training needs and priorities.</w:t>
      </w:r>
    </w:p>
    <w:p w14:paraId="45611C52" w14:textId="77777777" w:rsidR="00A06692" w:rsidRPr="00AC0957" w:rsidRDefault="00A06692" w:rsidP="00A06692">
      <w:pPr>
        <w:pBdr>
          <w:bottom w:val="single" w:sz="12" w:space="1" w:color="auto"/>
        </w:pBdr>
        <w:rPr>
          <w:rFonts w:cs="Arial"/>
        </w:rPr>
      </w:pPr>
    </w:p>
    <w:p w14:paraId="116D6DD5" w14:textId="77777777" w:rsidR="00AC2606" w:rsidRPr="00AC0957" w:rsidRDefault="00AC2606" w:rsidP="004F082D">
      <w:pPr>
        <w:pStyle w:val="Keythemes"/>
      </w:pPr>
      <w:r w:rsidRPr="00AC0957">
        <w:t>Key themes in this chapter:</w:t>
      </w:r>
    </w:p>
    <w:p w14:paraId="38542C67" w14:textId="77777777" w:rsidR="00630345" w:rsidRPr="00630345" w:rsidRDefault="00630345" w:rsidP="00630345">
      <w:pPr>
        <w:pStyle w:val="ListBullet"/>
      </w:pPr>
      <w:bookmarkStart w:id="322" w:name="_Toc179887426"/>
      <w:r w:rsidRPr="00630345">
        <w:t xml:space="preserve">Activating an informed dialogue on Australia’s emerging and future skills and workforce needs requires JSA to work collaboratively with our tripartite partners and other stakeholders. </w:t>
      </w:r>
    </w:p>
    <w:p w14:paraId="10384470" w14:textId="6D125ACE" w:rsidR="00630345" w:rsidRPr="00630345" w:rsidRDefault="00146913" w:rsidP="00630345">
      <w:pPr>
        <w:pStyle w:val="ListBullet"/>
      </w:pPr>
      <w:r>
        <w:t>C</w:t>
      </w:r>
      <w:r w:rsidR="00630345" w:rsidRPr="00630345">
        <w:t>onsultative and collaborative mechanisms such as our Ministerial Advisory Board, partnerships, and forums, are embedded into how we undertake our work.</w:t>
      </w:r>
    </w:p>
    <w:p w14:paraId="59A62812" w14:textId="7608F5BA" w:rsidR="00630345" w:rsidRPr="00630345" w:rsidRDefault="00146913" w:rsidP="00630345">
      <w:pPr>
        <w:pStyle w:val="ListBullet"/>
      </w:pPr>
      <w:r>
        <w:t>W</w:t>
      </w:r>
      <w:r w:rsidR="00630345" w:rsidRPr="00630345">
        <w:t>e consult widely on our key products and analysis and have dedicated channels to help us to listen and understand.</w:t>
      </w:r>
    </w:p>
    <w:p w14:paraId="565C1AE5" w14:textId="77777777" w:rsidR="00630345" w:rsidRPr="00630345" w:rsidRDefault="00630345" w:rsidP="00630345">
      <w:pPr>
        <w:pStyle w:val="ListBullet"/>
      </w:pPr>
      <w:r w:rsidRPr="00630345">
        <w:t xml:space="preserve">Our products have impact within government and beyond, and we are committed to ensuring the ongoing relevancy, currency, and meaning of our work. </w:t>
      </w:r>
    </w:p>
    <w:p w14:paraId="71978864" w14:textId="77777777" w:rsidR="00A06692" w:rsidRDefault="00A06692" w:rsidP="00AC2606">
      <w:pPr>
        <w:pStyle w:val="Heading2"/>
        <w:rPr>
          <w:rFonts w:cs="Arial"/>
        </w:rPr>
        <w:sectPr w:rsidR="00A06692" w:rsidSect="00934658">
          <w:headerReference w:type="default" r:id="rId127"/>
          <w:footerReference w:type="default" r:id="rId128"/>
          <w:headerReference w:type="first" r:id="rId129"/>
          <w:footerReference w:type="first" r:id="rId130"/>
          <w:pgSz w:w="11906" w:h="16838" w:code="9"/>
          <w:pgMar w:top="1276" w:right="1440" w:bottom="1134" w:left="1440" w:header="709" w:footer="709" w:gutter="0"/>
          <w:cols w:space="708"/>
          <w:titlePg/>
          <w:docGrid w:linePitch="360"/>
        </w:sectPr>
      </w:pPr>
    </w:p>
    <w:p w14:paraId="690DAD0D" w14:textId="77777777" w:rsidR="00AC2606" w:rsidRPr="00AC0957" w:rsidRDefault="00AC2606" w:rsidP="00AC2606">
      <w:pPr>
        <w:pStyle w:val="Heading2"/>
        <w:rPr>
          <w:rFonts w:cs="Arial"/>
        </w:rPr>
      </w:pPr>
      <w:bookmarkStart w:id="323" w:name="_Toc181371623"/>
      <w:r w:rsidRPr="00AC0957">
        <w:rPr>
          <w:rFonts w:cs="Arial"/>
        </w:rPr>
        <w:t>How we work</w:t>
      </w:r>
      <w:bookmarkEnd w:id="322"/>
      <w:bookmarkEnd w:id="323"/>
    </w:p>
    <w:p w14:paraId="2306BA32" w14:textId="77777777" w:rsidR="00C62FE9" w:rsidRPr="00C62FE9" w:rsidRDefault="00C62FE9" w:rsidP="00C62FE9">
      <w:pPr>
        <w:rPr>
          <w:rFonts w:eastAsia="Times New Roman" w:cs="Arial"/>
          <w:lang w:eastAsia="en-AU"/>
        </w:rPr>
      </w:pPr>
      <w:r w:rsidRPr="00C62FE9">
        <w:rPr>
          <w:rFonts w:eastAsia="Times New Roman" w:cs="Arial"/>
          <w:lang w:eastAsia="en-AU"/>
        </w:rPr>
        <w:t xml:space="preserve">JSA’s role is to engage, advise, and assist government and other stakeholders in decision-making on current, emerging and future skills and workforce needs. To do so, we work collaboratively with our key partners and other stakeholders to activate an informed dialogue, and to ensure our analysis and advice represents a diverse community and economy and meets the evolving needs of Australia’s labour market. </w:t>
      </w:r>
    </w:p>
    <w:p w14:paraId="4D22F5B3" w14:textId="2019160E" w:rsidR="00AC2606" w:rsidRPr="00AC0957" w:rsidRDefault="00C62FE9" w:rsidP="00C62FE9">
      <w:pPr>
        <w:rPr>
          <w:rFonts w:cs="Arial"/>
        </w:rPr>
      </w:pPr>
      <w:r w:rsidRPr="00C62FE9">
        <w:rPr>
          <w:rFonts w:eastAsia="Times New Roman" w:cs="Arial"/>
          <w:lang w:eastAsia="en-AU"/>
        </w:rPr>
        <w:t>Tripartism is key to how we work, and we undertake ongoing tripartite consultation through our Ministerial Advisory Board, engagement with Jobs and Skills Councils and project specific steering committees. Key forums are embedded into our governance structure to ensure tripartism is embedded in all that we do</w:t>
      </w:r>
      <w:r w:rsidR="00AC2606" w:rsidRPr="00AC0957">
        <w:rPr>
          <w:rFonts w:cs="Arial"/>
        </w:rPr>
        <w:t>.</w:t>
      </w:r>
      <w:r w:rsidR="008C52B1">
        <w:rPr>
          <w:rFonts w:cs="Arial"/>
        </w:rPr>
        <w:t xml:space="preserve"> </w:t>
      </w:r>
    </w:p>
    <w:p w14:paraId="5138C551" w14:textId="6374B998" w:rsidR="00AC2606" w:rsidRPr="00AC0957" w:rsidRDefault="00AC2606" w:rsidP="00AC2606">
      <w:pPr>
        <w:pStyle w:val="Heading3"/>
        <w:rPr>
          <w:rFonts w:cs="Arial"/>
        </w:rPr>
      </w:pPr>
      <w:bookmarkStart w:id="324" w:name="_Toc179887427"/>
      <w:bookmarkStart w:id="325" w:name="_Toc181371624"/>
      <w:r w:rsidRPr="00AC0957">
        <w:rPr>
          <w:rFonts w:cs="Arial"/>
        </w:rPr>
        <w:t>Ministerial Advisory Board</w:t>
      </w:r>
      <w:bookmarkEnd w:id="324"/>
      <w:bookmarkEnd w:id="325"/>
    </w:p>
    <w:p w14:paraId="017265BD" w14:textId="77777777" w:rsidR="00897B9E" w:rsidRPr="00897B9E" w:rsidRDefault="00897B9E" w:rsidP="00897B9E">
      <w:pPr>
        <w:rPr>
          <w:rFonts w:eastAsia="Times New Roman" w:cs="Arial"/>
          <w:lang w:eastAsia="en-AU"/>
        </w:rPr>
      </w:pPr>
      <w:r w:rsidRPr="00897B9E">
        <w:rPr>
          <w:rFonts w:eastAsia="Times New Roman" w:cs="Arial"/>
          <w:lang w:eastAsia="en-AU"/>
        </w:rPr>
        <w:t xml:space="preserve">JSA’s Ministerial Advisory Board (Advisory Board) was established by the Hon Brendan O'Connor MP, formerly Minister for Skills and Training, on 27 March 2024. The Advisory Board is chaired by Ms Cath Bowtell and provides expert, independent advice and insight to the JSA Commissioner and the Minister for Skills and Training on the performance of JSA’s legislated functions. </w:t>
      </w:r>
    </w:p>
    <w:p w14:paraId="1CB5A588" w14:textId="77777777" w:rsidR="00897B9E" w:rsidRPr="00897B9E" w:rsidRDefault="00897B9E" w:rsidP="00897B9E">
      <w:pPr>
        <w:rPr>
          <w:rFonts w:eastAsia="Times New Roman" w:cs="Arial"/>
          <w:lang w:eastAsia="en-AU"/>
        </w:rPr>
      </w:pPr>
      <w:r w:rsidRPr="00897B9E">
        <w:rPr>
          <w:rFonts w:eastAsia="Times New Roman" w:cs="Arial"/>
          <w:lang w:eastAsia="en-AU"/>
        </w:rPr>
        <w:t xml:space="preserve">The Advisory Board also ensures a voice for tripartite partners and other stakeholders in addressing skills, labour market and workforce development needs. In August 2024, the Advisory Board established the Education and Training Reference Group to provide advice on matters relating to tertiary education and its intersection with the performance and function of JSA. </w:t>
      </w:r>
    </w:p>
    <w:p w14:paraId="7F9C09C7" w14:textId="77777777" w:rsidR="00897B9E" w:rsidRPr="00897B9E" w:rsidRDefault="00897B9E" w:rsidP="00897B9E">
      <w:pPr>
        <w:rPr>
          <w:rFonts w:eastAsia="Times New Roman" w:cs="Arial"/>
          <w:lang w:eastAsia="en-AU"/>
        </w:rPr>
      </w:pPr>
      <w:r w:rsidRPr="00897B9E">
        <w:rPr>
          <w:rFonts w:eastAsia="Times New Roman" w:cs="Arial"/>
          <w:lang w:eastAsia="en-AU"/>
        </w:rPr>
        <w:t xml:space="preserve">A program of regular engagement has been agreed with a current, forward and rear view integrated into the Advisory Board work plan. This allows the Board to focus on providing strategic direction on JSA priorities and projects, including early input on scope of major projects. This also ensures that the Advisory Board supports the findings of JSA studies and can more widely distribute and promote them. </w:t>
      </w:r>
    </w:p>
    <w:p w14:paraId="2030058D" w14:textId="77777777" w:rsidR="00897B9E" w:rsidRPr="00897B9E" w:rsidRDefault="00897B9E" w:rsidP="00897B9E">
      <w:pPr>
        <w:rPr>
          <w:rFonts w:eastAsia="Times New Roman" w:cs="Arial"/>
          <w:lang w:eastAsia="en-AU"/>
        </w:rPr>
      </w:pPr>
      <w:r w:rsidRPr="00897B9E">
        <w:rPr>
          <w:rFonts w:eastAsia="Times New Roman" w:cs="Arial"/>
          <w:lang w:eastAsia="en-AU"/>
        </w:rPr>
        <w:t xml:space="preserve">Current initiatives informing the Advisory Board’s strategic discussions include the Employment White Paper, Migration Strategy, Future Made in Australia, Homes for Australia Plan, the care and support economy, clean energy and net zero transformation, digital transformation and the defence industry, the National Agreement on Closing the Gap, the Australian Disability Strategy, and the Working for Women National Gender Strategy. </w:t>
      </w:r>
    </w:p>
    <w:p w14:paraId="3E6FC13F" w14:textId="0FF93319" w:rsidR="00AC2606" w:rsidRPr="00AC0957" w:rsidRDefault="00897B9E" w:rsidP="00897B9E">
      <w:pPr>
        <w:rPr>
          <w:rFonts w:cs="Arial"/>
        </w:rPr>
      </w:pPr>
      <w:r w:rsidRPr="00897B9E">
        <w:rPr>
          <w:rFonts w:eastAsia="Times New Roman" w:cs="Arial"/>
          <w:lang w:eastAsia="en-AU"/>
        </w:rPr>
        <w:t>The Advisory Board is actively interested in the work of Jobs and Skills Councils, beginning a series of regular presentations to find out about research in their industries and the landscape of skills and employment in those industries</w:t>
      </w:r>
      <w:r w:rsidR="00AC2606" w:rsidRPr="00AC0957">
        <w:rPr>
          <w:rFonts w:cs="Arial"/>
        </w:rPr>
        <w:t>.</w:t>
      </w:r>
      <w:r w:rsidR="008C52B1">
        <w:rPr>
          <w:rFonts w:cs="Arial"/>
        </w:rPr>
        <w:t xml:space="preserve"> </w:t>
      </w:r>
    </w:p>
    <w:p w14:paraId="60555345" w14:textId="129D883B" w:rsidR="00AC2606" w:rsidRPr="00AC0957" w:rsidRDefault="00AC2606" w:rsidP="00AC2606">
      <w:pPr>
        <w:rPr>
          <w:rFonts w:cs="Arial"/>
        </w:rPr>
      </w:pPr>
      <w:bookmarkStart w:id="326" w:name="_Toc179887428"/>
      <w:bookmarkStart w:id="327" w:name="_Toc181371625"/>
      <w:r w:rsidRPr="00AC0957">
        <w:rPr>
          <w:rStyle w:val="Heading3Char"/>
          <w:rFonts w:cs="Arial"/>
        </w:rPr>
        <w:t xml:space="preserve">State and </w:t>
      </w:r>
      <w:r w:rsidR="00C5235F">
        <w:rPr>
          <w:rStyle w:val="Heading3Char"/>
          <w:rFonts w:cs="Arial"/>
        </w:rPr>
        <w:t>t</w:t>
      </w:r>
      <w:r w:rsidR="00796095" w:rsidRPr="00AC0957">
        <w:rPr>
          <w:rStyle w:val="Heading3Char"/>
          <w:rFonts w:cs="Arial"/>
        </w:rPr>
        <w:t xml:space="preserve">erritory </w:t>
      </w:r>
      <w:r w:rsidRPr="00AC0957">
        <w:rPr>
          <w:rStyle w:val="Heading3Char"/>
          <w:rFonts w:cs="Arial"/>
        </w:rPr>
        <w:t>partnership</w:t>
      </w:r>
      <w:bookmarkEnd w:id="326"/>
      <w:r w:rsidR="00796095">
        <w:rPr>
          <w:rStyle w:val="Heading3Char"/>
          <w:rFonts w:cs="Arial"/>
        </w:rPr>
        <w:t>s</w:t>
      </w:r>
      <w:bookmarkEnd w:id="327"/>
      <w:r w:rsidRPr="00AC0957">
        <w:rPr>
          <w:rFonts w:cs="Arial"/>
        </w:rPr>
        <w:t xml:space="preserve"> </w:t>
      </w:r>
    </w:p>
    <w:p w14:paraId="067AC6EB" w14:textId="77777777" w:rsidR="001D1ADA" w:rsidRPr="001D1ADA" w:rsidRDefault="001D1ADA" w:rsidP="001D1ADA">
      <w:pPr>
        <w:rPr>
          <w:rFonts w:eastAsia="Times New Roman" w:cs="Arial"/>
          <w:lang w:eastAsia="en-AU"/>
        </w:rPr>
      </w:pPr>
      <w:r w:rsidRPr="001D1ADA">
        <w:rPr>
          <w:rFonts w:eastAsia="Times New Roman" w:cs="Arial"/>
          <w:lang w:eastAsia="en-AU"/>
        </w:rPr>
        <w:t xml:space="preserve">JSA works closely and cooperatively with the states and territories to deliver our analysis and advice – including across regional labour markets. In addition to continued participation in existing arrangements such as the state and territory skills advisory bodies, National Cabinet’s Skills and Workforce Ministerial Council, and the Federated Industry Skills Network, JSA has established a State and Territory Partnership Forum to further drive collaboration. </w:t>
      </w:r>
    </w:p>
    <w:p w14:paraId="732663C2" w14:textId="4535E921" w:rsidR="00AC2606" w:rsidRPr="00AC0957" w:rsidRDefault="001D1ADA" w:rsidP="001D1ADA">
      <w:pPr>
        <w:rPr>
          <w:rFonts w:cs="Arial"/>
        </w:rPr>
      </w:pPr>
      <w:r w:rsidRPr="001D1ADA">
        <w:rPr>
          <w:rFonts w:eastAsia="Times New Roman" w:cs="Arial"/>
          <w:lang w:eastAsia="en-AU"/>
        </w:rPr>
        <w:t>Senior officials from all state and territory governments are members of the forum, and meet regularly to discuss specific issues, share information, provide input into projects and help build analytical capacity across jurisdictions. JSA has worked with states and territories to understand their data needs and provide insights on what the skills and employment landscape is indicating at a national level. This allows states, territories, and industry to take issues forward as relevant for their jurisdiction. For example, JSA’s analysis and advice on the skills and workforce needs of the Clean Energy workforce informed TAFE Centres of Excellence for electric vehicles in the ACT and clean energy in WA. Input from states and territories, including on their data and analysis, has also helped JSA to expand the evidence base and make continuous improvements to our data and analysis</w:t>
      </w:r>
      <w:r w:rsidR="00AC2606" w:rsidRPr="00AC0957">
        <w:rPr>
          <w:rFonts w:cs="Arial"/>
        </w:rPr>
        <w:t>.</w:t>
      </w:r>
      <w:r w:rsidR="008C52B1">
        <w:rPr>
          <w:rFonts w:cs="Arial"/>
        </w:rPr>
        <w:t xml:space="preserve"> </w:t>
      </w:r>
    </w:p>
    <w:p w14:paraId="347FB8F7" w14:textId="77777777" w:rsidR="00AC2606" w:rsidRPr="00AC0957" w:rsidRDefault="00AC2606" w:rsidP="00AC2606">
      <w:pPr>
        <w:pStyle w:val="Heading3"/>
        <w:rPr>
          <w:rFonts w:cs="Arial"/>
        </w:rPr>
      </w:pPr>
      <w:bookmarkStart w:id="328" w:name="_Toc179887430"/>
      <w:bookmarkStart w:id="329" w:name="_Toc181371626"/>
      <w:r w:rsidRPr="00AC0957">
        <w:rPr>
          <w:rFonts w:cs="Arial"/>
        </w:rPr>
        <w:t>Jobs and Skills Councils</w:t>
      </w:r>
      <w:bookmarkEnd w:id="328"/>
      <w:bookmarkEnd w:id="329"/>
    </w:p>
    <w:p w14:paraId="1C4624AB" w14:textId="77777777" w:rsidR="0082034C" w:rsidRPr="0082034C" w:rsidRDefault="0082034C" w:rsidP="0082034C">
      <w:pPr>
        <w:rPr>
          <w:rFonts w:cs="Arial"/>
        </w:rPr>
      </w:pPr>
      <w:r w:rsidRPr="0082034C">
        <w:rPr>
          <w:rFonts w:cs="Arial"/>
        </w:rPr>
        <w:t>Jobs and Skills Councils (JSCs) are not-for-profit companies that are industry-owned and industry-led. As part of a national network, there are 10 JSCs that provide leadership to address skills and workforce challenges for their industry.</w:t>
      </w:r>
    </w:p>
    <w:p w14:paraId="49F97AB4" w14:textId="77777777" w:rsidR="0082034C" w:rsidRPr="0082034C" w:rsidRDefault="0082034C" w:rsidP="0082034C">
      <w:pPr>
        <w:rPr>
          <w:rFonts w:cs="Arial"/>
        </w:rPr>
      </w:pPr>
      <w:r w:rsidRPr="0082034C">
        <w:rPr>
          <w:rFonts w:cs="Arial"/>
        </w:rPr>
        <w:t xml:space="preserve">JSCs have been established to provide industry with a stronger voice to ensure Australia’s vocational education and training sector delivers better outcomes for learners and employers. </w:t>
      </w:r>
    </w:p>
    <w:p w14:paraId="02E52948" w14:textId="6ACB63B8" w:rsidR="0082034C" w:rsidRPr="0082034C" w:rsidRDefault="0082034C" w:rsidP="0082034C">
      <w:pPr>
        <w:rPr>
          <w:rFonts w:cs="Arial"/>
        </w:rPr>
      </w:pPr>
      <w:r w:rsidRPr="0082034C">
        <w:rPr>
          <w:rFonts w:cs="Arial"/>
        </w:rPr>
        <w:t>JSA and the 10 JSCs are critical parts of Australia’s workforce and skills system architecture that fulfil separate but complementary roles (</w:t>
      </w:r>
      <w:r>
        <w:rPr>
          <w:rFonts w:cs="Arial"/>
        </w:rPr>
        <w:fldChar w:fldCharType="begin"/>
      </w:r>
      <w:r>
        <w:rPr>
          <w:rFonts w:cs="Arial"/>
        </w:rPr>
        <w:instrText xml:space="preserve"> REF _Ref179898643 \h </w:instrText>
      </w:r>
      <w:r>
        <w:rPr>
          <w:rFonts w:cs="Arial"/>
        </w:rPr>
      </w:r>
      <w:r>
        <w:rPr>
          <w:rFonts w:cs="Arial"/>
        </w:rPr>
        <w:fldChar w:fldCharType="separate"/>
      </w:r>
      <w:r w:rsidR="00C47A81">
        <w:t xml:space="preserve">Figure </w:t>
      </w:r>
      <w:r w:rsidR="00C47A81">
        <w:rPr>
          <w:noProof/>
        </w:rPr>
        <w:t>70</w:t>
      </w:r>
      <w:r>
        <w:rPr>
          <w:rFonts w:cs="Arial"/>
        </w:rPr>
        <w:fldChar w:fldCharType="end"/>
      </w:r>
      <w:r w:rsidRPr="0082034C">
        <w:rPr>
          <w:rFonts w:cs="Arial"/>
        </w:rPr>
        <w:t xml:space="preserve">). JSA has a broad remit to provide information, analysis, and advice on economy-wide labour market, workforce, skills and training needs and the performance of the national skills system. JSCs focus within their industry and bring together employers, unions and governments in a tripartite arrangement to find solutions to skills and workforce challenges. </w:t>
      </w:r>
    </w:p>
    <w:p w14:paraId="438C0C0B" w14:textId="2C6D5320" w:rsidR="00AC2606" w:rsidRPr="00AC0957" w:rsidRDefault="0082034C" w:rsidP="0082034C">
      <w:pPr>
        <w:rPr>
          <w:rFonts w:cs="Arial"/>
        </w:rPr>
      </w:pPr>
      <w:r w:rsidRPr="0082034C">
        <w:rPr>
          <w:rFonts w:cs="Arial"/>
        </w:rPr>
        <w:t>The Department of Employment and Workplace Relations (DEWR) works with JSA and JSCs to gain a ‘whole of economy’ view of the workforce</w:t>
      </w:r>
      <w:r w:rsidR="00AC2606" w:rsidRPr="00AC0957">
        <w:rPr>
          <w:rFonts w:cs="Arial"/>
        </w:rPr>
        <w:t xml:space="preserve">. </w:t>
      </w:r>
    </w:p>
    <w:p w14:paraId="0015E53E" w14:textId="7643838F" w:rsidR="00DE104F" w:rsidRDefault="00DE104F" w:rsidP="00DE104F">
      <w:pPr>
        <w:pStyle w:val="Caption"/>
      </w:pPr>
      <w:bookmarkStart w:id="330" w:name="_Ref179898643"/>
      <w:bookmarkStart w:id="331" w:name="_Toc181370372"/>
      <w:r>
        <w:t xml:space="preserve">Figure </w:t>
      </w:r>
      <w:r>
        <w:fldChar w:fldCharType="begin"/>
      </w:r>
      <w:r>
        <w:instrText xml:space="preserve"> SEQ Figure \* ARABIC </w:instrText>
      </w:r>
      <w:r>
        <w:fldChar w:fldCharType="separate"/>
      </w:r>
      <w:r w:rsidR="00C47A81">
        <w:rPr>
          <w:noProof/>
        </w:rPr>
        <w:t>70</w:t>
      </w:r>
      <w:r>
        <w:fldChar w:fldCharType="end"/>
      </w:r>
      <w:bookmarkEnd w:id="330"/>
      <w:r>
        <w:t xml:space="preserve">: </w:t>
      </w:r>
      <w:r w:rsidRPr="00781B86">
        <w:t>Role of DEWR, JSA and the JSCs</w:t>
      </w:r>
      <w:bookmarkEnd w:id="331"/>
    </w:p>
    <w:p w14:paraId="7567B194" w14:textId="319FD792" w:rsidR="00AC2606" w:rsidRPr="00AC0957" w:rsidRDefault="00AC2606" w:rsidP="00AC2606">
      <w:pPr>
        <w:jc w:val="center"/>
        <w:rPr>
          <w:rFonts w:cs="Arial"/>
          <w:noProof/>
        </w:rPr>
      </w:pPr>
      <w:r w:rsidRPr="00AC0957">
        <w:rPr>
          <w:rFonts w:cs="Arial"/>
          <w:noProof/>
        </w:rPr>
        <w:drawing>
          <wp:inline distT="0" distB="0" distL="0" distR="0" wp14:anchorId="2591943D" wp14:editId="043B3F43">
            <wp:extent cx="5731200" cy="3052800"/>
            <wp:effectExtent l="0" t="0" r="3175" b="0"/>
            <wp:docPr id="1598732383" name="Picture 1" descr="This figure shows the role of DEWR, JSA and the JSCs and how they work together to gain a whole of economy view of the workforce. It shows that JSA has a focus on workforce and skills and training needs, and provides independent research and advice to government. It shows key roles for DEWR as the skills and workforce policy owner, facilitating government connections, and as the JSC program owner. Finally it shows roles for JSCs in industry based workforce planning and training product develop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732383" name="Picture 1" descr="This figure shows the role of DEWR, JSA and the JSCs and how they work together to gain a whole of economy view of the workforce. It shows that JSA has a focus on workforce and skills and training needs, and provides independent research and advice to government. It shows key roles for DEWR as the skills and workforce policy owner, facilitating government connections, and as the JSC program owner. Finally it shows roles for JSCs in industry based workforce planning and training product development.  "/>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5731200" cy="3052800"/>
                    </a:xfrm>
                    <a:prstGeom prst="rect">
                      <a:avLst/>
                    </a:prstGeom>
                  </pic:spPr>
                </pic:pic>
              </a:graphicData>
            </a:graphic>
          </wp:inline>
        </w:drawing>
      </w:r>
    </w:p>
    <w:p w14:paraId="26147653" w14:textId="77777777" w:rsidR="00AC2606" w:rsidRPr="00AC0957" w:rsidRDefault="00AC2606" w:rsidP="00AC2606">
      <w:pPr>
        <w:rPr>
          <w:rFonts w:cs="Arial"/>
          <w:noProof/>
        </w:rPr>
      </w:pPr>
    </w:p>
    <w:p w14:paraId="7A0C15DB" w14:textId="236FDAEE" w:rsidR="00AC2606" w:rsidRPr="00AC0957" w:rsidRDefault="000F1464" w:rsidP="00FB1F74">
      <w:pPr>
        <w:keepLines/>
        <w:rPr>
          <w:rFonts w:cs="Arial"/>
        </w:rPr>
      </w:pPr>
      <w:r w:rsidRPr="000F1464">
        <w:rPr>
          <w:rFonts w:eastAsia="Times New Roman" w:cs="Arial"/>
          <w:lang w:eastAsia="en-AU"/>
        </w:rPr>
        <w:t>JSA works closely with JSCs as collaborative partners, working through the established DEWR JSC CEO forum. This partnership is two-way, with JSCs bringing the on-the-ground experience and expertise of industry to our economy-wide data and outlook. JSA is also committed to providing JSCs with access to data and analysis that enhances and supports their activities, including providing advice on how our data can be used to support workforce planning activities</w:t>
      </w:r>
      <w:r w:rsidR="00AC2606" w:rsidRPr="00AC0957">
        <w:rPr>
          <w:rFonts w:cs="Arial"/>
        </w:rPr>
        <w:t>.</w:t>
      </w:r>
    </w:p>
    <w:p w14:paraId="3CAF6C3E" w14:textId="77777777" w:rsidR="00AC2606" w:rsidRPr="00AC0957" w:rsidRDefault="00AC2606" w:rsidP="00AC2606">
      <w:pPr>
        <w:pStyle w:val="Heading4"/>
        <w:rPr>
          <w:noProof/>
          <w:lang w:val="en-GB"/>
        </w:rPr>
      </w:pPr>
      <w:r w:rsidRPr="00AC0957">
        <w:rPr>
          <w:noProof/>
          <w:lang w:val="en-GB"/>
        </w:rPr>
        <w:t>JSC workforce planning</w:t>
      </w:r>
    </w:p>
    <w:p w14:paraId="761B4F5A" w14:textId="77777777" w:rsidR="00783D65" w:rsidRPr="00783D65" w:rsidRDefault="00783D65" w:rsidP="008D25F0">
      <w:pPr>
        <w:rPr>
          <w:noProof/>
          <w:lang w:val="en-GB"/>
        </w:rPr>
      </w:pPr>
      <w:r w:rsidRPr="00783D65">
        <w:rPr>
          <w:noProof/>
          <w:lang w:val="en-GB"/>
        </w:rPr>
        <w:t xml:space="preserve">Workforce planning is a key strategic function of JSCs. It involves developing an in-depth understanding of Australia’s current, emerging, and future workforce challenges and opportunities (including skills gaps and shortages) for all sectors within a JSC’s remit, and developing advice and strategies to address the challenges and take advantage of the opportunities. </w:t>
      </w:r>
    </w:p>
    <w:p w14:paraId="77DEA27D" w14:textId="1281069D" w:rsidR="00AC2606" w:rsidRPr="00AC0957" w:rsidRDefault="00783D65" w:rsidP="008D25F0">
      <w:pPr>
        <w:rPr>
          <w:noProof/>
          <w:lang w:val="en-GB"/>
        </w:rPr>
      </w:pPr>
      <w:r w:rsidRPr="00783D65">
        <w:rPr>
          <w:noProof/>
          <w:lang w:val="en-GB"/>
        </w:rPr>
        <w:t>JSA, DEWR, and JSCs work together (</w:t>
      </w:r>
      <w:r>
        <w:rPr>
          <w:noProof/>
          <w:lang w:val="en-GB"/>
        </w:rPr>
        <w:fldChar w:fldCharType="begin"/>
      </w:r>
      <w:r>
        <w:rPr>
          <w:noProof/>
          <w:lang w:val="en-GB"/>
        </w:rPr>
        <w:instrText xml:space="preserve"> REF _Ref179898650 \h </w:instrText>
      </w:r>
      <w:r w:rsidR="008D25F0">
        <w:rPr>
          <w:noProof/>
          <w:lang w:val="en-GB"/>
        </w:rPr>
        <w:instrText xml:space="preserve"> \* MERGEFORMAT </w:instrText>
      </w:r>
      <w:r>
        <w:rPr>
          <w:noProof/>
          <w:lang w:val="en-GB"/>
        </w:rPr>
      </w:r>
      <w:r>
        <w:rPr>
          <w:noProof/>
          <w:lang w:val="en-GB"/>
        </w:rPr>
        <w:fldChar w:fldCharType="separate"/>
      </w:r>
      <w:r w:rsidR="00C47A81">
        <w:t xml:space="preserve">Figure </w:t>
      </w:r>
      <w:r w:rsidR="00C47A81">
        <w:rPr>
          <w:noProof/>
        </w:rPr>
        <w:t>71</w:t>
      </w:r>
      <w:r>
        <w:rPr>
          <w:noProof/>
          <w:lang w:val="en-GB"/>
        </w:rPr>
        <w:fldChar w:fldCharType="end"/>
      </w:r>
      <w:r w:rsidRPr="00783D65">
        <w:rPr>
          <w:noProof/>
          <w:lang w:val="en-GB"/>
        </w:rPr>
        <w:t>) in the development of workforce plans, with a key role for JSA in providing national data as well as technical guidance</w:t>
      </w:r>
      <w:r w:rsidR="00AC2606" w:rsidRPr="00AC0957">
        <w:rPr>
          <w:noProof/>
          <w:lang w:val="en-GB"/>
        </w:rPr>
        <w:t xml:space="preserve">. </w:t>
      </w:r>
    </w:p>
    <w:p w14:paraId="7103D8EC" w14:textId="4C0B88D2" w:rsidR="0066637C" w:rsidRDefault="0066637C" w:rsidP="0066637C">
      <w:pPr>
        <w:pStyle w:val="Caption"/>
      </w:pPr>
      <w:bookmarkStart w:id="332" w:name="_Ref179898650"/>
      <w:bookmarkStart w:id="333" w:name="_Toc181370373"/>
      <w:r>
        <w:t xml:space="preserve">Figure </w:t>
      </w:r>
      <w:r>
        <w:fldChar w:fldCharType="begin"/>
      </w:r>
      <w:r>
        <w:instrText xml:space="preserve"> SEQ Figure \* ARABIC </w:instrText>
      </w:r>
      <w:r>
        <w:fldChar w:fldCharType="separate"/>
      </w:r>
      <w:r w:rsidR="00C47A81">
        <w:rPr>
          <w:noProof/>
        </w:rPr>
        <w:t>71</w:t>
      </w:r>
      <w:r>
        <w:fldChar w:fldCharType="end"/>
      </w:r>
      <w:bookmarkEnd w:id="332"/>
      <w:r>
        <w:t xml:space="preserve">: </w:t>
      </w:r>
      <w:r w:rsidR="00783D65">
        <w:t>JSC workforce planning</w:t>
      </w:r>
      <w:bookmarkEnd w:id="333"/>
    </w:p>
    <w:p w14:paraId="03F443E0" w14:textId="77777777" w:rsidR="00AC2606" w:rsidRPr="00AC0957" w:rsidRDefault="00AC2606" w:rsidP="00AC2606">
      <w:pPr>
        <w:jc w:val="center"/>
        <w:rPr>
          <w:rFonts w:cs="Arial"/>
          <w:noProof/>
          <w:lang w:val="en-GB"/>
        </w:rPr>
      </w:pPr>
      <w:r w:rsidRPr="00AC0957">
        <w:rPr>
          <w:rFonts w:cs="Arial"/>
          <w:noProof/>
          <w:lang w:val="en-GB"/>
        </w:rPr>
        <w:drawing>
          <wp:inline distT="0" distB="0" distL="0" distR="0" wp14:anchorId="1AF34FD0" wp14:editId="4B579C6C">
            <wp:extent cx="5731200" cy="1526400"/>
            <wp:effectExtent l="0" t="0" r="3175" b="0"/>
            <wp:docPr id="572648876" name="Picture 1" descr="This figure shows the role of DEWR, JSA and the JSCs and how they work together to gain a whole of economy view of the workforce. It shows that JSA has a focus on workforce and skills and training needs, and provides independent research and advice to government. It shows key roles for DEWR as the skills and workforce policy owner, facilitating government connections, and as the JSC program owner. Finally it shows roles for JSCs in industry based workforce planning and training product develop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648876" name="Picture 1" descr="This figure shows the role of DEWR, JSA and the JSCs and how they work together to gain a whole of economy view of the workforce. It shows that JSA has a focus on workforce and skills and training needs, and provides independent research and advice to government. It shows key roles for DEWR as the skills and workforce policy owner, facilitating government connections, and as the JSC program owner. Finally it shows roles for JSCs in industry based workforce planning and training product development.  "/>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5731200" cy="1526400"/>
                    </a:xfrm>
                    <a:prstGeom prst="rect">
                      <a:avLst/>
                    </a:prstGeom>
                  </pic:spPr>
                </pic:pic>
              </a:graphicData>
            </a:graphic>
          </wp:inline>
        </w:drawing>
      </w:r>
    </w:p>
    <w:p w14:paraId="190BAB38" w14:textId="77777777" w:rsidR="00250544" w:rsidRDefault="00250544" w:rsidP="008D25F0">
      <w:pPr>
        <w:rPr>
          <w:lang w:val="en-US"/>
        </w:rPr>
      </w:pPr>
    </w:p>
    <w:p w14:paraId="55AEC041" w14:textId="7AF4B689" w:rsidR="00C438A9" w:rsidRPr="00C438A9" w:rsidRDefault="00C438A9" w:rsidP="008D25F0">
      <w:pPr>
        <w:rPr>
          <w:lang w:val="en-US"/>
        </w:rPr>
      </w:pPr>
      <w:r w:rsidRPr="00C438A9">
        <w:rPr>
          <w:lang w:val="en-US"/>
        </w:rPr>
        <w:t xml:space="preserve">Across the published JSC workforce plans, common themes have arisen, including the need for addressing regional and rural employment with respect to various sectors, and key crosscutting megatrends such as the rise in the need for digital skills. A key theme is the need to increase workforce diversity and remove barriers to participation for under-represented cohorts, including women, First Nations persons, migrants, and people with disability. </w:t>
      </w:r>
    </w:p>
    <w:p w14:paraId="43BBC9BE" w14:textId="2C126F48" w:rsidR="00AC2606" w:rsidRPr="00AC0957" w:rsidRDefault="00C438A9" w:rsidP="008D25F0">
      <w:pPr>
        <w:rPr>
          <w:lang w:val="en-US"/>
        </w:rPr>
      </w:pPr>
      <w:r w:rsidRPr="00C438A9">
        <w:rPr>
          <w:lang w:val="en-US"/>
        </w:rPr>
        <w:t>JSA supports the understanding and analysis of this aspect of workforce planning by providing data on under-represented cohorts including the undertaking of specific cohort-focused studies. While each dimension of diversity is generally treated in isolation, ongoing research is being undertaken to understand the combined effect of different dimensions of diversity, which could be used to support future workforce plans</w:t>
      </w:r>
      <w:r w:rsidR="00AC2606" w:rsidRPr="00AC0957">
        <w:t xml:space="preserve">. </w:t>
      </w:r>
    </w:p>
    <w:p w14:paraId="1637504C" w14:textId="77777777" w:rsidR="00AC2606" w:rsidRPr="00AC0957" w:rsidRDefault="00AC2606" w:rsidP="00AC2606">
      <w:pPr>
        <w:pStyle w:val="Heading4"/>
      </w:pPr>
      <w:r w:rsidRPr="00AC0957">
        <w:t>Capacity studies</w:t>
      </w:r>
    </w:p>
    <w:p w14:paraId="578F0B0A" w14:textId="77777777" w:rsidR="00EC42F2" w:rsidRPr="00EC42F2" w:rsidRDefault="00EC42F2" w:rsidP="008D25F0">
      <w:pPr>
        <w:rPr>
          <w:lang w:eastAsia="en-AU"/>
        </w:rPr>
      </w:pPr>
      <w:r w:rsidRPr="00EC42F2">
        <w:rPr>
          <w:lang w:eastAsia="en-AU"/>
        </w:rPr>
        <w:t xml:space="preserve">JSA’s capacity study projects are a key example of a partnership approach with JSCs. Demonstrating tripartism in action, our ECEC capacity study was undertaken in partnership with HumanAbility (the JSC responsible for the health and human services, aged and disability, children’s education and care, and sports and recreation industries). </w:t>
      </w:r>
    </w:p>
    <w:p w14:paraId="25A7680F" w14:textId="77777777" w:rsidR="00EC42F2" w:rsidRPr="00EC42F2" w:rsidRDefault="00EC42F2" w:rsidP="008D25F0">
      <w:pPr>
        <w:rPr>
          <w:lang w:eastAsia="en-AU"/>
        </w:rPr>
      </w:pPr>
      <w:r w:rsidRPr="00EC42F2">
        <w:rPr>
          <w:lang w:eastAsia="en-AU"/>
        </w:rPr>
        <w:t>The study was also supported by an expert steering group of 37 members from the sector and state and territory representatives. The report’s findings and recommendations will support HumanAbility and other stakeholders to identify workforce challenges and inform practical actions to overcome them.</w:t>
      </w:r>
    </w:p>
    <w:p w14:paraId="7BF1F66F" w14:textId="224FD0BB" w:rsidR="00AC2606" w:rsidRPr="00AC0957" w:rsidRDefault="00EC42F2" w:rsidP="008D25F0">
      <w:pPr>
        <w:rPr>
          <w:rFonts w:cs="Arial"/>
        </w:rPr>
      </w:pPr>
      <w:r w:rsidRPr="00EC42F2">
        <w:rPr>
          <w:rFonts w:eastAsia="Times New Roman" w:cs="Arial"/>
          <w:lang w:eastAsia="en-AU"/>
        </w:rPr>
        <w:t>Our food supply chain capacity study looked across multiple sectors and was delivered with the support of 3 JSCs: Skills Insight, Manufacturing Industry Skills Alliance and Industry Skills Australia. By working together, we were able to look at the workforce challenges shared by these sectors and develop cross-cutting opportunities for the food supply chain. This study was also supported by an expert advisory group with members from industry, unions, JSCs and the higher education sector, along with state and territory government stakeholders and a wide range of academic experts</w:t>
      </w:r>
      <w:r w:rsidR="00AC2606" w:rsidRPr="00AC0957">
        <w:rPr>
          <w:rFonts w:cs="Arial"/>
        </w:rPr>
        <w:t>.</w:t>
      </w:r>
    </w:p>
    <w:p w14:paraId="0C87FCDC" w14:textId="77777777" w:rsidR="00AC2606" w:rsidRPr="00AC0957" w:rsidRDefault="00AC2606" w:rsidP="00AC2606">
      <w:pPr>
        <w:pStyle w:val="Heading4"/>
      </w:pPr>
      <w:r w:rsidRPr="00AC0957">
        <w:t xml:space="preserve">The contribution of JSCs </w:t>
      </w:r>
    </w:p>
    <w:p w14:paraId="474FAAEA" w14:textId="2ED3E13D" w:rsidR="008D25F0" w:rsidRPr="008D25F0" w:rsidRDefault="008D25F0" w:rsidP="008D25F0">
      <w:r w:rsidRPr="008D25F0">
        <w:t xml:space="preserve">JSCs have provided critical input into the development of a number of JSA’s key products and analysis. JSCs also support JSA by communicating industry-sector intelligence to support the development of two of our key legislated deliverables, the annual </w:t>
      </w:r>
      <w:r w:rsidR="00B528D0">
        <w:t>w</w:t>
      </w:r>
      <w:r w:rsidRPr="008D25F0">
        <w:t>ork</w:t>
      </w:r>
      <w:r w:rsidR="00B528D0">
        <w:t xml:space="preserve"> </w:t>
      </w:r>
      <w:r w:rsidRPr="008D25F0">
        <w:t xml:space="preserve">plan and the Jobs and Skills Report. </w:t>
      </w:r>
    </w:p>
    <w:p w14:paraId="03674467" w14:textId="533502D2" w:rsidR="00AC2606" w:rsidRDefault="008D25F0" w:rsidP="008D25F0">
      <w:r w:rsidRPr="008D25F0">
        <w:t>JSA will continue to undertake collaboration with JSCs in order to strengthen tripartite input into the national evidence base and facilitate the JSCs role in determining sectoral workforce needs through industry insights. This includes continued partnerships to identify workforce and training data and evidence gaps and ways to address them over time, and capability-building exercises to ensure the strength, currency, and integrity of how our data is used to build the evidence base</w:t>
      </w:r>
      <w:r w:rsidR="00AC2606" w:rsidRPr="00AC0957">
        <w:t>.</w:t>
      </w:r>
      <w:r w:rsidR="008C52B1">
        <w:t xml:space="preserve"> </w:t>
      </w:r>
    </w:p>
    <w:p w14:paraId="6A6114ED" w14:textId="6E7852FF" w:rsidR="003563B8" w:rsidRPr="00AC0957" w:rsidRDefault="003563B8" w:rsidP="003563B8">
      <w:pPr>
        <w:pStyle w:val="Heading3"/>
        <w:rPr>
          <w:rFonts w:cs="Arial"/>
        </w:rPr>
      </w:pPr>
      <w:bookmarkStart w:id="334" w:name="_Toc181371627"/>
      <w:r w:rsidRPr="00AC0957">
        <w:rPr>
          <w:rFonts w:cs="Arial"/>
        </w:rPr>
        <w:t xml:space="preserve">Commonwealth </w:t>
      </w:r>
      <w:r w:rsidR="00346D1C">
        <w:rPr>
          <w:rFonts w:cs="Arial"/>
        </w:rPr>
        <w:t>I</w:t>
      </w:r>
      <w:r w:rsidRPr="00AC0957">
        <w:rPr>
          <w:rFonts w:cs="Arial"/>
        </w:rPr>
        <w:t xml:space="preserve">nterdepartmental </w:t>
      </w:r>
      <w:r w:rsidR="00346D1C">
        <w:rPr>
          <w:rFonts w:cs="Arial"/>
        </w:rPr>
        <w:t>C</w:t>
      </w:r>
      <w:r w:rsidRPr="00AC0957">
        <w:rPr>
          <w:rFonts w:cs="Arial"/>
        </w:rPr>
        <w:t>ommittee</w:t>
      </w:r>
      <w:bookmarkEnd w:id="334"/>
      <w:r w:rsidRPr="00AC0957">
        <w:rPr>
          <w:rFonts w:cs="Arial"/>
        </w:rPr>
        <w:t xml:space="preserve"> </w:t>
      </w:r>
    </w:p>
    <w:p w14:paraId="0BC28C1E" w14:textId="6663A5A0" w:rsidR="00EE7613" w:rsidRPr="00EE7613" w:rsidRDefault="00EE7613" w:rsidP="00EE7613">
      <w:pPr>
        <w:rPr>
          <w:rFonts w:cs="Arial"/>
        </w:rPr>
      </w:pPr>
      <w:r w:rsidRPr="00EE7613">
        <w:rPr>
          <w:rFonts w:cs="Arial"/>
        </w:rPr>
        <w:t xml:space="preserve">To provide a key connection for </w:t>
      </w:r>
      <w:r w:rsidR="003F478E">
        <w:rPr>
          <w:rFonts w:cs="Arial"/>
        </w:rPr>
        <w:t xml:space="preserve">Australian </w:t>
      </w:r>
      <w:r w:rsidR="000255EA">
        <w:rPr>
          <w:rFonts w:cs="Arial"/>
        </w:rPr>
        <w:t>G</w:t>
      </w:r>
      <w:r w:rsidR="003F478E">
        <w:rPr>
          <w:rFonts w:cs="Arial"/>
        </w:rPr>
        <w:t>overnment</w:t>
      </w:r>
      <w:r w:rsidRPr="00EE7613">
        <w:rPr>
          <w:rFonts w:cs="Arial"/>
        </w:rPr>
        <w:t xml:space="preserve"> agencies to input into JSA’s work plan development, data assets and key priorities, we have established a Commonwealth Interdepartmental Committee (IDC). The committee builds on existing engagement mechanisms and adopts an evidence-based approach across government agencies to support key government outcomes and priorities for jobs and skills.</w:t>
      </w:r>
    </w:p>
    <w:p w14:paraId="4186138B" w14:textId="1696E235" w:rsidR="00EE7613" w:rsidRPr="00EE7613" w:rsidRDefault="00EE7613" w:rsidP="00EE7613">
      <w:pPr>
        <w:rPr>
          <w:rFonts w:cs="Arial"/>
        </w:rPr>
      </w:pPr>
      <w:r w:rsidRPr="00EE7613">
        <w:rPr>
          <w:rFonts w:cs="Arial"/>
        </w:rPr>
        <w:t xml:space="preserve">JSA’s work with IDC members has provided an opportunity for </w:t>
      </w:r>
      <w:r w:rsidR="003F478E">
        <w:rPr>
          <w:rFonts w:cs="Arial"/>
        </w:rPr>
        <w:t xml:space="preserve">Australian </w:t>
      </w:r>
      <w:r w:rsidR="000255EA">
        <w:rPr>
          <w:rFonts w:cs="Arial"/>
        </w:rPr>
        <w:t>G</w:t>
      </w:r>
      <w:r w:rsidR="003F478E">
        <w:rPr>
          <w:rFonts w:cs="Arial"/>
        </w:rPr>
        <w:t>overnment</w:t>
      </w:r>
      <w:r w:rsidRPr="00EE7613">
        <w:rPr>
          <w:rFonts w:cs="Arial"/>
        </w:rPr>
        <w:t xml:space="preserve"> agencies to collaborate on shared areas of interest and to understand the strategic implications of emerging insights from JSA’s labour market and skills analysis work. Together we have explored evidence bases and ways to address data gaps, including through data sharing, as well as potential partnership opportunities across agencies and stakeholders. </w:t>
      </w:r>
    </w:p>
    <w:p w14:paraId="4FA8A19F" w14:textId="77777777" w:rsidR="00EE7613" w:rsidRPr="00EE7613" w:rsidRDefault="00EE7613" w:rsidP="00EE7613">
      <w:pPr>
        <w:rPr>
          <w:rFonts w:cs="Arial"/>
        </w:rPr>
      </w:pPr>
      <w:r w:rsidRPr="00EE7613">
        <w:rPr>
          <w:rFonts w:cs="Arial"/>
        </w:rPr>
        <w:t xml:space="preserve">The forum enables the delivery of evidence-based policy across multiple portfolios – with particular value to the skills and migration portfolios. It has provided an important point of connection for the ongoing reform processes across VET, higher education, and migration – and collaboration on the development of the regional jobs and skills roadmap. </w:t>
      </w:r>
    </w:p>
    <w:p w14:paraId="646C0CE8" w14:textId="5B0968B1" w:rsidR="003563B8" w:rsidRPr="00AC0957" w:rsidRDefault="00EE7613" w:rsidP="00EE7613">
      <w:pPr>
        <w:rPr>
          <w:rFonts w:cs="Arial"/>
        </w:rPr>
      </w:pPr>
      <w:r w:rsidRPr="00EE7613">
        <w:rPr>
          <w:rFonts w:cs="Arial"/>
        </w:rPr>
        <w:t xml:space="preserve">The IDC has also provided a mechanism </w:t>
      </w:r>
      <w:r w:rsidR="003F478E">
        <w:rPr>
          <w:rFonts w:cs="Arial"/>
        </w:rPr>
        <w:t xml:space="preserve">for Australian </w:t>
      </w:r>
      <w:r w:rsidR="000255EA">
        <w:rPr>
          <w:rFonts w:cs="Arial"/>
        </w:rPr>
        <w:t>G</w:t>
      </w:r>
      <w:r w:rsidR="003F478E">
        <w:rPr>
          <w:rFonts w:cs="Arial"/>
        </w:rPr>
        <w:t>overnment</w:t>
      </w:r>
      <w:r w:rsidRPr="00EE7613">
        <w:rPr>
          <w:rFonts w:cs="Arial"/>
        </w:rPr>
        <w:t xml:space="preserve"> agencies to input into JSA’s work plan development, including to inform key priorities and potential commissioning of future capacity, cohort, and other major studies or strategic advice</w:t>
      </w:r>
      <w:r w:rsidR="003563B8" w:rsidRPr="00AC0957">
        <w:rPr>
          <w:rFonts w:cs="Arial"/>
        </w:rPr>
        <w:t>. </w:t>
      </w:r>
    </w:p>
    <w:p w14:paraId="2BB7C74F" w14:textId="77777777" w:rsidR="00AC2606" w:rsidRPr="00AC0957" w:rsidRDefault="00AC2606" w:rsidP="00AC2606">
      <w:pPr>
        <w:pStyle w:val="Heading2"/>
        <w:rPr>
          <w:rFonts w:cs="Arial"/>
        </w:rPr>
      </w:pPr>
      <w:bookmarkStart w:id="335" w:name="_Toc179887431"/>
      <w:bookmarkStart w:id="336" w:name="_Toc181371628"/>
      <w:r w:rsidRPr="00AC0957">
        <w:rPr>
          <w:rFonts w:cs="Arial"/>
        </w:rPr>
        <w:t>How we listen</w:t>
      </w:r>
      <w:bookmarkEnd w:id="335"/>
      <w:bookmarkEnd w:id="336"/>
    </w:p>
    <w:p w14:paraId="79D0FF74" w14:textId="77777777" w:rsidR="004B7838" w:rsidRPr="004B7838" w:rsidRDefault="004B7838" w:rsidP="004B7838">
      <w:pPr>
        <w:rPr>
          <w:rFonts w:cs="Arial"/>
        </w:rPr>
      </w:pPr>
      <w:r w:rsidRPr="004B7838">
        <w:rPr>
          <w:rFonts w:cs="Arial"/>
        </w:rPr>
        <w:t xml:space="preserve">A key part of ongoing dialogue with our stakeholders is listening to understand. We listen to and work with others to ensure our advice is accurate, timely, and fit for purpose. To help ensure our stakeholders can engage with us on our work, we share information about engagement opportunities and are upfront about the scope, purpose and nature of that engagement. </w:t>
      </w:r>
    </w:p>
    <w:p w14:paraId="61E4FE86" w14:textId="77777777" w:rsidR="004B7838" w:rsidRPr="004B7838" w:rsidRDefault="004B7838" w:rsidP="004B7838">
      <w:pPr>
        <w:rPr>
          <w:rFonts w:cs="Arial"/>
        </w:rPr>
      </w:pPr>
      <w:r w:rsidRPr="004B7838">
        <w:rPr>
          <w:rFonts w:cs="Arial"/>
        </w:rPr>
        <w:t xml:space="preserve">We also demonstrate our commitment to transparency by actively sharing our work, and communicating our priorities and work program, including how stakeholder feedback and engagement has informed and impacted our work. This includes transparency in our research design and methodology. </w:t>
      </w:r>
    </w:p>
    <w:p w14:paraId="7D652BE5" w14:textId="3A18697B" w:rsidR="00AC2606" w:rsidRPr="00AC0957" w:rsidRDefault="004B7838" w:rsidP="00B81D14">
      <w:pPr>
        <w:keepNext/>
        <w:keepLines/>
        <w:rPr>
          <w:rFonts w:cs="Arial"/>
        </w:rPr>
      </w:pPr>
      <w:r w:rsidRPr="004B7838">
        <w:rPr>
          <w:rFonts w:cs="Arial"/>
        </w:rPr>
        <w:t xml:space="preserve">Our engagement is informed and guided by the following principles, outlined in our Engagement and Outreach Strategy </w:t>
      </w:r>
      <w:r w:rsidR="00AC2606" w:rsidRPr="00AC0957">
        <w:rPr>
          <w:rFonts w:cs="Arial"/>
        </w:rPr>
        <w:t>(</w:t>
      </w:r>
      <w:r w:rsidR="000B055E">
        <w:rPr>
          <w:rFonts w:cs="Arial"/>
        </w:rPr>
        <w:fldChar w:fldCharType="begin"/>
      </w:r>
      <w:r w:rsidR="000B055E">
        <w:rPr>
          <w:rFonts w:cs="Arial"/>
        </w:rPr>
        <w:instrText xml:space="preserve"> REF _Ref179898657 \h </w:instrText>
      </w:r>
      <w:r w:rsidR="000B055E">
        <w:rPr>
          <w:rFonts w:cs="Arial"/>
        </w:rPr>
      </w:r>
      <w:r w:rsidR="000B055E">
        <w:rPr>
          <w:rFonts w:cs="Arial"/>
        </w:rPr>
        <w:fldChar w:fldCharType="separate"/>
      </w:r>
      <w:r w:rsidR="00C47A81">
        <w:t xml:space="preserve">Figure </w:t>
      </w:r>
      <w:r w:rsidR="00C47A81">
        <w:rPr>
          <w:noProof/>
        </w:rPr>
        <w:t>72</w:t>
      </w:r>
      <w:r w:rsidR="000B055E">
        <w:rPr>
          <w:rFonts w:cs="Arial"/>
        </w:rPr>
        <w:fldChar w:fldCharType="end"/>
      </w:r>
      <w:r w:rsidR="00AC2606" w:rsidRPr="00AC0957">
        <w:rPr>
          <w:rFonts w:cs="Arial"/>
        </w:rPr>
        <w:t xml:space="preserve">): </w:t>
      </w:r>
    </w:p>
    <w:p w14:paraId="20605682" w14:textId="7F1CABBC" w:rsidR="00F16099" w:rsidRDefault="00F16099" w:rsidP="00F16099">
      <w:pPr>
        <w:pStyle w:val="Caption"/>
      </w:pPr>
      <w:bookmarkStart w:id="337" w:name="_Ref179898657"/>
      <w:bookmarkStart w:id="338" w:name="_Toc181370374"/>
      <w:r>
        <w:t xml:space="preserve">Figure </w:t>
      </w:r>
      <w:r>
        <w:fldChar w:fldCharType="begin"/>
      </w:r>
      <w:r>
        <w:instrText xml:space="preserve"> SEQ Figure \* ARABIC </w:instrText>
      </w:r>
      <w:r>
        <w:fldChar w:fldCharType="separate"/>
      </w:r>
      <w:r w:rsidR="00C47A81">
        <w:rPr>
          <w:noProof/>
        </w:rPr>
        <w:t>72</w:t>
      </w:r>
      <w:r>
        <w:fldChar w:fldCharType="end"/>
      </w:r>
      <w:bookmarkEnd w:id="337"/>
      <w:r>
        <w:t xml:space="preserve">: </w:t>
      </w:r>
      <w:r w:rsidRPr="00127D7C">
        <w:t>Our engagement principles</w:t>
      </w:r>
      <w:bookmarkEnd w:id="338"/>
    </w:p>
    <w:p w14:paraId="39EDB68B" w14:textId="77777777" w:rsidR="00AC2606" w:rsidRPr="00AC0957" w:rsidRDefault="00AC2606" w:rsidP="00AC2606">
      <w:pPr>
        <w:jc w:val="center"/>
        <w:rPr>
          <w:rFonts w:cs="Arial"/>
        </w:rPr>
      </w:pPr>
      <w:r w:rsidRPr="00AC0957">
        <w:rPr>
          <w:rFonts w:cs="Arial"/>
          <w:noProof/>
        </w:rPr>
        <w:drawing>
          <wp:inline distT="0" distB="0" distL="0" distR="0" wp14:anchorId="3AE6FF1D" wp14:editId="70DF8E00">
            <wp:extent cx="5731200" cy="1965600"/>
            <wp:effectExtent l="0" t="0" r="3175" b="0"/>
            <wp:docPr id="488081000" name="Picture 1" descr="This figure outlines our engagement principles at JSA. They are that engaging with us is easy; open and transparent; empowering and two-way; effective and ongoing; and inclu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081000" name="Picture 1" descr="This figure outlines our engagement principles at JSA. They are that engaging with us is easy; open and transparent; empowering and two-way; effective and ongoing; and inclusive."/>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5731200" cy="1965600"/>
                    </a:xfrm>
                    <a:prstGeom prst="rect">
                      <a:avLst/>
                    </a:prstGeom>
                  </pic:spPr>
                </pic:pic>
              </a:graphicData>
            </a:graphic>
          </wp:inline>
        </w:drawing>
      </w:r>
    </w:p>
    <w:p w14:paraId="6F80D45A" w14:textId="77777777" w:rsidR="00AC2606" w:rsidRPr="00AC0957" w:rsidRDefault="00AC2606" w:rsidP="00AC2606">
      <w:pPr>
        <w:pStyle w:val="Heading3"/>
        <w:rPr>
          <w:rFonts w:cs="Arial"/>
        </w:rPr>
      </w:pPr>
      <w:bookmarkStart w:id="339" w:name="_Toc179887432"/>
      <w:bookmarkStart w:id="340" w:name="_Toc181371629"/>
      <w:r w:rsidRPr="00AC0957">
        <w:rPr>
          <w:rFonts w:cs="Arial"/>
        </w:rPr>
        <w:t>Steering groups supporting our work</w:t>
      </w:r>
      <w:bookmarkEnd w:id="339"/>
      <w:bookmarkEnd w:id="340"/>
    </w:p>
    <w:p w14:paraId="73E93A4C" w14:textId="77777777" w:rsidR="005F4949" w:rsidRPr="005F4949" w:rsidRDefault="005F4949" w:rsidP="005F4949">
      <w:pPr>
        <w:rPr>
          <w:rFonts w:cs="Arial"/>
        </w:rPr>
      </w:pPr>
      <w:r w:rsidRPr="005F4949">
        <w:rPr>
          <w:rFonts w:cs="Arial"/>
        </w:rPr>
        <w:t xml:space="preserve">Our key pieces of work, including our major in-depth studies, are guided by steering groups comprising a mix of tripartite members, key stakeholders in higher education and vocational education and training, and experts to help inform our approach. This helps ensure that all groups with a stake in our products and analysis, or that may be affected by their outcomes, have a seat at the table and input into the development and enhancement of our work. </w:t>
      </w:r>
    </w:p>
    <w:p w14:paraId="556E62B4" w14:textId="77777777" w:rsidR="005F4949" w:rsidRPr="005F4949" w:rsidRDefault="005F4949" w:rsidP="005F4949">
      <w:pPr>
        <w:rPr>
          <w:rFonts w:cs="Arial"/>
        </w:rPr>
      </w:pPr>
      <w:r w:rsidRPr="005F4949">
        <w:rPr>
          <w:rFonts w:cs="Arial"/>
        </w:rPr>
        <w:t xml:space="preserve">JSA established several critical project steering committees to inform our work and ensure all voices were represented, heard, and reflected. These groups include representation from industry peaks, unions, education and training providers and research organisations. </w:t>
      </w:r>
    </w:p>
    <w:p w14:paraId="4596A078" w14:textId="6692A239" w:rsidR="00AC2606" w:rsidRPr="00AC0957" w:rsidRDefault="005F4949" w:rsidP="00B81D14">
      <w:pPr>
        <w:rPr>
          <w:rFonts w:cs="Arial"/>
        </w:rPr>
      </w:pPr>
      <w:r w:rsidRPr="005F4949">
        <w:rPr>
          <w:rFonts w:cs="Arial"/>
        </w:rPr>
        <w:t>Steering committees for our capacity studies have met multiple times across the lives of the projects to guide different aspects of the work as it has progressed, including endorsing terms of reference and research methodology, providing feedback on data analysis and desktop research, assisting with broader stakeholder consultations, and reviewing draft findings and recommendations</w:t>
      </w:r>
      <w:r w:rsidR="00AC2606" w:rsidRPr="00AC0957">
        <w:rPr>
          <w:rFonts w:cs="Arial"/>
        </w:rPr>
        <w:t xml:space="preserve">. </w:t>
      </w:r>
    </w:p>
    <w:tbl>
      <w:tblPr>
        <w:tblStyle w:val="TableGrid"/>
        <w:tblW w:w="0" w:type="auto"/>
        <w:tblLook w:val="04A0" w:firstRow="1" w:lastRow="0" w:firstColumn="1" w:lastColumn="0" w:noHBand="0" w:noVBand="1"/>
      </w:tblPr>
      <w:tblGrid>
        <w:gridCol w:w="9016"/>
      </w:tblGrid>
      <w:tr w:rsidR="00AC2606" w:rsidRPr="00AC0957" w14:paraId="2F3BEA44" w14:textId="77777777" w:rsidTr="00C96482">
        <w:tc>
          <w:tcPr>
            <w:tcW w:w="9016" w:type="dxa"/>
            <w:tcBorders>
              <w:top w:val="nil"/>
              <w:left w:val="nil"/>
              <w:bottom w:val="nil"/>
              <w:right w:val="nil"/>
            </w:tcBorders>
            <w:shd w:val="clear" w:color="auto" w:fill="E0D1F5" w:themeFill="accent1" w:themeFillTint="33"/>
          </w:tcPr>
          <w:p w14:paraId="49D55D20" w14:textId="6957E08D" w:rsidR="00AC2606" w:rsidRPr="00AC0957" w:rsidRDefault="00AC2606" w:rsidP="004F082D">
            <w:pPr>
              <w:pStyle w:val="Heading4"/>
            </w:pPr>
            <w:r w:rsidRPr="00AC0957">
              <w:t>Consultation in focus: The National Skills Taxonomy</w:t>
            </w:r>
          </w:p>
          <w:p w14:paraId="7156EFD6" w14:textId="46A3DFAB" w:rsidR="00AC2606" w:rsidRPr="00AC0957" w:rsidRDefault="00C96482" w:rsidP="004F082D">
            <w:pPr>
              <w:rPr>
                <w:rFonts w:cs="Arial"/>
              </w:rPr>
            </w:pPr>
            <w:r w:rsidRPr="00C96482">
              <w:rPr>
                <w:rFonts w:cs="Arial"/>
              </w:rPr>
              <w:t>For the National Skills Taxonomy work, JSA has held 11 sessions between July and August 2024 to consider key foundational elements. During this period the consultation process was referenced in newsletters and on websites and social media by subject matter experts and tripartite partners – which helped create engaging discussions. More than 500 people engaged with consultations through workshops, 1:1 interviews, and over 70 submissions from a range of different stakeholder groups. Engagements continue to help inform the development of the NST through direct stakeholder meetings and through various JSA channels including the Education and Training Reference group and States and Territories working group. The next round of public consultations is anticipated to be held in February 2025 to consider setting a clear definition of skills.</w:t>
            </w:r>
          </w:p>
        </w:tc>
      </w:tr>
    </w:tbl>
    <w:p w14:paraId="43FD16DC" w14:textId="77777777" w:rsidR="00AC2606" w:rsidRPr="00AC0957" w:rsidRDefault="00AC2606" w:rsidP="00AC2606">
      <w:pPr>
        <w:pStyle w:val="Heading3"/>
        <w:rPr>
          <w:rFonts w:cs="Arial"/>
        </w:rPr>
      </w:pPr>
      <w:bookmarkStart w:id="341" w:name="_Toc179887433"/>
      <w:bookmarkStart w:id="342" w:name="_Toc181371630"/>
      <w:r w:rsidRPr="00AC0957">
        <w:rPr>
          <w:rFonts w:cs="Arial"/>
        </w:rPr>
        <w:t>Consultations and ongoing feedback</w:t>
      </w:r>
      <w:bookmarkEnd w:id="341"/>
      <w:bookmarkEnd w:id="342"/>
    </w:p>
    <w:p w14:paraId="505216BA" w14:textId="77777777" w:rsidR="00540B29" w:rsidRPr="00540B29" w:rsidRDefault="00540B29" w:rsidP="00540B29">
      <w:pPr>
        <w:rPr>
          <w:rFonts w:cs="Arial"/>
        </w:rPr>
      </w:pPr>
      <w:r w:rsidRPr="00540B29">
        <w:rPr>
          <w:rFonts w:cs="Arial"/>
        </w:rPr>
        <w:t>In recognition of the fact that it is not possible or practicable for everyone to be involved in some, or all, of our formal engagement forums, JSA has a dedicated mechanism where anyone can connect with us at any time.</w:t>
      </w:r>
    </w:p>
    <w:p w14:paraId="783EB755" w14:textId="77777777" w:rsidR="00540B29" w:rsidRPr="00540B29" w:rsidRDefault="00540B29" w:rsidP="00540B29">
      <w:pPr>
        <w:rPr>
          <w:rFonts w:cs="Arial"/>
        </w:rPr>
      </w:pPr>
      <w:r w:rsidRPr="00540B29">
        <w:rPr>
          <w:rFonts w:cs="Arial"/>
        </w:rPr>
        <w:t xml:space="preserve">Our online </w:t>
      </w:r>
      <w:r w:rsidRPr="00540B29">
        <w:rPr>
          <w:rFonts w:cs="Arial"/>
          <w:i/>
          <w:iCs/>
        </w:rPr>
        <w:t>Connect with us</w:t>
      </w:r>
      <w:r w:rsidRPr="00540B29">
        <w:rPr>
          <w:rFonts w:cs="Arial"/>
        </w:rPr>
        <w:t xml:space="preserve"> hub enables anyone to contribute information or provide feedback, but also provides an important method to feature our current project and product engagement opportunities. </w:t>
      </w:r>
    </w:p>
    <w:p w14:paraId="440ADE24" w14:textId="7EAB5E89" w:rsidR="00AC2606" w:rsidRPr="00AC0957" w:rsidRDefault="00540B29" w:rsidP="00540B29">
      <w:pPr>
        <w:rPr>
          <w:rFonts w:cs="Arial"/>
        </w:rPr>
      </w:pPr>
      <w:r w:rsidRPr="00540B29">
        <w:rPr>
          <w:rFonts w:cs="Arial"/>
        </w:rPr>
        <w:t xml:space="preserve">Across 2024, JSA has undertaken 6 public consultation processes, for which we received 866 submissions. These were supported by workshops, interviews, roundtables, meetings and focus groups across Australia and online </w:t>
      </w:r>
      <w:r w:rsidR="00AC2606" w:rsidRPr="00AC0957">
        <w:rPr>
          <w:rFonts w:cs="Arial"/>
        </w:rPr>
        <w:t>(</w:t>
      </w:r>
      <w:r w:rsidR="000B055E">
        <w:rPr>
          <w:rFonts w:cs="Arial"/>
        </w:rPr>
        <w:fldChar w:fldCharType="begin"/>
      </w:r>
      <w:r w:rsidR="000B055E">
        <w:rPr>
          <w:rFonts w:cs="Arial"/>
        </w:rPr>
        <w:instrText xml:space="preserve"> REF _Ref179898665 \h </w:instrText>
      </w:r>
      <w:r w:rsidR="000B055E">
        <w:rPr>
          <w:rFonts w:cs="Arial"/>
        </w:rPr>
      </w:r>
      <w:r w:rsidR="000B055E">
        <w:rPr>
          <w:rFonts w:cs="Arial"/>
        </w:rPr>
        <w:fldChar w:fldCharType="separate"/>
      </w:r>
      <w:r w:rsidR="00C47A81">
        <w:t xml:space="preserve">Figure </w:t>
      </w:r>
      <w:r w:rsidR="00C47A81">
        <w:rPr>
          <w:noProof/>
        </w:rPr>
        <w:t>73</w:t>
      </w:r>
      <w:r w:rsidR="000B055E">
        <w:rPr>
          <w:rFonts w:cs="Arial"/>
        </w:rPr>
        <w:fldChar w:fldCharType="end"/>
      </w:r>
      <w:r w:rsidR="00AC2606" w:rsidRPr="00AC0957">
        <w:rPr>
          <w:rFonts w:cs="Arial"/>
        </w:rPr>
        <w:t>).</w:t>
      </w:r>
      <w:r w:rsidR="008C52B1">
        <w:rPr>
          <w:rFonts w:cs="Arial"/>
        </w:rPr>
        <w:t xml:space="preserve"> </w:t>
      </w:r>
    </w:p>
    <w:p w14:paraId="3C33FE7C" w14:textId="2F39ED3F" w:rsidR="00E61C66" w:rsidRDefault="00E61C66" w:rsidP="00E61C66">
      <w:pPr>
        <w:pStyle w:val="Caption"/>
      </w:pPr>
      <w:bookmarkStart w:id="343" w:name="_Ref179898665"/>
      <w:bookmarkStart w:id="344" w:name="_Toc181370375"/>
      <w:r>
        <w:t xml:space="preserve">Figure </w:t>
      </w:r>
      <w:r>
        <w:fldChar w:fldCharType="begin"/>
      </w:r>
      <w:r>
        <w:instrText xml:space="preserve"> SEQ Figure \* ARABIC </w:instrText>
      </w:r>
      <w:r>
        <w:fldChar w:fldCharType="separate"/>
      </w:r>
      <w:r w:rsidR="00C47A81">
        <w:rPr>
          <w:noProof/>
        </w:rPr>
        <w:t>73</w:t>
      </w:r>
      <w:r>
        <w:fldChar w:fldCharType="end"/>
      </w:r>
      <w:bookmarkEnd w:id="343"/>
      <w:r>
        <w:t xml:space="preserve">: </w:t>
      </w:r>
      <w:r w:rsidRPr="0058724F">
        <w:t>Key consultation figures</w:t>
      </w:r>
      <w:bookmarkEnd w:id="344"/>
    </w:p>
    <w:p w14:paraId="582D7027" w14:textId="3D57E950" w:rsidR="00AC2606" w:rsidRPr="00AC0957" w:rsidRDefault="00E1391B" w:rsidP="004F082D">
      <w:pPr>
        <w:jc w:val="center"/>
        <w:rPr>
          <w:rFonts w:cs="Arial"/>
        </w:rPr>
      </w:pPr>
      <w:r w:rsidRPr="00E1391B">
        <w:rPr>
          <w:rFonts w:cs="Arial"/>
          <w:noProof/>
        </w:rPr>
        <w:drawing>
          <wp:inline distT="0" distB="0" distL="0" distR="0" wp14:anchorId="168C97FA" wp14:editId="3D744CDD">
            <wp:extent cx="5731200" cy="2462400"/>
            <wp:effectExtent l="0" t="0" r="3175" b="0"/>
            <wp:docPr id="1599706642" name="Picture 1" descr="This figure outlines our key consultation figures. It shows that JSA undertook 6 public consultation processes across 2024. We received 866 submissions for these. This was supported by workshops, interviews, roundtables, meetings and focus groups across Australia and on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706642" name="Picture 1" descr="This figure outlines our key consultation figures. It shows that JSA undertook 6 public consultation processes across 2024. We received 866 submissions for these. This was supported by workshops, interviews, roundtables, meetings and focus groups across Australia and online. "/>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5731200" cy="2462400"/>
                    </a:xfrm>
                    <a:prstGeom prst="rect">
                      <a:avLst/>
                    </a:prstGeom>
                  </pic:spPr>
                </pic:pic>
              </a:graphicData>
            </a:graphic>
          </wp:inline>
        </w:drawing>
      </w:r>
    </w:p>
    <w:p w14:paraId="62346022" w14:textId="77777777" w:rsidR="00AC2606" w:rsidRPr="00AC0957" w:rsidRDefault="00AC2606" w:rsidP="00AC2606">
      <w:pPr>
        <w:pStyle w:val="Heading3"/>
        <w:rPr>
          <w:rFonts w:cs="Arial"/>
        </w:rPr>
      </w:pPr>
      <w:bookmarkStart w:id="345" w:name="_Toc179887434"/>
      <w:bookmarkStart w:id="346" w:name="_Toc181371631"/>
      <w:r w:rsidRPr="00AC0957">
        <w:rPr>
          <w:rFonts w:cs="Arial"/>
        </w:rPr>
        <w:t>Ongoing engagement mechanisms</w:t>
      </w:r>
      <w:bookmarkEnd w:id="345"/>
      <w:bookmarkEnd w:id="346"/>
      <w:r w:rsidRPr="00AC0957">
        <w:rPr>
          <w:rFonts w:cs="Arial"/>
        </w:rPr>
        <w:t xml:space="preserve"> </w:t>
      </w:r>
    </w:p>
    <w:p w14:paraId="0E58DBA3" w14:textId="2A4EB9AB" w:rsidR="00AC2606" w:rsidRPr="00AC0957" w:rsidRDefault="002F0743" w:rsidP="00AC2606">
      <w:pPr>
        <w:rPr>
          <w:rFonts w:cs="Arial"/>
        </w:rPr>
      </w:pPr>
      <w:r w:rsidRPr="002F0743">
        <w:rPr>
          <w:rFonts w:eastAsia="Times New Roman" w:cs="Arial"/>
          <w:lang w:eastAsia="en-AU"/>
        </w:rPr>
        <w:t>JSA actively participates in existing engagement activities such as government committees, steering and working groups, roundtables and stakeholder or partner-initiated forums and workshops. We also undertake organic, proactive, reactive, and strategic consultation outside our structured forums, and actively seek to understand the experiences of employers in an ongoing fashion through our survey mechanisms.</w:t>
      </w:r>
    </w:p>
    <w:p w14:paraId="01EEA32F" w14:textId="77777777" w:rsidR="00AC2606" w:rsidRPr="00AC0957" w:rsidRDefault="00AC2606" w:rsidP="00AC2606">
      <w:pPr>
        <w:pStyle w:val="Heading2"/>
        <w:rPr>
          <w:rFonts w:cs="Arial"/>
        </w:rPr>
      </w:pPr>
      <w:bookmarkStart w:id="347" w:name="_Toc179887435"/>
      <w:bookmarkStart w:id="348" w:name="_Toc181371632"/>
      <w:r w:rsidRPr="00AC0957">
        <w:rPr>
          <w:rFonts w:cs="Arial"/>
        </w:rPr>
        <w:t>How we have impact</w:t>
      </w:r>
      <w:bookmarkEnd w:id="347"/>
      <w:bookmarkEnd w:id="348"/>
    </w:p>
    <w:p w14:paraId="3AF6E092" w14:textId="6B12AE7E" w:rsidR="00AC2606" w:rsidRPr="00AC0957" w:rsidRDefault="00E65581" w:rsidP="00AC2606">
      <w:pPr>
        <w:rPr>
          <w:rFonts w:cs="Arial"/>
        </w:rPr>
      </w:pPr>
      <w:r w:rsidRPr="00E65581">
        <w:rPr>
          <w:rFonts w:cs="Arial"/>
        </w:rPr>
        <w:t>It is also critical to understand how our products, analysis, and advice have impact and how they are or can be used. We have impact through our work with stakeholders, through regular analysis of the labour market, through input and advice that supports decision-making, and through targeted capacity and cohort studies that seek to expand the evidence base</w:t>
      </w:r>
      <w:r w:rsidR="00AC2606" w:rsidRPr="00AC0957">
        <w:rPr>
          <w:rFonts w:cs="Arial"/>
        </w:rPr>
        <w:t xml:space="preserve">. </w:t>
      </w:r>
    </w:p>
    <w:p w14:paraId="2C12181C" w14:textId="77777777" w:rsidR="00AC2606" w:rsidRPr="00AC0957" w:rsidRDefault="00AC2606" w:rsidP="00AC2606">
      <w:pPr>
        <w:pStyle w:val="Heading3"/>
        <w:rPr>
          <w:rFonts w:cs="Arial"/>
        </w:rPr>
      </w:pPr>
      <w:bookmarkStart w:id="349" w:name="_Toc179887436"/>
      <w:bookmarkStart w:id="350" w:name="_Toc181371633"/>
      <w:r w:rsidRPr="00AC0957">
        <w:rPr>
          <w:rFonts w:cs="Arial"/>
        </w:rPr>
        <w:t>Labour market and skills analysis and products</w:t>
      </w:r>
      <w:bookmarkEnd w:id="349"/>
      <w:bookmarkEnd w:id="350"/>
    </w:p>
    <w:p w14:paraId="003AD9CA" w14:textId="77777777" w:rsidR="00710198" w:rsidRPr="00710198" w:rsidRDefault="00710198" w:rsidP="00710198">
      <w:pPr>
        <w:rPr>
          <w:rFonts w:eastAsia="Times New Roman" w:cs="Arial"/>
          <w:lang w:eastAsia="en-AU"/>
        </w:rPr>
      </w:pPr>
      <w:r w:rsidRPr="00710198">
        <w:rPr>
          <w:rFonts w:eastAsia="Times New Roman" w:cs="Arial"/>
          <w:lang w:eastAsia="en-AU"/>
        </w:rPr>
        <w:t xml:space="preserve">JSA publishes a range of regular labour market data and analysis that provide ongoing insights into how the labour market is performing and assist our partners, stakeholders and others to make informed decisions on matters relating to skills and the labour market. </w:t>
      </w:r>
    </w:p>
    <w:p w14:paraId="6CC1B7D4" w14:textId="77777777" w:rsidR="00710198" w:rsidRPr="00710198" w:rsidRDefault="00710198" w:rsidP="00710198">
      <w:pPr>
        <w:rPr>
          <w:rFonts w:eastAsia="Times New Roman" w:cs="Arial"/>
          <w:lang w:eastAsia="en-AU"/>
        </w:rPr>
      </w:pPr>
      <w:r w:rsidRPr="00710198">
        <w:rPr>
          <w:rFonts w:eastAsia="Times New Roman" w:cs="Arial"/>
          <w:lang w:eastAsia="en-AU"/>
        </w:rPr>
        <w:t>This includes monthly reports on online vacancies, recruitment demand and confidence, and a nowcast of employment in Australian occupations. Quarterly, JSA publishes labour market updates, small area labour market updates, occupation shortage information, and information for recent or potential migrants and the service organisations who assist them. JSA’s Occupational Shortage List directly informs subsidy allocation under the Australian Apprenticeship Support System and informs skilled migration policy through its impact on JSA’s advice on the Core Skilled Occupation List.</w:t>
      </w:r>
    </w:p>
    <w:p w14:paraId="4F63EEED" w14:textId="5EB6289E" w:rsidR="00AC2606" w:rsidRPr="00AC0957" w:rsidRDefault="00710198" w:rsidP="00710198">
      <w:pPr>
        <w:rPr>
          <w:rFonts w:cs="Arial"/>
        </w:rPr>
      </w:pPr>
      <w:r w:rsidRPr="00710198">
        <w:rPr>
          <w:rFonts w:eastAsia="Times New Roman" w:cs="Arial"/>
          <w:lang w:eastAsia="en-AU"/>
        </w:rPr>
        <w:t>JSA additionally develops a range of resources which provide insights on the labour market and employment conditions across Australia including labour market dashboards, recruitment trends and employer needs profiles, and industry profiles</w:t>
      </w:r>
      <w:r w:rsidR="00AC2606" w:rsidRPr="00AC0957">
        <w:rPr>
          <w:rFonts w:cs="Arial"/>
        </w:rPr>
        <w:t>.</w:t>
      </w:r>
    </w:p>
    <w:tbl>
      <w:tblPr>
        <w:tblStyle w:val="TableGrid"/>
        <w:tblW w:w="0" w:type="auto"/>
        <w:tblLook w:val="04A0" w:firstRow="1" w:lastRow="0" w:firstColumn="1" w:lastColumn="0" w:noHBand="0" w:noVBand="1"/>
      </w:tblPr>
      <w:tblGrid>
        <w:gridCol w:w="9016"/>
      </w:tblGrid>
      <w:tr w:rsidR="00AC2606" w:rsidRPr="00AC0957" w14:paraId="6C4FEEB7" w14:textId="77777777" w:rsidTr="003236F0">
        <w:tc>
          <w:tcPr>
            <w:tcW w:w="9016" w:type="dxa"/>
            <w:tcBorders>
              <w:top w:val="nil"/>
              <w:left w:val="nil"/>
              <w:bottom w:val="nil"/>
              <w:right w:val="nil"/>
            </w:tcBorders>
            <w:shd w:val="clear" w:color="auto" w:fill="E0D1F5" w:themeFill="accent1" w:themeFillTint="33"/>
          </w:tcPr>
          <w:p w14:paraId="57E4AE0C" w14:textId="77777777" w:rsidR="00AC2606" w:rsidRPr="00AC0957" w:rsidRDefault="00AC2606">
            <w:pPr>
              <w:pStyle w:val="Heading4"/>
            </w:pPr>
            <w:r w:rsidRPr="00AC0957">
              <w:t>Recruitment Experiences and Outlook Survey</w:t>
            </w:r>
          </w:p>
          <w:p w14:paraId="2D3E9A75" w14:textId="77777777" w:rsidR="003236F0" w:rsidRPr="003236F0" w:rsidRDefault="003236F0" w:rsidP="003236F0">
            <w:pPr>
              <w:rPr>
                <w:rFonts w:eastAsia="Times New Roman" w:cs="Arial"/>
                <w:lang w:eastAsia="en-AU"/>
              </w:rPr>
            </w:pPr>
            <w:r w:rsidRPr="003236F0">
              <w:rPr>
                <w:rFonts w:eastAsia="Times New Roman" w:cs="Arial"/>
                <w:lang w:eastAsia="en-AU"/>
              </w:rPr>
              <w:t>JSA’s Recruitment Experiences and Outlook Survey (REOS) collects information on employer recruitment activity, recruitment difficulty, and staffing outlook that helps policy makers and analysts monitor and understand current and emerging labour market conditions. Insights from the survey can also help job seekers understanding what employers are looking for.</w:t>
            </w:r>
          </w:p>
          <w:p w14:paraId="64FED29F" w14:textId="7EC57453" w:rsidR="00AC2606" w:rsidRPr="004F082D" w:rsidRDefault="003236F0" w:rsidP="003236F0">
            <w:pPr>
              <w:rPr>
                <w:rFonts w:cs="Arial"/>
                <w:highlight w:val="yellow"/>
              </w:rPr>
            </w:pPr>
            <w:r w:rsidRPr="003236F0">
              <w:rPr>
                <w:rFonts w:eastAsia="Times New Roman" w:cs="Arial"/>
                <w:lang w:eastAsia="en-AU"/>
              </w:rPr>
              <w:t xml:space="preserve">The REOS surveys employers across Australia, and up to </w:t>
            </w:r>
            <w:r w:rsidRPr="003236F0">
              <w:rPr>
                <w:rFonts w:eastAsia="Times New Roman" w:cs="Arial"/>
                <w:b/>
                <w:bCs/>
                <w:lang w:eastAsia="en-AU"/>
              </w:rPr>
              <w:t>14,000</w:t>
            </w:r>
            <w:r w:rsidRPr="003236F0">
              <w:rPr>
                <w:rFonts w:eastAsia="Times New Roman" w:cs="Arial"/>
                <w:lang w:eastAsia="en-AU"/>
              </w:rPr>
              <w:t xml:space="preserve"> businesses respond to the survey throughout the year. The REOS questionnaire continually evolves to stay current with changes in the Australian labour market, and data are released as close to collection as possible to provide an almost real-time view of recruitment activity across Australia.</w:t>
            </w:r>
          </w:p>
          <w:p w14:paraId="1EE310A2" w14:textId="77777777" w:rsidR="00AC2606" w:rsidRPr="00AC0957" w:rsidRDefault="00AC2606">
            <w:pPr>
              <w:pStyle w:val="Heading4"/>
            </w:pPr>
            <w:r w:rsidRPr="00AC0957">
              <w:t>Survey of Employers who have Recently Advertised</w:t>
            </w:r>
          </w:p>
          <w:p w14:paraId="2FE1E79E" w14:textId="77777777" w:rsidR="00836604" w:rsidRPr="00836604" w:rsidRDefault="00836604" w:rsidP="00836604">
            <w:pPr>
              <w:rPr>
                <w:rFonts w:cs="Arial"/>
              </w:rPr>
            </w:pPr>
            <w:r w:rsidRPr="00836604">
              <w:rPr>
                <w:rFonts w:cs="Arial"/>
              </w:rPr>
              <w:t xml:space="preserve">The Survey of Employers who have Recently Advertised (SERA) collects information about recruitment experiences from employers and recruiters who have recently advertised vacancies online. On average, SERA collects data on </w:t>
            </w:r>
            <w:r w:rsidRPr="00836604">
              <w:rPr>
                <w:rFonts w:cs="Arial"/>
                <w:b/>
                <w:bCs/>
              </w:rPr>
              <w:t>9,000</w:t>
            </w:r>
            <w:r w:rsidRPr="00836604">
              <w:rPr>
                <w:rFonts w:cs="Arial"/>
              </w:rPr>
              <w:t xml:space="preserve"> employers annually, covering approximately </w:t>
            </w:r>
            <w:r w:rsidRPr="00836604">
              <w:rPr>
                <w:rFonts w:cs="Arial"/>
                <w:b/>
                <w:bCs/>
              </w:rPr>
              <w:t>350</w:t>
            </w:r>
            <w:r w:rsidRPr="00836604">
              <w:rPr>
                <w:rFonts w:cs="Arial"/>
              </w:rPr>
              <w:t xml:space="preserve"> occupations. </w:t>
            </w:r>
          </w:p>
          <w:p w14:paraId="1A0F79B3" w14:textId="77777777" w:rsidR="00836604" w:rsidRPr="00836604" w:rsidRDefault="00836604" w:rsidP="00836604">
            <w:pPr>
              <w:rPr>
                <w:rFonts w:cs="Arial"/>
              </w:rPr>
            </w:pPr>
            <w:r w:rsidRPr="00836604">
              <w:rPr>
                <w:rFonts w:cs="Arial"/>
              </w:rPr>
              <w:t xml:space="preserve">The survey asks employers a range of questions on their recruitment experience for advertised vacancies, collecting both quantitative and qualitative data. This information is used to produce insights on current labour market conditions and to identify occupations and sectors that are experiencing occupation shortages. </w:t>
            </w:r>
          </w:p>
          <w:p w14:paraId="5BE14639" w14:textId="0292763E" w:rsidR="00AC2606" w:rsidRPr="00AC0957" w:rsidRDefault="00836604" w:rsidP="00836604">
            <w:pPr>
              <w:rPr>
                <w:rFonts w:cs="Arial"/>
              </w:rPr>
            </w:pPr>
            <w:r w:rsidRPr="00836604">
              <w:rPr>
                <w:rFonts w:cs="Arial"/>
              </w:rPr>
              <w:t>SERA insights are also critical for the production of important publications, including the Occupation Shortage List (OSL), the Occupation Shortage Report, the Labour Market Update, and the Annual Jobs and Skills Report.</w:t>
            </w:r>
          </w:p>
        </w:tc>
      </w:tr>
    </w:tbl>
    <w:p w14:paraId="5A70A211" w14:textId="69D83DA9" w:rsidR="00293C51" w:rsidRDefault="00293C51" w:rsidP="00293C51">
      <w:pPr>
        <w:pStyle w:val="Heading4"/>
        <w:keepNext/>
      </w:pPr>
      <w:r>
        <w:t>Sharing our insights</w:t>
      </w:r>
    </w:p>
    <w:p w14:paraId="5185E5E7" w14:textId="4FA03678" w:rsidR="00AC2606" w:rsidRPr="00AC0957" w:rsidRDefault="00293C51" w:rsidP="00B81D14">
      <w:pPr>
        <w:pStyle w:val="IntenseQuote"/>
        <w:keepLines/>
        <w:ind w:left="862" w:right="862"/>
      </w:pPr>
      <w:r>
        <w:t xml:space="preserve"> The JSA Commissioner and other Senior Executive staff have made over 245 speeches and presentations since October 2023! </w:t>
      </w:r>
      <w:r>
        <w:br/>
      </w:r>
      <w:r>
        <w:br/>
        <w:t>These have included a public address at the National Press Club and several keynote addresses at forums held by a range of key actors across the national skills system.</w:t>
      </w:r>
    </w:p>
    <w:p w14:paraId="18C8BE4D" w14:textId="38685A47" w:rsidR="00AC2606" w:rsidRPr="00AC0957" w:rsidRDefault="00AC2606" w:rsidP="00AC2606">
      <w:pPr>
        <w:pStyle w:val="Heading3"/>
        <w:rPr>
          <w:rFonts w:cs="Arial"/>
        </w:rPr>
      </w:pPr>
      <w:bookmarkStart w:id="351" w:name="_Toc177554481"/>
      <w:bookmarkStart w:id="352" w:name="_Toc179887437"/>
      <w:bookmarkStart w:id="353" w:name="_Toc181371634"/>
      <w:r w:rsidRPr="00AC0957">
        <w:rPr>
          <w:rFonts w:cs="Arial"/>
        </w:rPr>
        <w:t xml:space="preserve">Strategic </w:t>
      </w:r>
      <w:r w:rsidR="00C5235F">
        <w:rPr>
          <w:rFonts w:cs="Arial"/>
        </w:rPr>
        <w:t>a</w:t>
      </w:r>
      <w:r w:rsidRPr="00AC0957">
        <w:rPr>
          <w:rFonts w:cs="Arial"/>
        </w:rPr>
        <w:t xml:space="preserve">dvice and </w:t>
      </w:r>
      <w:r w:rsidR="00C5235F">
        <w:rPr>
          <w:rFonts w:cs="Arial"/>
        </w:rPr>
        <w:t>d</w:t>
      </w:r>
      <w:r w:rsidRPr="00AC0957">
        <w:rPr>
          <w:rFonts w:cs="Arial"/>
        </w:rPr>
        <w:t>eliverables</w:t>
      </w:r>
      <w:bookmarkEnd w:id="351"/>
      <w:bookmarkEnd w:id="352"/>
      <w:bookmarkEnd w:id="353"/>
    </w:p>
    <w:p w14:paraId="5C73955E" w14:textId="77777777" w:rsidR="007A4AE3" w:rsidRPr="007A4AE3" w:rsidRDefault="007A4AE3" w:rsidP="00B81D14">
      <w:pPr>
        <w:keepLines/>
        <w:rPr>
          <w:rFonts w:eastAsia="Times New Roman" w:cs="Arial"/>
          <w:lang w:eastAsia="en-AU"/>
        </w:rPr>
      </w:pPr>
      <w:r w:rsidRPr="007A4AE3">
        <w:rPr>
          <w:rFonts w:eastAsia="Times New Roman" w:cs="Arial"/>
          <w:lang w:eastAsia="en-AU"/>
        </w:rPr>
        <w:t xml:space="preserve">JSA regularly works with stakeholders to provide advice to government and inform decision-making, undertake targeted studies and analysis, and periodically release significant reports and data tools. Across 2024, this has included continued work to assess current foundation skills across Australia, the release of the Registered Training Organisation (RTO) Typology methodology paper, and the commencement of several capacity and cohort studies including on the workforce needs of Australia’s food supply chain, the VET workforce, the ECEC workforce, and the migration pathways and labour market barriers experienced by international students. </w:t>
      </w:r>
    </w:p>
    <w:p w14:paraId="59361302" w14:textId="3ECA03AF" w:rsidR="007A4AE3" w:rsidRPr="007A4AE3" w:rsidRDefault="007A4AE3" w:rsidP="007A4AE3">
      <w:pPr>
        <w:rPr>
          <w:rFonts w:eastAsia="Times New Roman" w:cs="Arial"/>
          <w:lang w:eastAsia="en-AU"/>
        </w:rPr>
      </w:pPr>
      <w:r w:rsidRPr="007A4AE3">
        <w:rPr>
          <w:rFonts w:eastAsia="Times New Roman" w:cs="Arial"/>
          <w:lang w:eastAsia="en-AU"/>
        </w:rPr>
        <w:t>JSA also had input into the Migration Strategy and continues our ongoing dialogue with the Department of Home Affairs. This included the development of the Migration Labour Market Indicator Model, which in combination with tripartite consultation and qualitative analysis, will inform JSA’s advice to Government on the Core Skills Occupation List.</w:t>
      </w:r>
      <w:r w:rsidR="008C52B1">
        <w:rPr>
          <w:rFonts w:eastAsia="Times New Roman" w:cs="Arial"/>
          <w:lang w:eastAsia="en-AU"/>
        </w:rPr>
        <w:t xml:space="preserve"> </w:t>
      </w:r>
      <w:r w:rsidRPr="007A4AE3">
        <w:rPr>
          <w:rFonts w:eastAsia="Times New Roman" w:cs="Arial"/>
          <w:lang w:eastAsia="en-AU"/>
        </w:rPr>
        <w:t xml:space="preserve"> </w:t>
      </w:r>
    </w:p>
    <w:p w14:paraId="0A842818" w14:textId="77777777" w:rsidR="007A4AE3" w:rsidRPr="007A4AE3" w:rsidRDefault="007A4AE3" w:rsidP="007A4AE3">
      <w:pPr>
        <w:rPr>
          <w:rFonts w:eastAsia="Times New Roman" w:cs="Arial"/>
          <w:lang w:eastAsia="en-AU"/>
        </w:rPr>
      </w:pPr>
      <w:r w:rsidRPr="007A4AE3">
        <w:rPr>
          <w:rFonts w:eastAsia="Times New Roman" w:cs="Arial"/>
          <w:lang w:eastAsia="en-AU"/>
        </w:rPr>
        <w:t>JSA contributes to many national projects and priorities and is frequently engaged by other areas of Government seeking evidence and customised data to support their work. JSA has had a significant impact across key government initiatives. These include influence in the Care and Support Economy Strategy, the Employment White Paper, Net Zero Transition, Closing the Gap, Gender Equality and Safety, the National Skills Agreement, the Australian Universities Accord, and Migration Strategy. JSA will continue to work with agencies on issues such as the food supply chain, Strategic Fleet, the Strategic Review of the Apprenticeships Incentive System, VET qualifications reform, housing affordability and the proposed Australian Tertiary Education Commission.</w:t>
      </w:r>
    </w:p>
    <w:p w14:paraId="3173DCE8" w14:textId="483230CC" w:rsidR="007E1A73" w:rsidRPr="007E1A73" w:rsidRDefault="007A4AE3" w:rsidP="007A4AE3">
      <w:pPr>
        <w:rPr>
          <w:rFonts w:cs="Arial"/>
        </w:rPr>
      </w:pPr>
      <w:r w:rsidRPr="007A4AE3">
        <w:rPr>
          <w:rFonts w:eastAsia="Times New Roman" w:cs="Arial"/>
          <w:lang w:eastAsia="en-AU"/>
        </w:rPr>
        <w:t>JSA has made public submissions and appeared before multiple parliamentary inquiries. These included the House Standing Committee on Employment, Education and Training inquiry into the Perceptions and Status of Vocational Education and Training, the House of Representatives Committee on Workforce Australia Employment Services Inquiry into Workforce Australia Employment Services, the House of Representatives Committee on Regional Development, Infrastructure and Transport Inquiry into Local Government Sustainability, and the Joint Standing Committee on Aboriginal and Torres Strait Islander Affairs on the Inquiry into economic self-determination and opportunities for First Nations Australians</w:t>
      </w:r>
      <w:r w:rsidR="007E1A73" w:rsidRPr="007E1A73">
        <w:rPr>
          <w:rFonts w:cs="Arial"/>
        </w:rPr>
        <w:t>. </w:t>
      </w:r>
    </w:p>
    <w:p w14:paraId="4C602F80" w14:textId="5C1F9A7E" w:rsidR="00AC2606" w:rsidRPr="00AC0957" w:rsidRDefault="00AC2606" w:rsidP="00AC2606">
      <w:pPr>
        <w:pStyle w:val="Heading3"/>
        <w:rPr>
          <w:rFonts w:cs="Arial"/>
        </w:rPr>
      </w:pPr>
      <w:bookmarkStart w:id="354" w:name="_Toc179887438"/>
      <w:bookmarkStart w:id="355" w:name="_Toc181371635"/>
      <w:r w:rsidRPr="00AC0957">
        <w:rPr>
          <w:rFonts w:cs="Arial"/>
        </w:rPr>
        <w:t>Measuring our impact</w:t>
      </w:r>
      <w:bookmarkEnd w:id="354"/>
      <w:bookmarkEnd w:id="355"/>
    </w:p>
    <w:p w14:paraId="46CD6CF9" w14:textId="77777777" w:rsidR="007841F2" w:rsidRPr="007841F2" w:rsidRDefault="007841F2" w:rsidP="007841F2">
      <w:pPr>
        <w:rPr>
          <w:rFonts w:cs="Arial"/>
        </w:rPr>
      </w:pPr>
      <w:r w:rsidRPr="007841F2">
        <w:rPr>
          <w:rFonts w:cs="Arial"/>
        </w:rPr>
        <w:t xml:space="preserve">JSA’s impact will be measured over time through short-, medium- and long-term indicators. JSA does not have regulatory powers, nor is there any formal requirement for other parties utilise our analysis and advice. We seek to have impact through influence. </w:t>
      </w:r>
    </w:p>
    <w:p w14:paraId="51DA73B5" w14:textId="77777777" w:rsidR="007841F2" w:rsidRPr="007841F2" w:rsidRDefault="007841F2" w:rsidP="007841F2">
      <w:pPr>
        <w:rPr>
          <w:rFonts w:cs="Arial"/>
        </w:rPr>
      </w:pPr>
      <w:r w:rsidRPr="007841F2">
        <w:rPr>
          <w:rFonts w:cs="Arial"/>
        </w:rPr>
        <w:t xml:space="preserve">As JSA is still in our establishment phase, we have largely seen short-term impacts realised. We have seen this through a range of bodies citing our analysis and advice, and through industry considering our advice in the development of workplans (for example Jobs and Skills Councils). </w:t>
      </w:r>
    </w:p>
    <w:p w14:paraId="4495CC22" w14:textId="63DB1E88" w:rsidR="007841F2" w:rsidRPr="007841F2" w:rsidRDefault="007841F2" w:rsidP="007841F2">
      <w:pPr>
        <w:rPr>
          <w:rFonts w:cs="Arial"/>
        </w:rPr>
      </w:pPr>
      <w:r w:rsidRPr="007841F2">
        <w:rPr>
          <w:rFonts w:cs="Arial"/>
        </w:rPr>
        <w:t>Medium-term impacts would include having our recommendations and analysis incorporated into the process of policy development and implementation. While it is still early in our establishment, we have started to see this occur in areas like the clean energy transition</w:t>
      </w:r>
      <w:r w:rsidR="00B4034C">
        <w:rPr>
          <w:rFonts w:cs="Arial"/>
        </w:rPr>
        <w:t>,</w:t>
      </w:r>
      <w:r w:rsidRPr="007841F2">
        <w:rPr>
          <w:rFonts w:cs="Arial"/>
        </w:rPr>
        <w:t xml:space="preserve"> tertiary harmonisation and the </w:t>
      </w:r>
      <w:r w:rsidR="00B528D0">
        <w:rPr>
          <w:rFonts w:cs="Arial"/>
        </w:rPr>
        <w:t>Universities</w:t>
      </w:r>
      <w:r w:rsidRPr="007841F2">
        <w:rPr>
          <w:rFonts w:cs="Arial"/>
        </w:rPr>
        <w:t xml:space="preserve"> </w:t>
      </w:r>
      <w:r w:rsidR="00B528D0">
        <w:rPr>
          <w:rFonts w:cs="Arial"/>
        </w:rPr>
        <w:t>A</w:t>
      </w:r>
      <w:r w:rsidRPr="007841F2">
        <w:rPr>
          <w:rFonts w:cs="Arial"/>
        </w:rPr>
        <w:t>ccord recommendations, working closely with the Department of Education on the development of the Australian Tertiary Education Commission.</w:t>
      </w:r>
    </w:p>
    <w:p w14:paraId="53BC3443" w14:textId="41C504FA" w:rsidR="00AC2606" w:rsidRPr="00AC0957" w:rsidRDefault="007841F2" w:rsidP="00B81D14">
      <w:pPr>
        <w:keepLines/>
        <w:rPr>
          <w:rFonts w:cs="Arial"/>
        </w:rPr>
      </w:pPr>
      <w:r w:rsidRPr="007841F2">
        <w:rPr>
          <w:rFonts w:cs="Arial"/>
        </w:rPr>
        <w:t>Long-term impacts would include improvement in the matching in the labour market between skills and employment, employers getting the skills they need, and participants in the labour market having access to a range of easily navigable pathways to acquire the skills they need. It would also include the flow-on societal and social benefits of this occurring</w:t>
      </w:r>
      <w:r w:rsidR="00AC2606" w:rsidRPr="00AC0957">
        <w:rPr>
          <w:rFonts w:cs="Arial"/>
        </w:rPr>
        <w:t xml:space="preserve">. </w:t>
      </w:r>
    </w:p>
    <w:tbl>
      <w:tblPr>
        <w:tblStyle w:val="TableGrid"/>
        <w:tblW w:w="0" w:type="auto"/>
        <w:tblLook w:val="04A0" w:firstRow="1" w:lastRow="0" w:firstColumn="1" w:lastColumn="0" w:noHBand="0" w:noVBand="1"/>
      </w:tblPr>
      <w:tblGrid>
        <w:gridCol w:w="9016"/>
      </w:tblGrid>
      <w:tr w:rsidR="00AC2606" w:rsidRPr="00AC0957" w14:paraId="7EF4B43B" w14:textId="77777777" w:rsidTr="007841F2">
        <w:tc>
          <w:tcPr>
            <w:tcW w:w="9016" w:type="dxa"/>
            <w:tcBorders>
              <w:top w:val="nil"/>
              <w:left w:val="nil"/>
              <w:bottom w:val="nil"/>
              <w:right w:val="nil"/>
            </w:tcBorders>
            <w:shd w:val="clear" w:color="auto" w:fill="E0D1F5" w:themeFill="accent1" w:themeFillTint="33"/>
          </w:tcPr>
          <w:p w14:paraId="571A4AB9" w14:textId="65DD70FA" w:rsidR="00AC2606" w:rsidRPr="00AC0957" w:rsidRDefault="00AC2606" w:rsidP="004F082D">
            <w:pPr>
              <w:pStyle w:val="Heading3"/>
              <w:rPr>
                <w:rFonts w:cs="Arial"/>
              </w:rPr>
            </w:pPr>
            <w:bookmarkStart w:id="356" w:name="_Toc179887439"/>
            <w:bookmarkStart w:id="357" w:name="_Toc181371636"/>
            <w:r w:rsidRPr="00AC0957">
              <w:rPr>
                <w:rFonts w:cs="Arial"/>
              </w:rPr>
              <w:t>Case study: Impacts of the clean energy capacity study</w:t>
            </w:r>
            <w:bookmarkEnd w:id="356"/>
            <w:bookmarkEnd w:id="357"/>
          </w:p>
          <w:p w14:paraId="0C72FC83" w14:textId="77777777" w:rsidR="00DE224A" w:rsidRPr="00DE224A" w:rsidRDefault="00DE224A" w:rsidP="00DE224A">
            <w:pPr>
              <w:rPr>
                <w:rFonts w:cs="Arial"/>
              </w:rPr>
            </w:pPr>
            <w:r w:rsidRPr="00DE224A">
              <w:rPr>
                <w:rFonts w:cs="Arial"/>
              </w:rPr>
              <w:t>The Clean Energy Generation report was released in late 2023 and has already supported a range of government measures. Analysis and advice on the skills and workforce needs of the sector informed federal government through outcomes of the 2024-25 Budget, such as the expanded New Energy Apprenticeships program and various measures under the Skilling the Clean Energy Workforce package, including climate careers advocacy and promotion activities, a pilot program for Group Training Organisation (GTO) reimbursements, a new capital investment fund for facility upgrades, and investment to turbocharge the VET teacher, trainer and assessor workforce for clean energy.</w:t>
            </w:r>
          </w:p>
          <w:p w14:paraId="400BF21F" w14:textId="4F400622" w:rsidR="00AC2606" w:rsidRPr="00AC0957" w:rsidRDefault="00DE224A" w:rsidP="00DE224A">
            <w:pPr>
              <w:rPr>
                <w:rFonts w:cs="Arial"/>
              </w:rPr>
            </w:pPr>
            <w:r w:rsidRPr="00DE224A">
              <w:rPr>
                <w:rFonts w:cs="Arial"/>
              </w:rPr>
              <w:t>The study will also inform the government’s net zero sectoral plans and has been a valuable resource for Jobs and Skills Council workforce plans. There has also been international interest through the Australia-Singapore Green Skills Roundtable</w:t>
            </w:r>
            <w:r w:rsidR="00AC2606" w:rsidRPr="00AC0957">
              <w:rPr>
                <w:rFonts w:cs="Arial"/>
              </w:rPr>
              <w:t>.</w:t>
            </w:r>
            <w:r w:rsidR="008C52B1">
              <w:rPr>
                <w:rFonts w:cs="Arial"/>
              </w:rPr>
              <w:t xml:space="preserve"> </w:t>
            </w:r>
          </w:p>
          <w:p w14:paraId="1B5EA122" w14:textId="38A2DE55" w:rsidR="007B0787" w:rsidRDefault="007B0787" w:rsidP="007B0787">
            <w:pPr>
              <w:pStyle w:val="Caption"/>
            </w:pPr>
            <w:bookmarkStart w:id="358" w:name="_Toc181370376"/>
            <w:r>
              <w:t xml:space="preserve">Figure </w:t>
            </w:r>
            <w:r>
              <w:fldChar w:fldCharType="begin"/>
            </w:r>
            <w:r>
              <w:instrText>SEQ Figure \* ARABIC</w:instrText>
            </w:r>
            <w:r>
              <w:fldChar w:fldCharType="separate"/>
            </w:r>
            <w:r w:rsidR="00C47A81">
              <w:rPr>
                <w:noProof/>
              </w:rPr>
              <w:t>74</w:t>
            </w:r>
            <w:r>
              <w:fldChar w:fldCharType="end"/>
            </w:r>
            <w:r>
              <w:t>: Clean Energy Capacity Study impacts</w:t>
            </w:r>
            <w:bookmarkEnd w:id="358"/>
          </w:p>
          <w:p w14:paraId="6C6F253E" w14:textId="6AAFA1B6" w:rsidR="00AC2606" w:rsidRPr="00AC0957" w:rsidRDefault="00AC2606">
            <w:pPr>
              <w:rPr>
                <w:rFonts w:cs="Arial"/>
              </w:rPr>
            </w:pPr>
            <w:r w:rsidRPr="00AC0957">
              <w:rPr>
                <w:rFonts w:cs="Arial"/>
                <w:noProof/>
              </w:rPr>
              <w:drawing>
                <wp:inline distT="0" distB="0" distL="0" distR="0" wp14:anchorId="5045C5BE" wp14:editId="1C7E033C">
                  <wp:extent cx="5397808" cy="3592800"/>
                  <wp:effectExtent l="0" t="0" r="0" b="8255"/>
                  <wp:docPr id="972436721" name="Picture 1" descr="This figure illustrates the impact of the clean energy demonstration report described immediately preceding the figure, including informing federal government strategies and outcomes of the 2024-25 budg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436721" name="Picture 1" descr="This figure illustrates the impact of the clean energy demonstration report described immediately preceding the figure, including informing federal government strategies and outcomes of the 2024-25 budget. "/>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5397808" cy="3592800"/>
                          </a:xfrm>
                          <a:prstGeom prst="rect">
                            <a:avLst/>
                          </a:prstGeom>
                        </pic:spPr>
                      </pic:pic>
                    </a:graphicData>
                  </a:graphic>
                </wp:inline>
              </w:drawing>
            </w:r>
          </w:p>
        </w:tc>
      </w:tr>
    </w:tbl>
    <w:p w14:paraId="0CB32D41" w14:textId="77777777" w:rsidR="00AC2606" w:rsidRPr="00AC0957" w:rsidRDefault="00AC2606" w:rsidP="00AC2606">
      <w:pPr>
        <w:rPr>
          <w:rFonts w:cs="Arial"/>
        </w:rPr>
      </w:pPr>
    </w:p>
    <w:p w14:paraId="1D95EE2A" w14:textId="77777777" w:rsidR="0099678F" w:rsidRPr="0099678F" w:rsidRDefault="0099678F" w:rsidP="0099678F">
      <w:pPr>
        <w:rPr>
          <w:rFonts w:cs="Arial"/>
        </w:rPr>
      </w:pPr>
      <w:r w:rsidRPr="0099678F">
        <w:rPr>
          <w:rFonts w:cs="Arial"/>
        </w:rPr>
        <w:t xml:space="preserve">Prior to the ECEC study publication, its analysis of remuneration for ECEC professionals had already contributed to recent government policy initiatives, including the worker retention payment. The VET Workforce study is complementary to and supports the DEWR-led VET Blueprint. </w:t>
      </w:r>
    </w:p>
    <w:p w14:paraId="1BDE80A6" w14:textId="4E26EFDC" w:rsidR="0099678F" w:rsidRPr="0099678F" w:rsidRDefault="0099678F" w:rsidP="0099678F">
      <w:pPr>
        <w:rPr>
          <w:rFonts w:cs="Arial"/>
        </w:rPr>
      </w:pPr>
      <w:r w:rsidRPr="0099678F">
        <w:rPr>
          <w:rFonts w:cs="Arial"/>
        </w:rPr>
        <w:t xml:space="preserve">We can also measure our impact by analysing data on how many people are accessing and utilising our work. A key mechanism for communication is the JSA website, where the majority of our work and analysis is published. As shown in </w:t>
      </w:r>
      <w:r>
        <w:rPr>
          <w:rFonts w:cs="Arial"/>
        </w:rPr>
        <w:fldChar w:fldCharType="begin"/>
      </w:r>
      <w:r>
        <w:rPr>
          <w:rFonts w:cs="Arial"/>
        </w:rPr>
        <w:instrText xml:space="preserve"> REF _Ref179898684 \h </w:instrText>
      </w:r>
      <w:r>
        <w:rPr>
          <w:rFonts w:cs="Arial"/>
        </w:rPr>
      </w:r>
      <w:r>
        <w:rPr>
          <w:rFonts w:cs="Arial"/>
        </w:rPr>
        <w:fldChar w:fldCharType="separate"/>
      </w:r>
      <w:r w:rsidR="00C47A81">
        <w:t xml:space="preserve">Figure </w:t>
      </w:r>
      <w:r w:rsidR="00C47A81">
        <w:rPr>
          <w:noProof/>
        </w:rPr>
        <w:t>75</w:t>
      </w:r>
      <w:r>
        <w:rPr>
          <w:rFonts w:cs="Arial"/>
        </w:rPr>
        <w:fldChar w:fldCharType="end"/>
      </w:r>
      <w:r w:rsidRPr="0099678F">
        <w:rPr>
          <w:rFonts w:cs="Arial"/>
        </w:rPr>
        <w:t>, across the year to 31</w:t>
      </w:r>
      <w:r w:rsidR="00B81D14">
        <w:rPr>
          <w:rFonts w:cs="Arial"/>
        </w:rPr>
        <w:t> </w:t>
      </w:r>
      <w:r w:rsidRPr="0099678F">
        <w:rPr>
          <w:rFonts w:cs="Arial"/>
        </w:rPr>
        <w:t xml:space="preserve">August 2024, the website had 5,002,627 views, representing 1,020,853 people. </w:t>
      </w:r>
    </w:p>
    <w:p w14:paraId="64CE883D" w14:textId="4288926E" w:rsidR="00AC2606" w:rsidRPr="00AC0957" w:rsidRDefault="0099678F" w:rsidP="00B81D14">
      <w:pPr>
        <w:rPr>
          <w:rFonts w:cs="Arial"/>
        </w:rPr>
      </w:pPr>
      <w:r w:rsidRPr="0099678F">
        <w:rPr>
          <w:rFonts w:cs="Arial"/>
        </w:rPr>
        <w:t>The top 3 products viewed on the JSA website during this period were the Occupational Shortage List (formerly the Skills Priority List), Occupations and Industries, and the Jobs and Skills Atlas. In the year to August 31, 2024, JSA’s LinkedIn page also gained 3,850 new followers (a 60% gain over the year) – making 254,000 impressions and obtaining 140</w:t>
      </w:r>
      <w:r w:rsidR="00B81D14">
        <w:rPr>
          <w:rFonts w:cs="Arial"/>
        </w:rPr>
        <w:t> </w:t>
      </w:r>
      <w:r w:rsidRPr="0099678F">
        <w:rPr>
          <w:rFonts w:cs="Arial"/>
        </w:rPr>
        <w:t>comments, 692 shares, 5,170 likes and 10,816 mentions</w:t>
      </w:r>
      <w:r w:rsidR="00AC2606" w:rsidRPr="00AC0957">
        <w:rPr>
          <w:rFonts w:cs="Arial"/>
        </w:rPr>
        <w:t xml:space="preserve">. </w:t>
      </w:r>
    </w:p>
    <w:p w14:paraId="6FAFD9A6" w14:textId="132C4A3F" w:rsidR="00E4232B" w:rsidRDefault="00E4232B" w:rsidP="00E4232B">
      <w:pPr>
        <w:pStyle w:val="Caption"/>
      </w:pPr>
      <w:bookmarkStart w:id="359" w:name="_Ref179898684"/>
      <w:bookmarkStart w:id="360" w:name="_Toc181370377"/>
      <w:r>
        <w:t xml:space="preserve">Figure </w:t>
      </w:r>
      <w:r>
        <w:fldChar w:fldCharType="begin"/>
      </w:r>
      <w:r>
        <w:instrText xml:space="preserve"> SEQ Figure \* ARABIC </w:instrText>
      </w:r>
      <w:r>
        <w:fldChar w:fldCharType="separate"/>
      </w:r>
      <w:r w:rsidR="00C47A81">
        <w:rPr>
          <w:noProof/>
        </w:rPr>
        <w:t>75</w:t>
      </w:r>
      <w:r>
        <w:fldChar w:fldCharType="end"/>
      </w:r>
      <w:bookmarkEnd w:id="359"/>
      <w:r>
        <w:t xml:space="preserve">: </w:t>
      </w:r>
      <w:r w:rsidRPr="00465ABB">
        <w:t>Jobs and Skills Australia reach and engagement</w:t>
      </w:r>
      <w:bookmarkEnd w:id="360"/>
    </w:p>
    <w:p w14:paraId="624D706A" w14:textId="77777777" w:rsidR="00AC2606" w:rsidRPr="00AC0957" w:rsidRDefault="00AC2606" w:rsidP="00AC2606">
      <w:pPr>
        <w:jc w:val="center"/>
        <w:rPr>
          <w:rFonts w:cs="Arial"/>
        </w:rPr>
      </w:pPr>
      <w:r w:rsidRPr="00AC0957">
        <w:rPr>
          <w:rFonts w:cs="Arial"/>
          <w:noProof/>
        </w:rPr>
        <w:drawing>
          <wp:inline distT="0" distB="0" distL="0" distR="0" wp14:anchorId="22BD229E" wp14:editId="606379BD">
            <wp:extent cx="5731200" cy="3351578"/>
            <wp:effectExtent l="0" t="0" r="3175" b="1270"/>
            <wp:docPr id="1019682782" name="Picture 1" descr="This infographic shows JSA's reach and engagement across 2024. Across the year to 31 August 2024, the website had 5,002,627 views, representing 1,020,853 people. &#10;The top 3 products viewed on the JSA website during this period were the Occupational Shortage List (formerly the Skills Priority List), Occupations and Industries, and the Jobs and Skills Atlas. In the year to August 31, 2024, JSA’s LinkedIn page also gained 3,850 new followers (a 60% gain over the year) – making 254,000 impressions and obtaining 140 comments, 692 shares, 5,170 likes and 10,816 men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682782" name="Picture 1" descr="This infographic shows JSA's reach and engagement across 2024. Across the year to 31 August 2024, the website had 5,002,627 views, representing 1,020,853 people. &#10;The top 3 products viewed on the JSA website during this period were the Occupational Shortage List (formerly the Skills Priority List), Occupations and Industries, and the Jobs and Skills Atlas. In the year to August 31, 2024, JSA’s LinkedIn page also gained 3,850 new followers (a 60% gain over the year) – making 254,000 impressions and obtaining 140 comments, 692 shares, 5,170 likes and 10,816 mentions."/>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731200" cy="3351578"/>
                    </a:xfrm>
                    <a:prstGeom prst="rect">
                      <a:avLst/>
                    </a:prstGeom>
                  </pic:spPr>
                </pic:pic>
              </a:graphicData>
            </a:graphic>
          </wp:inline>
        </w:drawing>
      </w:r>
    </w:p>
    <w:p w14:paraId="4FDE6DB2" w14:textId="40575C72" w:rsidR="00AC2606" w:rsidRPr="00E4232B" w:rsidRDefault="00AC2606" w:rsidP="004F082D">
      <w:pPr>
        <w:pStyle w:val="Source"/>
      </w:pPr>
      <w:r w:rsidRPr="00E4232B">
        <w:t>Source: Google Analytics, LinkedIn Analytics, Sprinklr.</w:t>
      </w:r>
      <w:r w:rsidR="008C52B1">
        <w:t xml:space="preserve"> </w:t>
      </w:r>
    </w:p>
    <w:p w14:paraId="23488A15" w14:textId="7582E6E0" w:rsidR="00293C51" w:rsidRDefault="00293C51" w:rsidP="00293C51">
      <w:pPr>
        <w:pStyle w:val="IntenseQuote"/>
      </w:pPr>
      <w:r w:rsidRPr="0077664B">
        <w:t xml:space="preserve">In the year to August 31, 2024, JSA was mentioned </w:t>
      </w:r>
      <w:r>
        <w:t>at least</w:t>
      </w:r>
      <w:r w:rsidRPr="0077664B">
        <w:t xml:space="preserve"> 10,816 times on platforms including news media, blogs, podcasts, and social media</w:t>
      </w:r>
      <w:r w:rsidR="00CC0441">
        <w:rPr>
          <w:rStyle w:val="FootnoteReference"/>
        </w:rPr>
        <w:footnoteReference w:id="36"/>
      </w:r>
      <w:r w:rsidRPr="0077664B">
        <w:t>.</w:t>
      </w:r>
    </w:p>
    <w:p w14:paraId="0E466FB8" w14:textId="53A177F5" w:rsidR="00AC2606" w:rsidRPr="00AC0957" w:rsidRDefault="00AC2606" w:rsidP="00AC2606">
      <w:pPr>
        <w:rPr>
          <w:rFonts w:cs="Arial"/>
        </w:rPr>
      </w:pPr>
      <w:r w:rsidRPr="00AC0957">
        <w:rPr>
          <w:rFonts w:cs="Arial"/>
        </w:rPr>
        <w:t xml:space="preserve">Diving deeper into our website analytics can also help us to confirm whether responses to stakeholder feedback have been successful, and who our insights may be helping and enabling – as is the case for our Internet Vacancy Index (IVI) insights report. </w:t>
      </w:r>
    </w:p>
    <w:tbl>
      <w:tblPr>
        <w:tblStyle w:val="TableGrid"/>
        <w:tblW w:w="0" w:type="auto"/>
        <w:tblLook w:val="04A0" w:firstRow="1" w:lastRow="0" w:firstColumn="1" w:lastColumn="0" w:noHBand="0" w:noVBand="1"/>
      </w:tblPr>
      <w:tblGrid>
        <w:gridCol w:w="9016"/>
      </w:tblGrid>
      <w:tr w:rsidR="00AC2606" w:rsidRPr="00AC0957" w14:paraId="2D09D9B4" w14:textId="77777777" w:rsidTr="00CA1B3D">
        <w:tc>
          <w:tcPr>
            <w:tcW w:w="9016" w:type="dxa"/>
            <w:tcBorders>
              <w:top w:val="nil"/>
              <w:left w:val="nil"/>
              <w:bottom w:val="nil"/>
              <w:right w:val="nil"/>
            </w:tcBorders>
            <w:shd w:val="clear" w:color="auto" w:fill="E0D1F5" w:themeFill="accent1" w:themeFillTint="33"/>
          </w:tcPr>
          <w:p w14:paraId="7CD408A0" w14:textId="481FA1B4" w:rsidR="00AC2606" w:rsidRPr="00AC0957" w:rsidRDefault="00AC2606" w:rsidP="004F082D">
            <w:pPr>
              <w:pStyle w:val="Heading3"/>
              <w:rPr>
                <w:rFonts w:cs="Arial"/>
              </w:rPr>
            </w:pPr>
            <w:bookmarkStart w:id="361" w:name="_Toc179887440"/>
            <w:bookmarkStart w:id="362" w:name="_Toc181371637"/>
            <w:r w:rsidRPr="00AC0957">
              <w:rPr>
                <w:rFonts w:cs="Arial"/>
              </w:rPr>
              <w:t>Case study: Adapting our insights to better serve our stakeholders</w:t>
            </w:r>
            <w:bookmarkEnd w:id="361"/>
            <w:bookmarkEnd w:id="362"/>
          </w:p>
          <w:p w14:paraId="7876C8BA" w14:textId="008B61B1" w:rsidR="00AC2606" w:rsidRPr="00AC0957" w:rsidRDefault="00AC2606">
            <w:pPr>
              <w:rPr>
                <w:rFonts w:cs="Arial"/>
              </w:rPr>
            </w:pPr>
            <w:r w:rsidRPr="00AC0957">
              <w:rPr>
                <w:rFonts w:eastAsia="Times New Roman" w:cs="Arial"/>
                <w:lang w:eastAsia="en-AU"/>
              </w:rPr>
              <w:t>JSA</w:t>
            </w:r>
            <w:r w:rsidRPr="00AC0957">
              <w:rPr>
                <w:rFonts w:cs="Arial"/>
              </w:rPr>
              <w:t xml:space="preserve">’s IVI, or Internet Vacancy Index, is a data product that dates back through various predecessors of the organisation to the mid-2000s. In June 2024, </w:t>
            </w:r>
            <w:r w:rsidRPr="00AC0957">
              <w:rPr>
                <w:rFonts w:eastAsia="Times New Roman" w:cs="Arial"/>
                <w:lang w:eastAsia="en-AU"/>
              </w:rPr>
              <w:t>JSA</w:t>
            </w:r>
            <w:r w:rsidRPr="00AC0957">
              <w:rPr>
                <w:rFonts w:cs="Arial"/>
              </w:rPr>
              <w:t xml:space="preserve"> re-vamped the IVI Vacancy Report to make it more user friendly, better meet the criteria and vision of JSA, and meet known and anticipated stakeholder demand for: </w:t>
            </w:r>
          </w:p>
          <w:p w14:paraId="7FFF763C" w14:textId="77777777" w:rsidR="00AC2606" w:rsidRPr="00AC0957" w:rsidRDefault="00AC2606" w:rsidP="00CA1B3D">
            <w:pPr>
              <w:pStyle w:val="ListBullet"/>
            </w:pPr>
            <w:r w:rsidRPr="00AC0957">
              <w:t>Demonstrations of how IVI can be incorporated into their own analysis and products. </w:t>
            </w:r>
          </w:p>
          <w:p w14:paraId="0667E6F1" w14:textId="0E24F061" w:rsidR="00AC2606" w:rsidRPr="00AC0957" w:rsidRDefault="00AC2606" w:rsidP="00CA1B3D">
            <w:pPr>
              <w:pStyle w:val="ListBullet"/>
            </w:pPr>
            <w:r w:rsidRPr="00AC0957">
              <w:t>Examples of how IVI can be married with other datasets for comprehensive views of sectors or occupations within the labour market.</w:t>
            </w:r>
            <w:r w:rsidR="008C52B1">
              <w:t xml:space="preserve"> </w:t>
            </w:r>
          </w:p>
          <w:p w14:paraId="12F78CC9" w14:textId="0E4E54B3" w:rsidR="00AC2606" w:rsidRPr="004F082D" w:rsidRDefault="00AC2606" w:rsidP="00CA1B3D">
            <w:pPr>
              <w:pStyle w:val="ListBullet"/>
            </w:pPr>
            <w:r w:rsidRPr="00AC0957">
              <w:t>Easily accessible key insights for briefing and information requirements.</w:t>
            </w:r>
            <w:r w:rsidR="008C52B1">
              <w:t xml:space="preserve"> </w:t>
            </w:r>
          </w:p>
          <w:p w14:paraId="6FAA0EC5" w14:textId="182D7301" w:rsidR="00AC2606" w:rsidRPr="00AC0957" w:rsidRDefault="00AC2606">
            <w:pPr>
              <w:rPr>
                <w:rFonts w:cs="Arial"/>
              </w:rPr>
            </w:pPr>
            <w:r w:rsidRPr="00AC0957">
              <w:rPr>
                <w:rFonts w:cs="Arial"/>
              </w:rPr>
              <w:t>A key change to the report is the inclusion of a ‘spotlight’ feature, that brings together various labour market data to explore a theme or topic using a narrative approach. These spotlights have presented information from a geographic, cohort, and occupational perspective and helped us to better meet stakeholder need for information and guidance.</w:t>
            </w:r>
            <w:r w:rsidR="008C52B1">
              <w:rPr>
                <w:rFonts w:cs="Arial"/>
              </w:rPr>
              <w:t xml:space="preserve"> </w:t>
            </w:r>
          </w:p>
          <w:p w14:paraId="74F35DC6" w14:textId="56573D00" w:rsidR="00AC2606" w:rsidRPr="00AC0957" w:rsidRDefault="00AC2606">
            <w:pPr>
              <w:rPr>
                <w:rFonts w:cs="Arial"/>
              </w:rPr>
            </w:pPr>
            <w:r w:rsidRPr="00AC0957">
              <w:rPr>
                <w:rFonts w:cs="Arial"/>
              </w:rPr>
              <w:t xml:space="preserve">As a result, </w:t>
            </w:r>
            <w:r w:rsidRPr="00AC0957">
              <w:rPr>
                <w:rFonts w:eastAsia="Times New Roman" w:cs="Arial"/>
                <w:lang w:eastAsia="en-AU"/>
              </w:rPr>
              <w:t>JSA</w:t>
            </w:r>
            <w:r w:rsidRPr="00AC0957">
              <w:rPr>
                <w:rFonts w:cs="Arial"/>
              </w:rPr>
              <w:t xml:space="preserve"> has a monthly opportunity to be proactive or reactive to trends in the labour market or stakeholder feedback, and to provide real world examples of how our datasets can be used with each other or with external data sources to create a more comprehensive, cohesive narrative on labour market topics. </w:t>
            </w:r>
          </w:p>
          <w:p w14:paraId="314D45B9" w14:textId="07E1CF97" w:rsidR="00AC2606" w:rsidRPr="00AC0957" w:rsidRDefault="00AC2606">
            <w:pPr>
              <w:rPr>
                <w:rFonts w:cs="Arial"/>
              </w:rPr>
            </w:pPr>
            <w:r w:rsidRPr="00AC0957">
              <w:rPr>
                <w:rFonts w:cs="Arial"/>
              </w:rPr>
              <w:t xml:space="preserve">Since the launch of the re-vamped insights, downloads of the Vacancy Report are </w:t>
            </w:r>
            <w:r w:rsidRPr="00F30E07">
              <w:rPr>
                <w:rFonts w:cs="Arial"/>
              </w:rPr>
              <w:t>up</w:t>
            </w:r>
            <w:r w:rsidR="00EC1BEE">
              <w:rPr>
                <w:rFonts w:cs="Arial"/>
              </w:rPr>
              <w:t xml:space="preserve"> </w:t>
            </w:r>
            <w:r w:rsidRPr="003114F2">
              <w:rPr>
                <w:rFonts w:cs="Arial"/>
              </w:rPr>
              <w:t>160</w:t>
            </w:r>
            <w:r w:rsidRPr="00F30E07">
              <w:rPr>
                <w:rFonts w:cs="Arial"/>
              </w:rPr>
              <w:t xml:space="preserve">% and users are up </w:t>
            </w:r>
            <w:r w:rsidRPr="003114F2">
              <w:rPr>
                <w:rFonts w:cs="Arial"/>
              </w:rPr>
              <w:t>174</w:t>
            </w:r>
            <w:r w:rsidRPr="00AC0957">
              <w:rPr>
                <w:rFonts w:cs="Arial"/>
              </w:rPr>
              <w:t>%. Users have also benefitted from the addition of the previous reports section, allowing users to refer to previous spotlight analyses, attracting further downloads.</w:t>
            </w:r>
          </w:p>
          <w:p w14:paraId="7C789415" w14:textId="5724C7D9" w:rsidR="00AC2606" w:rsidRPr="00AC0957" w:rsidRDefault="00AC2606">
            <w:pPr>
              <w:rPr>
                <w:rFonts w:cs="Arial"/>
              </w:rPr>
            </w:pPr>
            <w:r w:rsidRPr="00AC0957">
              <w:rPr>
                <w:rFonts w:cs="Arial"/>
              </w:rPr>
              <w:t>We have also seen a change in the proportion of users accessing the insights from IVI via a mobile device – rising from 11.4% to 16.5% over the year to August 2024 (</w:t>
            </w:r>
            <w:r w:rsidR="000B055E">
              <w:rPr>
                <w:rFonts w:cs="Arial"/>
              </w:rPr>
              <w:fldChar w:fldCharType="begin"/>
            </w:r>
            <w:r w:rsidR="000B055E">
              <w:rPr>
                <w:rFonts w:cs="Arial"/>
              </w:rPr>
              <w:instrText xml:space="preserve"> REF _Ref179898692 \h </w:instrText>
            </w:r>
            <w:r w:rsidR="000B055E">
              <w:rPr>
                <w:rFonts w:cs="Arial"/>
              </w:rPr>
            </w:r>
            <w:r w:rsidR="000B055E">
              <w:rPr>
                <w:rFonts w:cs="Arial"/>
              </w:rPr>
              <w:fldChar w:fldCharType="separate"/>
            </w:r>
            <w:r w:rsidR="00C47A81">
              <w:t xml:space="preserve">Figure </w:t>
            </w:r>
            <w:r w:rsidR="00C47A81">
              <w:rPr>
                <w:noProof/>
              </w:rPr>
              <w:t>76</w:t>
            </w:r>
            <w:r w:rsidR="000B055E">
              <w:rPr>
                <w:rFonts w:cs="Arial"/>
              </w:rPr>
              <w:fldChar w:fldCharType="end"/>
            </w:r>
            <w:r w:rsidRPr="00AC0957">
              <w:rPr>
                <w:rFonts w:cs="Arial"/>
              </w:rPr>
              <w:t xml:space="preserve">). </w:t>
            </w:r>
          </w:p>
          <w:p w14:paraId="68C44E65" w14:textId="233FF52C" w:rsidR="002A160B" w:rsidRDefault="002A160B" w:rsidP="00B81D14">
            <w:pPr>
              <w:pStyle w:val="Caption"/>
              <w:spacing w:before="0"/>
            </w:pPr>
            <w:bookmarkStart w:id="363" w:name="_Ref179898692"/>
            <w:bookmarkStart w:id="364" w:name="_Toc181370378"/>
            <w:r>
              <w:t xml:space="preserve">Figure </w:t>
            </w:r>
            <w:r>
              <w:fldChar w:fldCharType="begin"/>
            </w:r>
            <w:r>
              <w:instrText>SEQ Figure \* ARABIC</w:instrText>
            </w:r>
            <w:r>
              <w:fldChar w:fldCharType="separate"/>
            </w:r>
            <w:r w:rsidR="00C47A81">
              <w:rPr>
                <w:noProof/>
              </w:rPr>
              <w:t>76</w:t>
            </w:r>
            <w:r>
              <w:fldChar w:fldCharType="end"/>
            </w:r>
            <w:bookmarkEnd w:id="363"/>
            <w:r>
              <w:t xml:space="preserve">: </w:t>
            </w:r>
            <w:r w:rsidRPr="000C24C6">
              <w:t>Percentage of users access to IVI via mobile device</w:t>
            </w:r>
            <w:bookmarkEnd w:id="364"/>
          </w:p>
          <w:p w14:paraId="0C19F485" w14:textId="15770796" w:rsidR="00AC2606" w:rsidRPr="00AC0957" w:rsidRDefault="00696279">
            <w:pPr>
              <w:jc w:val="center"/>
              <w:rPr>
                <w:rFonts w:cs="Arial"/>
              </w:rPr>
            </w:pPr>
            <w:r>
              <w:rPr>
                <w:rFonts w:cs="Arial"/>
                <w:noProof/>
              </w:rPr>
              <w:drawing>
                <wp:inline distT="0" distB="0" distL="0" distR="0" wp14:anchorId="76104C22" wp14:editId="3796540D">
                  <wp:extent cx="4263241" cy="2561146"/>
                  <wp:effectExtent l="0" t="0" r="4445" b="0"/>
                  <wp:docPr id="1515111434" name="Picture 81" descr="This graph shows the percentage of users who accessed IVI via a mobile device. The graph begins at around 12% in August 2023 and hovers near to that percentage before it starts to rise in February 2024. While it dips slightly in May 2024 it rises again to a peak of over 16% by August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111434" name="Picture 81" descr="This graph shows the percentage of users who accessed IVI via a mobile device. The graph begins at around 12% in August 2023 and hovers near to that percentage before it starts to rise in February 2024. While it dips slightly in May 2024 it rises again to a peak of over 16% by August 2024"/>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297502" cy="2581728"/>
                          </a:xfrm>
                          <a:prstGeom prst="rect">
                            <a:avLst/>
                          </a:prstGeom>
                          <a:noFill/>
                        </pic:spPr>
                      </pic:pic>
                    </a:graphicData>
                  </a:graphic>
                </wp:inline>
              </w:drawing>
            </w:r>
          </w:p>
          <w:p w14:paraId="5AC648CA" w14:textId="2663622A" w:rsidR="00AC2606" w:rsidRPr="002A160B" w:rsidRDefault="00AC2606" w:rsidP="004F082D">
            <w:pPr>
              <w:pStyle w:val="Source"/>
            </w:pPr>
            <w:r w:rsidRPr="002A160B">
              <w:t xml:space="preserve"> Source: Google analytics – Jobs and Skills Australia </w:t>
            </w:r>
            <w:r w:rsidR="00B528D0">
              <w:t>w</w:t>
            </w:r>
            <w:r w:rsidRPr="002A160B">
              <w:t>ebsite</w:t>
            </w:r>
            <w:r w:rsidR="00BD1522">
              <w:t>.</w:t>
            </w:r>
          </w:p>
          <w:p w14:paraId="4177D3EC" w14:textId="2326A873" w:rsidR="00AC2606" w:rsidRPr="00AC0957" w:rsidRDefault="00AC2606" w:rsidP="00FB1F74">
            <w:pPr>
              <w:keepLines/>
              <w:rPr>
                <w:rFonts w:cs="Arial"/>
              </w:rPr>
            </w:pPr>
            <w:r w:rsidRPr="00AC0957">
              <w:rPr>
                <w:rFonts w:cs="Arial"/>
              </w:rPr>
              <w:t xml:space="preserve">This change may indicate that IVI insights are reaching an expanded cohort of users. While more technical audiences may tend to access the insights via a desktop device where they can also access and utilise the data downloads, the increase in mobile device users may mean that a wider audience is accessing and utilising the broad insights from IVI. This would demonstrate that our IVI insights are more user-friendly, accessible, and useful for a broader audience than before. </w:t>
            </w:r>
          </w:p>
        </w:tc>
      </w:tr>
    </w:tbl>
    <w:p w14:paraId="6AB2F265" w14:textId="77352CB0" w:rsidR="00AC2606" w:rsidRDefault="00AC2606" w:rsidP="00AC2606">
      <w:pPr>
        <w:rPr>
          <w:rFonts w:cs="Arial"/>
        </w:rPr>
      </w:pPr>
      <w:r w:rsidRPr="00AC0957">
        <w:rPr>
          <w:rFonts w:cs="Arial"/>
        </w:rPr>
        <w:t>We can also track our impact through the flow-on effect into how our work informs or supports other government measures – as for our Clean Energy Generation report explored previously, and stakeholder feedback also gives us insights into how our work enables others.</w:t>
      </w:r>
    </w:p>
    <w:tbl>
      <w:tblPr>
        <w:tblStyle w:val="TableGrid"/>
        <w:tblW w:w="0" w:type="auto"/>
        <w:tblLook w:val="04A0" w:firstRow="1" w:lastRow="0" w:firstColumn="1" w:lastColumn="0" w:noHBand="0" w:noVBand="1"/>
      </w:tblPr>
      <w:tblGrid>
        <w:gridCol w:w="9016"/>
      </w:tblGrid>
      <w:tr w:rsidR="00B81D14" w:rsidRPr="00AC0957" w14:paraId="405BCA68" w14:textId="77777777" w:rsidTr="0086718C">
        <w:tc>
          <w:tcPr>
            <w:tcW w:w="9016" w:type="dxa"/>
            <w:tcBorders>
              <w:top w:val="nil"/>
              <w:left w:val="nil"/>
              <w:bottom w:val="nil"/>
              <w:right w:val="nil"/>
            </w:tcBorders>
            <w:shd w:val="clear" w:color="auto" w:fill="E0D1F5" w:themeFill="accent1" w:themeFillTint="33"/>
          </w:tcPr>
          <w:p w14:paraId="1CD9EC6D" w14:textId="77777777" w:rsidR="00B81D14" w:rsidRPr="00AC0957" w:rsidRDefault="00B81D14" w:rsidP="0086718C">
            <w:pPr>
              <w:pStyle w:val="Heading3"/>
              <w:rPr>
                <w:rFonts w:cs="Arial"/>
              </w:rPr>
            </w:pPr>
            <w:bookmarkStart w:id="365" w:name="_Toc181371638"/>
            <w:r w:rsidRPr="00AC0957">
              <w:rPr>
                <w:rFonts w:cs="Arial"/>
              </w:rPr>
              <w:t>The Jobs and Skills Atlas – helping users access more of our insights</w:t>
            </w:r>
            <w:bookmarkEnd w:id="365"/>
          </w:p>
          <w:p w14:paraId="6F4FD7CE" w14:textId="77777777" w:rsidR="00B81D14" w:rsidRPr="00352D75" w:rsidRDefault="00B81D14" w:rsidP="0086718C">
            <w:pPr>
              <w:rPr>
                <w:rFonts w:cs="Arial"/>
              </w:rPr>
            </w:pPr>
            <w:r w:rsidRPr="00352D75">
              <w:rPr>
                <w:rFonts w:cs="Arial"/>
              </w:rPr>
              <w:t xml:space="preserve">On 14 August 2024, after a year in beta during which stakeholders and the public were invited to provide feedback, JSA officially launched the Jobs and Skills Atlas (Atlas). </w:t>
            </w:r>
          </w:p>
          <w:p w14:paraId="6516DB3E" w14:textId="75AFDADF" w:rsidR="00B81D14" w:rsidRPr="00AC0957" w:rsidRDefault="00B81D14" w:rsidP="0086718C">
            <w:pPr>
              <w:rPr>
                <w:rFonts w:cs="Arial"/>
              </w:rPr>
            </w:pPr>
            <w:r w:rsidRPr="00352D75">
              <w:rPr>
                <w:rFonts w:cs="Arial"/>
              </w:rPr>
              <w:t>Atlas is an interactive data visualisation and exploration tool that combines datasets produced by JSA, the Australian Bureau of Statistics (ABS), the National Centre for Vocational Education Research (NCVER) and other agencies. It is the first platform of its kind to combine this kind of expert data and provide a comprehensive view of labour market data at national, state, and regional levels by occupation, industry and training in a searchable, user-friendly interface</w:t>
            </w:r>
            <w:r w:rsidRPr="00AC0957">
              <w:rPr>
                <w:rFonts w:cs="Arial"/>
              </w:rPr>
              <w:t xml:space="preserve"> (</w:t>
            </w:r>
            <w:r w:rsidR="00B528D0">
              <w:rPr>
                <w:rFonts w:cs="Arial"/>
              </w:rPr>
              <w:fldChar w:fldCharType="begin"/>
            </w:r>
            <w:r w:rsidR="00B528D0">
              <w:rPr>
                <w:rFonts w:cs="Arial"/>
              </w:rPr>
              <w:instrText xml:space="preserve"> REF _Ref181370051 \h </w:instrText>
            </w:r>
            <w:r w:rsidR="00B528D0">
              <w:rPr>
                <w:rFonts w:cs="Arial"/>
              </w:rPr>
            </w:r>
            <w:r w:rsidR="00B528D0">
              <w:rPr>
                <w:rFonts w:cs="Arial"/>
              </w:rPr>
              <w:fldChar w:fldCharType="separate"/>
            </w:r>
            <w:r w:rsidR="00C47A81">
              <w:t xml:space="preserve">Figure </w:t>
            </w:r>
            <w:r w:rsidR="00C47A81">
              <w:rPr>
                <w:noProof/>
              </w:rPr>
              <w:t>77</w:t>
            </w:r>
            <w:r w:rsidR="00B528D0">
              <w:rPr>
                <w:rFonts w:cs="Arial"/>
              </w:rPr>
              <w:fldChar w:fldCharType="end"/>
            </w:r>
            <w:r w:rsidRPr="00AC0957">
              <w:rPr>
                <w:rFonts w:cs="Arial"/>
              </w:rPr>
              <w:t>).</w:t>
            </w:r>
          </w:p>
          <w:p w14:paraId="38E5B875" w14:textId="44A3EA32" w:rsidR="00B81D14" w:rsidRDefault="00B81D14" w:rsidP="0086718C">
            <w:pPr>
              <w:pStyle w:val="Caption"/>
            </w:pPr>
            <w:bookmarkStart w:id="366" w:name="_Ref181370051"/>
            <w:bookmarkStart w:id="367" w:name="_Ref181370043"/>
            <w:bookmarkStart w:id="368" w:name="_Toc181370379"/>
            <w:r>
              <w:t xml:space="preserve">Figure </w:t>
            </w:r>
            <w:r>
              <w:fldChar w:fldCharType="begin"/>
            </w:r>
            <w:r>
              <w:instrText xml:space="preserve"> SEQ Figure \* ARABIC </w:instrText>
            </w:r>
            <w:r>
              <w:fldChar w:fldCharType="separate"/>
            </w:r>
            <w:r w:rsidR="00C47A81">
              <w:rPr>
                <w:noProof/>
              </w:rPr>
              <w:t>77</w:t>
            </w:r>
            <w:r>
              <w:rPr>
                <w:noProof/>
              </w:rPr>
              <w:fldChar w:fldCharType="end"/>
            </w:r>
            <w:bookmarkEnd w:id="366"/>
            <w:r>
              <w:t xml:space="preserve">: </w:t>
            </w:r>
            <w:r w:rsidRPr="00CC33D5">
              <w:t>Jobs and Skills Atlas Interface</w:t>
            </w:r>
            <w:bookmarkEnd w:id="367"/>
            <w:bookmarkEnd w:id="368"/>
          </w:p>
          <w:p w14:paraId="5FE23FA9" w14:textId="77777777" w:rsidR="00B81D14" w:rsidRPr="00AC0957" w:rsidRDefault="00B81D14" w:rsidP="0086718C">
            <w:pPr>
              <w:jc w:val="center"/>
              <w:rPr>
                <w:rFonts w:cs="Arial"/>
              </w:rPr>
            </w:pPr>
            <w:r w:rsidRPr="00AC0957">
              <w:rPr>
                <w:rFonts w:cs="Arial"/>
                <w:noProof/>
              </w:rPr>
              <w:drawing>
                <wp:inline distT="0" distB="0" distL="0" distR="0" wp14:anchorId="1C70D30C" wp14:editId="54716866">
                  <wp:extent cx="5400000" cy="3196800"/>
                  <wp:effectExtent l="0" t="0" r="0" b="3810"/>
                  <wp:docPr id="235552152" name="Picture 1" descr="This figure shows a screenshot of the Atlas interface. It shows a map of Australia and the different ways the data can be explo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52152" name="Picture 1" descr="This figure shows a screenshot of the Atlas interface. It shows a map of Australia and the different ways the data can be explored. "/>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400000" cy="3196800"/>
                          </a:xfrm>
                          <a:prstGeom prst="rect">
                            <a:avLst/>
                          </a:prstGeom>
                          <a:ln>
                            <a:noFill/>
                          </a:ln>
                        </pic:spPr>
                      </pic:pic>
                    </a:graphicData>
                  </a:graphic>
                </wp:inline>
              </w:drawing>
            </w:r>
          </w:p>
          <w:p w14:paraId="05B12A76" w14:textId="77777777" w:rsidR="00B81D14" w:rsidRPr="00AC0957" w:rsidRDefault="00B81D14" w:rsidP="0086718C">
            <w:pPr>
              <w:pStyle w:val="Source"/>
            </w:pPr>
            <w:r w:rsidRPr="00AC0957">
              <w:t>Source: Jobs and Skills Australia website</w:t>
            </w:r>
          </w:p>
          <w:p w14:paraId="78B6B234" w14:textId="77777777" w:rsidR="00B81D14" w:rsidRPr="003F2AE1" w:rsidRDefault="00B81D14" w:rsidP="0086718C">
            <w:pPr>
              <w:rPr>
                <w:rFonts w:cs="Arial"/>
              </w:rPr>
            </w:pPr>
            <w:r w:rsidRPr="003F2AE1">
              <w:rPr>
                <w:rFonts w:cs="Arial"/>
              </w:rPr>
              <w:t>Atlas is a unique product for JSA as it attempts to reach the widest audience possible. As of 1 September 2024, the Jobs and Skills Atlas was one of the most viewed pages on the JSA website. Atlas and its beta version received 437,162 views across 53,506 total users including 9,500 international users to this date.</w:t>
            </w:r>
          </w:p>
          <w:p w14:paraId="61A2DF42" w14:textId="1E322C3E" w:rsidR="00B81D14" w:rsidRPr="00B81D14" w:rsidRDefault="00B81D14" w:rsidP="0086718C">
            <w:pPr>
              <w:rPr>
                <w:rFonts w:cs="Arial"/>
              </w:rPr>
            </w:pPr>
            <w:r w:rsidRPr="003F2AE1">
              <w:rPr>
                <w:rFonts w:cs="Arial"/>
              </w:rPr>
              <w:t>Atlas is designed for a wide range of specialist and non-specialist users across the community:</w:t>
            </w:r>
            <w:r>
              <w:rPr>
                <w:rFonts w:cs="Arial"/>
              </w:rPr>
              <w:t xml:space="preserve"> </w:t>
            </w:r>
            <w:r w:rsidRPr="003F2AE1">
              <w:rPr>
                <w:rFonts w:cs="Arial"/>
              </w:rPr>
              <w:t>policy analysts, educators, economists, managers, employers, employment providers, industry associations, career advisors, local councils, businesses, and the public</w:t>
            </w:r>
            <w:r w:rsidRPr="00AC0957">
              <w:rPr>
                <w:rFonts w:cs="Arial"/>
              </w:rPr>
              <w:t>.</w:t>
            </w:r>
          </w:p>
        </w:tc>
      </w:tr>
    </w:tbl>
    <w:p w14:paraId="6D73D64C" w14:textId="77777777" w:rsidR="00B81D14" w:rsidRPr="00AC0957" w:rsidRDefault="00B81D14" w:rsidP="00AC2606">
      <w:pPr>
        <w:rPr>
          <w:rFonts w:cs="Arial"/>
        </w:rPr>
      </w:pPr>
    </w:p>
    <w:tbl>
      <w:tblPr>
        <w:tblStyle w:val="TableGrid"/>
        <w:tblW w:w="0" w:type="auto"/>
        <w:tblLook w:val="04A0" w:firstRow="1" w:lastRow="0" w:firstColumn="1" w:lastColumn="0" w:noHBand="0" w:noVBand="1"/>
      </w:tblPr>
      <w:tblGrid>
        <w:gridCol w:w="9016"/>
      </w:tblGrid>
      <w:tr w:rsidR="00AC2606" w:rsidRPr="00AC0957" w14:paraId="1CC12A4E" w14:textId="77777777" w:rsidTr="00212CC4">
        <w:tc>
          <w:tcPr>
            <w:tcW w:w="9016" w:type="dxa"/>
            <w:tcBorders>
              <w:top w:val="nil"/>
              <w:left w:val="nil"/>
              <w:bottom w:val="nil"/>
              <w:right w:val="nil"/>
            </w:tcBorders>
            <w:shd w:val="clear" w:color="auto" w:fill="E0D1F5" w:themeFill="accent1" w:themeFillTint="33"/>
          </w:tcPr>
          <w:p w14:paraId="21475241" w14:textId="4D6AF8F7" w:rsidR="007E366B" w:rsidRPr="00AC0957" w:rsidRDefault="007E366B" w:rsidP="007E366B">
            <w:pPr>
              <w:pStyle w:val="Heading3"/>
              <w:rPr>
                <w:rFonts w:cs="Arial"/>
              </w:rPr>
            </w:pPr>
            <w:bookmarkStart w:id="369" w:name="_Toc179887442"/>
            <w:bookmarkStart w:id="370" w:name="_Toc181371639"/>
            <w:r w:rsidRPr="00AC0957">
              <w:rPr>
                <w:rFonts w:cs="Arial"/>
              </w:rPr>
              <w:t>How Atlas assists Rebekah, a career development practitioner</w:t>
            </w:r>
            <w:bookmarkEnd w:id="369"/>
            <w:bookmarkEnd w:id="370"/>
          </w:p>
          <w:p w14:paraId="60FB8B13" w14:textId="6CC2B01E" w:rsidR="007E366B" w:rsidRPr="004F082D" w:rsidRDefault="007E366B" w:rsidP="007E366B">
            <w:pPr>
              <w:rPr>
                <w:rFonts w:cs="Arial"/>
                <w:b/>
                <w:bCs/>
              </w:rPr>
            </w:pPr>
            <w:r w:rsidRPr="00AC0957">
              <w:rPr>
                <w:rFonts w:cs="Arial"/>
                <w:b/>
                <w:bCs/>
              </w:rPr>
              <w:t>Rebekah is a career development practitioner and assists mature-age clients transition into other work.</w:t>
            </w:r>
          </w:p>
          <w:p w14:paraId="55456DBC" w14:textId="4F64ED13" w:rsidR="007E366B" w:rsidRPr="00AC0957" w:rsidRDefault="007E366B" w:rsidP="007E366B">
            <w:pPr>
              <w:rPr>
                <w:rFonts w:cs="Arial"/>
                <w:i/>
                <w:iCs/>
              </w:rPr>
            </w:pPr>
            <w:r w:rsidRPr="00AC0957">
              <w:rPr>
                <w:rFonts w:cs="Arial"/>
                <w:i/>
                <w:iCs/>
              </w:rPr>
              <w:t>I help clients to identify growth industries and understand future employment projections so they can align their skills with a labour market that is rapidly evolving to meet macro-economic goals such as net zero emissions.</w:t>
            </w:r>
            <w:r w:rsidR="008C52B1">
              <w:rPr>
                <w:rFonts w:cs="Arial"/>
                <w:i/>
                <w:iCs/>
              </w:rPr>
              <w:t xml:space="preserve"> </w:t>
            </w:r>
          </w:p>
          <w:p w14:paraId="1BF7C3ED" w14:textId="127CE67F" w:rsidR="007E366B" w:rsidRPr="00AC0957" w:rsidRDefault="007E366B" w:rsidP="007E366B">
            <w:pPr>
              <w:rPr>
                <w:rFonts w:cs="Arial"/>
                <w:i/>
                <w:iCs/>
              </w:rPr>
            </w:pPr>
            <w:r w:rsidRPr="00AC0957">
              <w:rPr>
                <w:rFonts w:cs="Arial"/>
                <w:i/>
                <w:iCs/>
              </w:rPr>
              <w:t xml:space="preserve">For each of these work streams, I rely heavily on accurate and current data. Previously, I’d go to a variety of sources, including paying $12 per report for a particular occupation, to obtain the breakdown of state and regional employment numbers. This kind of information was very generic and quickly out of date. There was not a lot of real time capture. </w:t>
            </w:r>
          </w:p>
          <w:p w14:paraId="048EA9B4" w14:textId="5CA33FCC" w:rsidR="007E366B" w:rsidRPr="00AC0957" w:rsidRDefault="007E366B" w:rsidP="007E366B">
            <w:pPr>
              <w:rPr>
                <w:rFonts w:cs="Arial"/>
                <w:i/>
                <w:iCs/>
              </w:rPr>
            </w:pPr>
            <w:r w:rsidRPr="00AC0957">
              <w:rPr>
                <w:rFonts w:cs="Arial"/>
                <w:i/>
                <w:iCs/>
              </w:rPr>
              <w:t xml:space="preserve">With Atlas, all the information I need is available in one place for free. And the data is richer, deeper and broader than ever before. I now have access to real-time data about skills shortages, regional shortages and no shortage classifications which helps identify future job opportunities. </w:t>
            </w:r>
          </w:p>
          <w:p w14:paraId="5993E712" w14:textId="7DD34EA5" w:rsidR="007E366B" w:rsidRPr="00AC0957" w:rsidRDefault="007E366B" w:rsidP="007E366B">
            <w:pPr>
              <w:rPr>
                <w:rFonts w:cs="Arial"/>
                <w:i/>
                <w:iCs/>
              </w:rPr>
            </w:pPr>
            <w:r w:rsidRPr="00AC0957">
              <w:rPr>
                <w:rFonts w:cs="Arial"/>
                <w:i/>
                <w:iCs/>
              </w:rPr>
              <w:t xml:space="preserve">Atlas really aligns with my values in helping clients to identify new directions for the future. They get a buzz as they realise their life is not ending. This process helps inspire hope because Atlas data can speak to them through a practitioner who can interpret it according to individual needs. </w:t>
            </w:r>
          </w:p>
          <w:p w14:paraId="07E5FA54" w14:textId="2E7D1278" w:rsidR="007E366B" w:rsidRPr="00FD7066" w:rsidRDefault="007E366B" w:rsidP="007E366B">
            <w:pPr>
              <w:rPr>
                <w:rFonts w:cs="Arial"/>
                <w:i/>
                <w:iCs/>
              </w:rPr>
            </w:pPr>
            <w:r w:rsidRPr="00AC0957">
              <w:rPr>
                <w:rFonts w:cs="Arial"/>
                <w:i/>
                <w:iCs/>
              </w:rPr>
              <w:t>I have a lot of confidence in Atlas, especially as the industry body for career development practitioners - the Career Development Association Australia (CDAA) – got on board with it early in its formation.</w:t>
            </w:r>
          </w:p>
        </w:tc>
      </w:tr>
    </w:tbl>
    <w:p w14:paraId="3980B83F" w14:textId="77777777" w:rsidR="00AC2606" w:rsidRDefault="00AC2606" w:rsidP="00AC2606">
      <w:pPr>
        <w:rPr>
          <w:rFonts w:cs="Arial"/>
        </w:rPr>
      </w:pPr>
    </w:p>
    <w:tbl>
      <w:tblPr>
        <w:tblStyle w:val="TableGrid"/>
        <w:tblW w:w="0" w:type="auto"/>
        <w:tblLook w:val="04A0" w:firstRow="1" w:lastRow="0" w:firstColumn="1" w:lastColumn="0" w:noHBand="0" w:noVBand="1"/>
      </w:tblPr>
      <w:tblGrid>
        <w:gridCol w:w="9016"/>
      </w:tblGrid>
      <w:tr w:rsidR="001773BE" w14:paraId="3051D192" w14:textId="77777777" w:rsidTr="003F2AE1">
        <w:tc>
          <w:tcPr>
            <w:tcW w:w="9016" w:type="dxa"/>
            <w:tcBorders>
              <w:top w:val="nil"/>
              <w:left w:val="nil"/>
              <w:bottom w:val="nil"/>
              <w:right w:val="nil"/>
            </w:tcBorders>
            <w:shd w:val="clear" w:color="auto" w:fill="E0D1F5" w:themeFill="accent1" w:themeFillTint="33"/>
          </w:tcPr>
          <w:p w14:paraId="608E5CB7" w14:textId="0F3A4942" w:rsidR="006B73DE" w:rsidRPr="006B73DE" w:rsidRDefault="00C8109D" w:rsidP="00FD7066">
            <w:pPr>
              <w:pStyle w:val="Heading3"/>
            </w:pPr>
            <w:bookmarkStart w:id="371" w:name="_Toc181371640"/>
            <w:r>
              <w:t xml:space="preserve">Support </w:t>
            </w:r>
            <w:r w:rsidR="006B73DE">
              <w:t xml:space="preserve">for </w:t>
            </w:r>
            <w:r w:rsidR="00467C98">
              <w:t>initiatives on the Mid North Coast</w:t>
            </w:r>
            <w:bookmarkEnd w:id="371"/>
          </w:p>
          <w:p w14:paraId="6A72932C" w14:textId="46A45020" w:rsidR="00E43CAF" w:rsidRDefault="00E43CAF" w:rsidP="00E43CAF">
            <w:r>
              <w:t>JSA research and data was used as a foundation for the development of the Mid North Coast Taskforce’s Youth Engagement and Employment Strategic Priority. JSA data and briefing allowed the Australian Government Employment Facilitator in the Mid North Coast to bring together key stakeholders across the region for a full-day strategy session that was underpinned by employment and participation data.</w:t>
            </w:r>
            <w:r w:rsidR="008C52B1">
              <w:t xml:space="preserve"> </w:t>
            </w:r>
          </w:p>
          <w:p w14:paraId="114F7540" w14:textId="2CC249BD" w:rsidR="001773BE" w:rsidRPr="00FD7066" w:rsidRDefault="00E43CAF" w:rsidP="00E43CAF">
            <w:r>
              <w:t>This session led to the implementation of a regional Youth Forum at which over 70 local leaders in the Youth Support sector from all levels of government and the community (including young people) came together to develop a collective and coordinated strategy and approach to supporting youth engagement and employment across the region over a five-to-ten-year horizon. This is now being delivered by working groups supported by the Local Jobs Program team. These groups collaborate on a broad range of topics from improved coordination of services for disengaged youth, to collective advocacy for entry-level skills development in non-traditional trades in the local manufacturing sector. Using research and data developed and tailored by JSA provides confidence that the approach is evidence based.</w:t>
            </w:r>
          </w:p>
        </w:tc>
      </w:tr>
    </w:tbl>
    <w:p w14:paraId="50041D23" w14:textId="77777777" w:rsidR="001773BE" w:rsidRPr="00AC0957" w:rsidRDefault="001773BE" w:rsidP="00AC2606">
      <w:pPr>
        <w:rPr>
          <w:rFonts w:cs="Arial"/>
        </w:rPr>
      </w:pPr>
    </w:p>
    <w:p w14:paraId="651D22AC" w14:textId="77777777" w:rsidR="00B81D14" w:rsidRPr="00B81D14" w:rsidRDefault="00B81D14" w:rsidP="00B81D14">
      <w:bookmarkStart w:id="372" w:name="_Toc179887443"/>
      <w:r w:rsidRPr="00B81D14">
        <w:br w:type="page"/>
      </w:r>
    </w:p>
    <w:p w14:paraId="0B730914" w14:textId="39434790" w:rsidR="00AC2606" w:rsidRPr="00AC0957" w:rsidRDefault="00AC2606" w:rsidP="00AC2606">
      <w:pPr>
        <w:pStyle w:val="Heading2"/>
        <w:rPr>
          <w:rFonts w:cs="Arial"/>
        </w:rPr>
      </w:pPr>
      <w:bookmarkStart w:id="373" w:name="_Toc181371641"/>
      <w:r w:rsidRPr="00AC0957">
        <w:rPr>
          <w:rFonts w:cs="Arial"/>
        </w:rPr>
        <w:t>In summary</w:t>
      </w:r>
      <w:bookmarkEnd w:id="372"/>
      <w:bookmarkEnd w:id="373"/>
    </w:p>
    <w:p w14:paraId="3B7453F2" w14:textId="77777777" w:rsidR="000E6789" w:rsidRPr="000E6789" w:rsidRDefault="000E6789" w:rsidP="000E6789">
      <w:pPr>
        <w:rPr>
          <w:rFonts w:eastAsia="Times New Roman" w:cs="Arial"/>
          <w:lang w:eastAsia="en-AU"/>
        </w:rPr>
      </w:pPr>
      <w:r w:rsidRPr="000E6789">
        <w:rPr>
          <w:rFonts w:eastAsia="Times New Roman" w:cs="Arial"/>
          <w:lang w:eastAsia="en-AU"/>
        </w:rPr>
        <w:t xml:space="preserve">JSA is committed to continuing to activate an informed dialogue about Australia’s current and future workforce and skills needs and opportunities, because we recognise that it is only together with all parties in the national skills system that we can achieve a truly dynamic and inclusive future. </w:t>
      </w:r>
    </w:p>
    <w:p w14:paraId="68FA8644" w14:textId="47337774" w:rsidR="00AC2606" w:rsidRPr="00AC0957" w:rsidRDefault="000E6789" w:rsidP="000E6789">
      <w:pPr>
        <w:rPr>
          <w:rFonts w:cs="Arial"/>
        </w:rPr>
      </w:pPr>
      <w:r w:rsidRPr="000E6789">
        <w:rPr>
          <w:rFonts w:eastAsia="Times New Roman" w:cs="Arial"/>
          <w:lang w:eastAsia="en-AU"/>
        </w:rPr>
        <w:t>We have worked closely with our key partners and stakeholders – the Ministerial Advisory Board, Commonwealth and state and territory governments, Jobs and Skills Councils, and education and training providers – to shape our work throughout the year and formulate the evidence and insights within this report. We thank them for their hard work and contributions</w:t>
      </w:r>
      <w:r w:rsidR="00AC2606" w:rsidRPr="00AC0957">
        <w:rPr>
          <w:rFonts w:cs="Arial"/>
        </w:rPr>
        <w:t>.</w:t>
      </w:r>
    </w:p>
    <w:p w14:paraId="6DFDDA7B" w14:textId="77777777" w:rsidR="00AC2606" w:rsidRPr="00AC0957" w:rsidRDefault="00AC2606" w:rsidP="00AC2606">
      <w:pPr>
        <w:rPr>
          <w:rFonts w:cs="Arial"/>
        </w:rPr>
      </w:pPr>
      <w:r w:rsidRPr="00AC0957">
        <w:rPr>
          <w:rFonts w:cs="Arial"/>
        </w:rPr>
        <w:br w:type="page"/>
      </w:r>
    </w:p>
    <w:bookmarkStart w:id="374" w:name="_Toc179887444" w:displacedByCustomXml="next"/>
    <w:bookmarkStart w:id="375" w:name="_Toc181371642" w:displacedByCustomXml="next"/>
    <w:sdt>
      <w:sdtPr>
        <w:rPr>
          <w:rFonts w:eastAsiaTheme="minorEastAsia" w:cs="Arial"/>
          <w:b w:val="0"/>
          <w:color w:val="auto"/>
          <w:sz w:val="22"/>
          <w:szCs w:val="22"/>
        </w:rPr>
        <w:id w:val="1147869858"/>
        <w:docPartObj>
          <w:docPartGallery w:val="Bibliographies"/>
          <w:docPartUnique/>
        </w:docPartObj>
      </w:sdtPr>
      <w:sdtEndPr/>
      <w:sdtContent>
        <w:p w14:paraId="3EB3A395" w14:textId="77777777" w:rsidR="00AC2606" w:rsidRPr="00AC0957" w:rsidRDefault="00AC2606" w:rsidP="00AC2606">
          <w:pPr>
            <w:pStyle w:val="Heading1"/>
            <w:rPr>
              <w:rFonts w:cs="Arial"/>
            </w:rPr>
          </w:pPr>
          <w:r w:rsidRPr="00AC0957">
            <w:rPr>
              <w:rFonts w:cs="Arial"/>
            </w:rPr>
            <w:t>References</w:t>
          </w:r>
          <w:bookmarkEnd w:id="375"/>
          <w:bookmarkEnd w:id="374"/>
        </w:p>
        <w:sdt>
          <w:sdtPr>
            <w:rPr>
              <w:rFonts w:ascii="Arial" w:hAnsi="Arial" w:cs="Arial"/>
              <w:kern w:val="0"/>
              <w14:ligatures w14:val="none"/>
            </w:rPr>
            <w:id w:val="-573587230"/>
            <w:bibliography/>
          </w:sdtPr>
          <w:sdtEndPr/>
          <w:sdtContent>
            <w:p w14:paraId="5944BCDF" w14:textId="77777777" w:rsidR="00934658" w:rsidRDefault="00AC2606" w:rsidP="00934658">
              <w:pPr>
                <w:pStyle w:val="Bibliography"/>
                <w:ind w:left="720" w:hanging="720"/>
                <w:rPr>
                  <w:noProof/>
                  <w:kern w:val="0"/>
                  <w:sz w:val="24"/>
                  <w:szCs w:val="24"/>
                  <w14:ligatures w14:val="none"/>
                </w:rPr>
              </w:pPr>
              <w:r w:rsidRPr="00AC0957">
                <w:rPr>
                  <w:rFonts w:ascii="Arial" w:hAnsi="Arial" w:cs="Arial"/>
                </w:rPr>
                <w:fldChar w:fldCharType="begin"/>
              </w:r>
              <w:r w:rsidRPr="00AC0957">
                <w:rPr>
                  <w:rFonts w:ascii="Arial" w:hAnsi="Arial" w:cs="Arial"/>
                </w:rPr>
                <w:instrText xml:space="preserve"> BIBLIOGRAPHY </w:instrText>
              </w:r>
              <w:r w:rsidRPr="00AC0957">
                <w:rPr>
                  <w:rFonts w:ascii="Arial" w:hAnsi="Arial" w:cs="Arial"/>
                </w:rPr>
                <w:fldChar w:fldCharType="separate"/>
              </w:r>
              <w:r w:rsidR="00934658">
                <w:rPr>
                  <w:noProof/>
                </w:rPr>
                <w:t xml:space="preserve">ACTU. (2012). </w:t>
              </w:r>
              <w:r w:rsidR="00934658">
                <w:rPr>
                  <w:i/>
                  <w:iCs/>
                  <w:noProof/>
                </w:rPr>
                <w:t>Lives on hold: unlocking the potential of Australia's workforce. The report of the independent inquiry into insecure work in Australia.</w:t>
              </w:r>
              <w:r w:rsidR="00934658">
                <w:rPr>
                  <w:noProof/>
                </w:rPr>
                <w:t xml:space="preserve"> ACTU. Retrieved from https://www.actu.org.au/wp-content/uploads/2023/06/media609158lives-on-hold-final.pdf</w:t>
              </w:r>
            </w:p>
            <w:p w14:paraId="3D0E945F" w14:textId="77777777" w:rsidR="00934658" w:rsidRDefault="00934658" w:rsidP="00934658">
              <w:pPr>
                <w:pStyle w:val="Bibliography"/>
                <w:ind w:left="720" w:hanging="720"/>
                <w:rPr>
                  <w:noProof/>
                </w:rPr>
              </w:pPr>
              <w:r>
                <w:rPr>
                  <w:noProof/>
                </w:rPr>
                <w:t xml:space="preserve">Australian Bureau of Statistics. (2021, June). </w:t>
              </w:r>
              <w:r>
                <w:rPr>
                  <w:i/>
                  <w:iCs/>
                  <w:noProof/>
                </w:rPr>
                <w:t>Statistical Area Level 4 Australian Statistical Geography Standard (ASGS) Edition 3 July 2021 - June 2026</w:t>
              </w:r>
              <w:r>
                <w:rPr>
                  <w:noProof/>
                </w:rPr>
                <w:t>. Retrieved from https://www.abs.gov.au/statistics/standards/australian-statistical-geography-standard-asgs-edition-3/jul2021-jun2026/main-structure-and-greater-capital-city-statistical-areas/statistical-area-level-4</w:t>
              </w:r>
            </w:p>
            <w:p w14:paraId="735EE6C9" w14:textId="77777777" w:rsidR="00934658" w:rsidRDefault="00934658" w:rsidP="00934658">
              <w:pPr>
                <w:pStyle w:val="Bibliography"/>
                <w:ind w:left="720" w:hanging="720"/>
                <w:rPr>
                  <w:noProof/>
                </w:rPr>
              </w:pPr>
              <w:r>
                <w:rPr>
                  <w:noProof/>
                </w:rPr>
                <w:t xml:space="preserve">Australian Bureau of Statistics. (2022a). </w:t>
              </w:r>
              <w:r>
                <w:rPr>
                  <w:i/>
                  <w:iCs/>
                  <w:noProof/>
                </w:rPr>
                <w:t>Education and training: Census.</w:t>
              </w:r>
              <w:r>
                <w:rPr>
                  <w:noProof/>
                </w:rPr>
                <w:t xml:space="preserve"> Canberra: Australian Bureau of Statistics. Retrieved October 2024, from https://www.abs.gov.au/statistics/people/education/education-and-training-census/2021</w:t>
              </w:r>
            </w:p>
            <w:p w14:paraId="1AC8AAE7" w14:textId="77777777" w:rsidR="00934658" w:rsidRDefault="00934658" w:rsidP="00934658">
              <w:pPr>
                <w:pStyle w:val="Bibliography"/>
                <w:ind w:left="720" w:hanging="720"/>
                <w:rPr>
                  <w:noProof/>
                </w:rPr>
              </w:pPr>
              <w:r>
                <w:rPr>
                  <w:noProof/>
                </w:rPr>
                <w:t xml:space="preserve">Australian Bureau of Statistics. (2022b). </w:t>
              </w:r>
              <w:r>
                <w:rPr>
                  <w:i/>
                  <w:iCs/>
                  <w:noProof/>
                </w:rPr>
                <w:t>Conceptual basis of ANZSCO</w:t>
              </w:r>
              <w:r>
                <w:rPr>
                  <w:noProof/>
                </w:rPr>
                <w:t>. Retrieved October 2024, from https://www.abs.gov.au/statistics/classifications/anzsco-australian-and-new-zealand-standard-classification-occupations/2022/conceptual-basis-anzsco</w:t>
              </w:r>
            </w:p>
            <w:p w14:paraId="1F511964" w14:textId="77777777" w:rsidR="00934658" w:rsidRDefault="00934658" w:rsidP="00934658">
              <w:pPr>
                <w:pStyle w:val="Bibliography"/>
                <w:ind w:left="720" w:hanging="720"/>
                <w:rPr>
                  <w:noProof/>
                </w:rPr>
              </w:pPr>
              <w:r>
                <w:rPr>
                  <w:noProof/>
                </w:rPr>
                <w:t xml:space="preserve">Australian Bureau of Statistics. (2024a). </w:t>
              </w:r>
              <w:r>
                <w:rPr>
                  <w:i/>
                  <w:iCs/>
                  <w:noProof/>
                </w:rPr>
                <w:t>Regional population 2022-23</w:t>
              </w:r>
              <w:r>
                <w:rPr>
                  <w:noProof/>
                </w:rPr>
                <w:t>. Retrieved from https://www.abs.gov.au/statistics/people/population/regional-population/2022-23</w:t>
              </w:r>
            </w:p>
            <w:p w14:paraId="0547D105" w14:textId="77777777" w:rsidR="00934658" w:rsidRDefault="00934658" w:rsidP="00934658">
              <w:pPr>
                <w:pStyle w:val="Bibliography"/>
                <w:ind w:left="720" w:hanging="720"/>
                <w:rPr>
                  <w:noProof/>
                </w:rPr>
              </w:pPr>
              <w:r>
                <w:rPr>
                  <w:noProof/>
                </w:rPr>
                <w:t xml:space="preserve">Australian Bureau of Statistics. (2024b, August). </w:t>
              </w:r>
              <w:r>
                <w:rPr>
                  <w:i/>
                  <w:iCs/>
                  <w:noProof/>
                </w:rPr>
                <w:t>Labour Force Australia, detailed</w:t>
              </w:r>
              <w:r>
                <w:rPr>
                  <w:noProof/>
                </w:rPr>
                <w:t>. Retrieved from https://www.abs.gov.au/statistics/labour/employment-and-unemployment/labour-force-australia-detailed/latest-release</w:t>
              </w:r>
            </w:p>
            <w:p w14:paraId="2F2A6F6E" w14:textId="77777777" w:rsidR="00934658" w:rsidRDefault="00934658" w:rsidP="00934658">
              <w:pPr>
                <w:pStyle w:val="Bibliography"/>
                <w:ind w:left="720" w:hanging="720"/>
                <w:rPr>
                  <w:noProof/>
                </w:rPr>
              </w:pPr>
              <w:r>
                <w:rPr>
                  <w:noProof/>
                </w:rPr>
                <w:t xml:space="preserve">Australian Constructors Association. (2024). </w:t>
              </w:r>
              <w:r>
                <w:rPr>
                  <w:i/>
                  <w:iCs/>
                  <w:noProof/>
                </w:rPr>
                <w:t>Culture in construction</w:t>
              </w:r>
              <w:r>
                <w:rPr>
                  <w:noProof/>
                </w:rPr>
                <w:t>. Retrieved from https://www.constructors.com.au/advocacy/initiatives/construction-industry-culture-taskforce/</w:t>
              </w:r>
            </w:p>
            <w:p w14:paraId="0A0194CC" w14:textId="77777777" w:rsidR="00934658" w:rsidRDefault="00934658" w:rsidP="00934658">
              <w:pPr>
                <w:pStyle w:val="Bibliography"/>
                <w:ind w:left="720" w:hanging="720"/>
                <w:rPr>
                  <w:noProof/>
                </w:rPr>
              </w:pPr>
              <w:r>
                <w:rPr>
                  <w:noProof/>
                </w:rPr>
                <w:t xml:space="preserve">Australian Government. (2024). </w:t>
              </w:r>
              <w:r>
                <w:rPr>
                  <w:i/>
                  <w:iCs/>
                  <w:noProof/>
                </w:rPr>
                <w:t>Australian Universities Accord Final Report.</w:t>
              </w:r>
              <w:r>
                <w:rPr>
                  <w:noProof/>
                </w:rPr>
                <w:t xml:space="preserve"> Canberra: Department of Education. Retrieved from https://www.education.gov.au/australian-universities-accord/resources/australian-universities-accord-final-report-summary-report</w:t>
              </w:r>
            </w:p>
            <w:p w14:paraId="79B614AC" w14:textId="77777777" w:rsidR="00934658" w:rsidRDefault="00934658" w:rsidP="00934658">
              <w:pPr>
                <w:pStyle w:val="Bibliography"/>
                <w:ind w:left="720" w:hanging="720"/>
                <w:rPr>
                  <w:noProof/>
                </w:rPr>
              </w:pPr>
              <w:r>
                <w:rPr>
                  <w:noProof/>
                </w:rPr>
                <w:t xml:space="preserve">Australian Government Department of Employment and Workplace Relations. (2024). </w:t>
              </w:r>
              <w:r>
                <w:rPr>
                  <w:i/>
                  <w:iCs/>
                  <w:noProof/>
                </w:rPr>
                <w:t>Strategic Review of the Australian Apprenticeships Incentive System.</w:t>
              </w:r>
              <w:r>
                <w:rPr>
                  <w:noProof/>
                </w:rPr>
                <w:t xml:space="preserve"> Canberra: Department of Employment and Workplace Relations. Retrieved from https://www.dewr.gov.au/download/16296/strategic-review-australian-apprenticeships-incentive-system-background-paper/37296/strategic-review-australian-apprenticeships-incentive-system-background-paper/pdf</w:t>
              </w:r>
            </w:p>
            <w:p w14:paraId="5943FE06" w14:textId="77777777" w:rsidR="00934658" w:rsidRDefault="00934658" w:rsidP="00934658">
              <w:pPr>
                <w:pStyle w:val="Bibliography"/>
                <w:ind w:left="720" w:hanging="720"/>
                <w:rPr>
                  <w:noProof/>
                </w:rPr>
              </w:pPr>
              <w:r>
                <w:rPr>
                  <w:noProof/>
                </w:rPr>
                <w:t xml:space="preserve">Australian Institute of Family Studies. (2017). </w:t>
              </w:r>
              <w:r>
                <w:rPr>
                  <w:i/>
                  <w:iCs/>
                  <w:noProof/>
                </w:rPr>
                <w:t>Fathers and Parental Leave</w:t>
              </w:r>
              <w:r>
                <w:rPr>
                  <w:noProof/>
                </w:rPr>
                <w:t>. Retrieved September 6, 2024, from https://aifs.gov.au/resources/short-articles/fathers-and-parental-leave#footnote-001</w:t>
              </w:r>
            </w:p>
            <w:p w14:paraId="2075099E" w14:textId="77777777" w:rsidR="00934658" w:rsidRDefault="00934658" w:rsidP="00934658">
              <w:pPr>
                <w:pStyle w:val="Bibliography"/>
                <w:ind w:left="720" w:hanging="720"/>
                <w:rPr>
                  <w:noProof/>
                </w:rPr>
              </w:pPr>
              <w:r>
                <w:rPr>
                  <w:noProof/>
                </w:rPr>
                <w:t xml:space="preserve">Australian Taxation Office. (2024). </w:t>
              </w:r>
              <w:r>
                <w:rPr>
                  <w:i/>
                  <w:iCs/>
                  <w:noProof/>
                </w:rPr>
                <w:t>How to report employment and tax information through STP Phase 2</w:t>
              </w:r>
              <w:r>
                <w:rPr>
                  <w:noProof/>
                </w:rPr>
                <w:t>. Retrieved October 10, 2024, from https://www.ato.gov.au/businesses-and-organisations/hiring-and-paying-your-workers/single-touch-payroll/in-detail/single-touch-payroll-phase-2-employer-reporting-guidelines/how-to-report-employment-and-tax-information-through-stp-phase-2</w:t>
              </w:r>
            </w:p>
            <w:p w14:paraId="44FEB948" w14:textId="77777777" w:rsidR="00934658" w:rsidRDefault="00934658" w:rsidP="00934658">
              <w:pPr>
                <w:pStyle w:val="Bibliography"/>
                <w:ind w:left="720" w:hanging="720"/>
                <w:rPr>
                  <w:noProof/>
                </w:rPr>
              </w:pPr>
              <w:r>
                <w:rPr>
                  <w:noProof/>
                </w:rPr>
                <w:t xml:space="preserve">Biddle, N. (2007). Indigenous Australians and preschool education. Who is attending? </w:t>
              </w:r>
              <w:r>
                <w:rPr>
                  <w:i/>
                  <w:iCs/>
                  <w:noProof/>
                </w:rPr>
                <w:t>Australasian Journal of Early Childhood, 32</w:t>
              </w:r>
              <w:r>
                <w:rPr>
                  <w:noProof/>
                </w:rPr>
                <w:t>(3). Retrieved from https://journals.sagepub.com/doi/10.1177/183693910703200303</w:t>
              </w:r>
            </w:p>
            <w:p w14:paraId="7B16D28C" w14:textId="77777777" w:rsidR="00934658" w:rsidRDefault="00934658" w:rsidP="00934658">
              <w:pPr>
                <w:pStyle w:val="Bibliography"/>
                <w:ind w:left="720" w:hanging="720"/>
                <w:rPr>
                  <w:noProof/>
                </w:rPr>
              </w:pPr>
              <w:r>
                <w:rPr>
                  <w:noProof/>
                </w:rPr>
                <w:t xml:space="preserve">Booth, A., Leigh, A., &amp; Varganova, E. (2012). Does ethnic discrimination vary across minority groups? Evidence from a field experiment. </w:t>
              </w:r>
              <w:r>
                <w:rPr>
                  <w:i/>
                  <w:iCs/>
                  <w:noProof/>
                </w:rPr>
                <w:t>Oxford Bulletin of Economics and Statistics, 74</w:t>
              </w:r>
              <w:r>
                <w:rPr>
                  <w:noProof/>
                </w:rPr>
                <w:t>(4). doi:doi: 10.1111/j.1468-0084.2011.00664.x</w:t>
              </w:r>
            </w:p>
            <w:p w14:paraId="35984B6E" w14:textId="77777777" w:rsidR="00934658" w:rsidRDefault="00934658" w:rsidP="00934658">
              <w:pPr>
                <w:pStyle w:val="Bibliography"/>
                <w:ind w:left="720" w:hanging="720"/>
                <w:rPr>
                  <w:noProof/>
                </w:rPr>
              </w:pPr>
              <w:r>
                <w:rPr>
                  <w:noProof/>
                </w:rPr>
                <w:t xml:space="preserve">Brereton, D., &amp; Parmenter, J. (2008). Indigenous Employment in the Australian Mining Industry. </w:t>
              </w:r>
              <w:r>
                <w:rPr>
                  <w:i/>
                  <w:iCs/>
                  <w:noProof/>
                </w:rPr>
                <w:t>Journal of Energy &amp; Natural Resources Law, 26</w:t>
              </w:r>
              <w:r>
                <w:rPr>
                  <w:noProof/>
                </w:rPr>
                <w:t>(1), 66-90. doi:doi:10.1080/02646811.2008.11435178</w:t>
              </w:r>
            </w:p>
            <w:p w14:paraId="2E929D7E" w14:textId="77777777" w:rsidR="00934658" w:rsidRDefault="00934658" w:rsidP="00934658">
              <w:pPr>
                <w:pStyle w:val="Bibliography"/>
                <w:ind w:left="720" w:hanging="720"/>
                <w:rPr>
                  <w:noProof/>
                </w:rPr>
              </w:pPr>
              <w:r>
                <w:rPr>
                  <w:noProof/>
                </w:rPr>
                <w:t xml:space="preserve">Cassidy, N., Chan, I., Gao, A., &amp; Penrose, G. (2020, December). Long-term Unemployment in Australia. </w:t>
              </w:r>
              <w:r>
                <w:rPr>
                  <w:i/>
                  <w:iCs/>
                  <w:noProof/>
                </w:rPr>
                <w:t>Reserve Bank of Australia December 2020 Bulletin</w:t>
              </w:r>
              <w:r>
                <w:rPr>
                  <w:noProof/>
                </w:rPr>
                <w:t>. Retrieved 2024, from https://www.rba.gov.au/publications/bulletin/2020/dec/pdf/long-term-unemployment-in-australia.pdf</w:t>
              </w:r>
            </w:p>
            <w:p w14:paraId="49B0BF24" w14:textId="77777777" w:rsidR="00934658" w:rsidRDefault="00934658" w:rsidP="00934658">
              <w:pPr>
                <w:pStyle w:val="Bibliography"/>
                <w:ind w:left="720" w:hanging="720"/>
                <w:rPr>
                  <w:noProof/>
                </w:rPr>
              </w:pPr>
              <w:r>
                <w:rPr>
                  <w:noProof/>
                </w:rPr>
                <w:t xml:space="preserve">Committee for Economic Development of Australia. (2021). </w:t>
              </w:r>
              <w:r>
                <w:rPr>
                  <w:i/>
                  <w:iCs/>
                  <w:noProof/>
                </w:rPr>
                <w:t>A good match: Optimising Australia’s permanent skilled migration.</w:t>
              </w:r>
              <w:r>
                <w:rPr>
                  <w:noProof/>
                </w:rPr>
                <w:t xml:space="preserve"> Melbourne: CEDA. Retrieved from https://www.ceda.com.au/Admin/getmedia/150315bf-cceb-4536-862d-1a3054197cd7/CEDA-Migration-report-26-March-2021-final.pdf</w:t>
              </w:r>
            </w:p>
            <w:p w14:paraId="1CA1B626" w14:textId="77777777" w:rsidR="00934658" w:rsidRDefault="00934658" w:rsidP="00934658">
              <w:pPr>
                <w:pStyle w:val="Bibliography"/>
                <w:ind w:left="720" w:hanging="720"/>
                <w:rPr>
                  <w:noProof/>
                </w:rPr>
              </w:pPr>
              <w:r>
                <w:rPr>
                  <w:noProof/>
                </w:rPr>
                <w:t xml:space="preserve">Commonwealth of Australia. (2022). </w:t>
              </w:r>
              <w:r>
                <w:rPr>
                  <w:i/>
                  <w:iCs/>
                  <w:noProof/>
                </w:rPr>
                <w:t>The Senate Select Committee on Job Security - The job insecurity report.</w:t>
              </w:r>
              <w:r>
                <w:rPr>
                  <w:noProof/>
                </w:rPr>
                <w:t xml:space="preserve"> Canberra: Senate Printing Unit. Retrieved from https://parlinfo.aph.gov.au/parlInfo/download/committees/reportsen/024780/toc_pdf/Thejobinsecurityreport.pdf;fileType=application%2Fpdf</w:t>
              </w:r>
            </w:p>
            <w:p w14:paraId="02D5A321" w14:textId="77777777" w:rsidR="00934658" w:rsidRDefault="00934658" w:rsidP="00934658">
              <w:pPr>
                <w:pStyle w:val="Bibliography"/>
                <w:ind w:left="720" w:hanging="720"/>
                <w:rPr>
                  <w:noProof/>
                </w:rPr>
              </w:pPr>
              <w:r>
                <w:rPr>
                  <w:noProof/>
                </w:rPr>
                <w:t xml:space="preserve">Commonwealth of Australia. (2023a). </w:t>
              </w:r>
              <w:r>
                <w:rPr>
                  <w:i/>
                  <w:iCs/>
                  <w:noProof/>
                </w:rPr>
                <w:t>Working Future: the Australian Government's White Paper on Jobs and Opportunities.</w:t>
              </w:r>
              <w:r>
                <w:rPr>
                  <w:noProof/>
                </w:rPr>
                <w:t xml:space="preserve"> Canberra: Commonwealth of Australia. Retrieved from https://treasury.gov.au/sites/default/files/2023-10/p2023-447996-working-future.pdf</w:t>
              </w:r>
            </w:p>
            <w:p w14:paraId="58DFDBDD" w14:textId="77777777" w:rsidR="00934658" w:rsidRDefault="00934658" w:rsidP="00934658">
              <w:pPr>
                <w:pStyle w:val="Bibliography"/>
                <w:ind w:left="720" w:hanging="720"/>
                <w:rPr>
                  <w:noProof/>
                </w:rPr>
              </w:pPr>
              <w:r>
                <w:rPr>
                  <w:noProof/>
                </w:rPr>
                <w:t xml:space="preserve">Commonwealth of Australia. (2023b). </w:t>
              </w:r>
              <w:r>
                <w:rPr>
                  <w:i/>
                  <w:iCs/>
                  <w:noProof/>
                </w:rPr>
                <w:t>Review of the Migration System 2023.</w:t>
              </w:r>
              <w:r>
                <w:rPr>
                  <w:noProof/>
                </w:rPr>
                <w:t xml:space="preserve"> Canberra: Commonwealth of Australia. Retrieved from https://www.homeaffairs.gov.au/reports-and-pubs/files/review-migration-system-final-report.pdf</w:t>
              </w:r>
            </w:p>
            <w:p w14:paraId="1F0293F1" w14:textId="77777777" w:rsidR="00934658" w:rsidRDefault="00934658" w:rsidP="00934658">
              <w:pPr>
                <w:pStyle w:val="Bibliography"/>
                <w:ind w:left="720" w:hanging="720"/>
                <w:rPr>
                  <w:noProof/>
                </w:rPr>
              </w:pPr>
              <w:r>
                <w:rPr>
                  <w:noProof/>
                </w:rPr>
                <w:t xml:space="preserve">Commonwealth of Australia. (2024). </w:t>
              </w:r>
              <w:r>
                <w:rPr>
                  <w:i/>
                  <w:iCs/>
                  <w:noProof/>
                </w:rPr>
                <w:t>Budget 2024-25 Budget Paper No. 1: Budget Strategy and Outlook.</w:t>
              </w:r>
              <w:r>
                <w:rPr>
                  <w:noProof/>
                </w:rPr>
                <w:t xml:space="preserve"> Canberra: Commonwealth of Australia. Retrieved from https://budget.gov.au/content/bp1/download/bp1_2024-25.pdf</w:t>
              </w:r>
            </w:p>
            <w:p w14:paraId="40F2492F" w14:textId="77777777" w:rsidR="00934658" w:rsidRDefault="00934658" w:rsidP="00934658">
              <w:pPr>
                <w:pStyle w:val="Bibliography"/>
                <w:ind w:left="720" w:hanging="720"/>
                <w:rPr>
                  <w:noProof/>
                </w:rPr>
              </w:pPr>
              <w:r>
                <w:rPr>
                  <w:noProof/>
                </w:rPr>
                <w:t xml:space="preserve">Commonwealth of Australia, Australian Competition and Consumer Commission. (2023a). </w:t>
              </w:r>
              <w:r>
                <w:rPr>
                  <w:i/>
                  <w:iCs/>
                  <w:noProof/>
                </w:rPr>
                <w:t>Childcare Inquiry - final report.</w:t>
              </w:r>
              <w:r>
                <w:rPr>
                  <w:noProof/>
                </w:rPr>
                <w:t xml:space="preserve"> Canberra: Commonwealth of Australia. Retrieved from https://www.accc.gov.au/system/files/ACCC%20Childcare%20Inquiry-final%20report%20December%202023.pdf?ref=0&amp;download=y</w:t>
              </w:r>
            </w:p>
            <w:p w14:paraId="29EE789A" w14:textId="77777777" w:rsidR="00934658" w:rsidRDefault="00934658" w:rsidP="00934658">
              <w:pPr>
                <w:pStyle w:val="Bibliography"/>
                <w:ind w:left="720" w:hanging="720"/>
                <w:rPr>
                  <w:noProof/>
                </w:rPr>
              </w:pPr>
              <w:r>
                <w:rPr>
                  <w:noProof/>
                </w:rPr>
                <w:t xml:space="preserve">Commonwealth of Australia, Australian Competition and Consumer Commission. (2023b). </w:t>
              </w:r>
              <w:r>
                <w:rPr>
                  <w:i/>
                  <w:iCs/>
                  <w:noProof/>
                </w:rPr>
                <w:t>Childcare Inquiry Roundtable Summary: First Nations. Virtual Roundtable.</w:t>
              </w:r>
              <w:r>
                <w:rPr>
                  <w:noProof/>
                </w:rPr>
                <w:t xml:space="preserve"> Canberra: Commonwealth of Australia. Retrieved from https://www.accc.gov.au/system/files/Childcare%20Inquiry%20Roundtable%20Summary%20- %20First%20Nations%20Virtual.pdf </w:t>
              </w:r>
            </w:p>
            <w:p w14:paraId="3C956E55" w14:textId="77777777" w:rsidR="00934658" w:rsidRDefault="00934658" w:rsidP="00934658">
              <w:pPr>
                <w:pStyle w:val="Bibliography"/>
                <w:ind w:left="720" w:hanging="720"/>
                <w:rPr>
                  <w:noProof/>
                </w:rPr>
              </w:pPr>
              <w:r>
                <w:rPr>
                  <w:noProof/>
                </w:rPr>
                <w:t xml:space="preserve">Commonwealth of Australia, Department of Education. (2024). </w:t>
              </w:r>
              <w:r>
                <w:rPr>
                  <w:i/>
                  <w:iCs/>
                  <w:noProof/>
                </w:rPr>
                <w:t>Education export income - Calendar Year</w:t>
              </w:r>
              <w:r>
                <w:rPr>
                  <w:noProof/>
                </w:rPr>
                <w:t>. Retrieved from https://www.education.gov.au/international-education-data-and-research/education-export-income-calendar-year</w:t>
              </w:r>
            </w:p>
            <w:p w14:paraId="4BB68A2C" w14:textId="77777777" w:rsidR="00934658" w:rsidRDefault="00934658" w:rsidP="00934658">
              <w:pPr>
                <w:pStyle w:val="Bibliography"/>
                <w:ind w:left="720" w:hanging="720"/>
                <w:rPr>
                  <w:noProof/>
                </w:rPr>
              </w:pPr>
              <w:r>
                <w:rPr>
                  <w:noProof/>
                </w:rPr>
                <w:t xml:space="preserve">Commonwealth of Australia, Department of Home Affairs. (2023). </w:t>
              </w:r>
              <w:r>
                <w:rPr>
                  <w:i/>
                  <w:iCs/>
                  <w:noProof/>
                </w:rPr>
                <w:t>Migration Strategy: Getting migration working for the nation.</w:t>
              </w:r>
              <w:r>
                <w:rPr>
                  <w:noProof/>
                </w:rPr>
                <w:t xml:space="preserve"> Canberra: Commonwealth of Australia. Retrieved from https://immi.homeaffairs.gov.au/programs-subsite/migration-strategy/Documents/migration-strategy.pdf</w:t>
              </w:r>
            </w:p>
            <w:p w14:paraId="34DF84EA" w14:textId="77777777" w:rsidR="00934658" w:rsidRDefault="00934658" w:rsidP="00934658">
              <w:pPr>
                <w:pStyle w:val="Bibliography"/>
                <w:ind w:left="720" w:hanging="720"/>
                <w:rPr>
                  <w:noProof/>
                </w:rPr>
              </w:pPr>
              <w:r>
                <w:rPr>
                  <w:noProof/>
                </w:rPr>
                <w:t xml:space="preserve">Commonwealth of Australia, Department of the Prime Minister and Cabinet. (2024a). </w:t>
              </w:r>
              <w:r>
                <w:rPr>
                  <w:i/>
                  <w:iCs/>
                  <w:noProof/>
                </w:rPr>
                <w:t>A new way of working together: Closing the Gap</w:t>
              </w:r>
              <w:r>
                <w:rPr>
                  <w:noProof/>
                </w:rPr>
                <w:t>. Retrieved from https://www.closingthegap.gov.au/</w:t>
              </w:r>
            </w:p>
            <w:p w14:paraId="7DFAD10E" w14:textId="77777777" w:rsidR="00934658" w:rsidRDefault="00934658" w:rsidP="00934658">
              <w:pPr>
                <w:pStyle w:val="Bibliography"/>
                <w:ind w:left="720" w:hanging="720"/>
                <w:rPr>
                  <w:noProof/>
                </w:rPr>
              </w:pPr>
              <w:r>
                <w:rPr>
                  <w:noProof/>
                </w:rPr>
                <w:t xml:space="preserve">Commonwealth of Australia, Department of the Prime Minister and Cabinet. (2024b). </w:t>
              </w:r>
              <w:r>
                <w:rPr>
                  <w:i/>
                  <w:iCs/>
                  <w:noProof/>
                </w:rPr>
                <w:t>Working for Women: A Strategy for Gender Equality.</w:t>
              </w:r>
              <w:r>
                <w:rPr>
                  <w:noProof/>
                </w:rPr>
                <w:t xml:space="preserve"> Canberra: Department of the Prime Minister and Cabinet. Retrieved from https://genderequality.gov.au/sites/default/files/2024-03/working-for-women-a-strategy-for-gender-equality.pdf</w:t>
              </w:r>
            </w:p>
            <w:p w14:paraId="1A33144D" w14:textId="77777777" w:rsidR="00934658" w:rsidRDefault="00934658" w:rsidP="00934658">
              <w:pPr>
                <w:pStyle w:val="Bibliography"/>
                <w:ind w:left="720" w:hanging="720"/>
                <w:rPr>
                  <w:noProof/>
                </w:rPr>
              </w:pPr>
              <w:r>
                <w:rPr>
                  <w:noProof/>
                </w:rPr>
                <w:t xml:space="preserve">Construction Work Health and Safety @ RMIT. (2023). </w:t>
              </w:r>
              <w:r>
                <w:rPr>
                  <w:i/>
                  <w:iCs/>
                  <w:noProof/>
                </w:rPr>
                <w:t>Culture in Construction Pilot Projects: Interim Report.</w:t>
              </w:r>
              <w:r>
                <w:rPr>
                  <w:noProof/>
                </w:rPr>
                <w:t xml:space="preserve"> Melbourne: RMIT University. Retrieved from https://www.rmit.edu.au/about/schools-colleges/property-construction-and-project-management/research/research-centres-and-groups/construction-work-health-safety-research/projects/work-hour-cultures-gender-equality</w:t>
              </w:r>
            </w:p>
            <w:p w14:paraId="349E9E86" w14:textId="77777777" w:rsidR="00934658" w:rsidRDefault="00934658" w:rsidP="00934658">
              <w:pPr>
                <w:pStyle w:val="Bibliography"/>
                <w:ind w:left="720" w:hanging="720"/>
                <w:rPr>
                  <w:noProof/>
                </w:rPr>
              </w:pPr>
              <w:r>
                <w:rPr>
                  <w:noProof/>
                </w:rPr>
                <w:t xml:space="preserve">Dawkins, P., Lilly, M., &amp; Pascoe, R. (Eds.). (2023). </w:t>
              </w:r>
              <w:r>
                <w:rPr>
                  <w:i/>
                  <w:iCs/>
                  <w:noProof/>
                </w:rPr>
                <w:t>Rethinking Tertiary Education: Building on the work of Peter Noonan.</w:t>
              </w:r>
              <w:r>
                <w:rPr>
                  <w:noProof/>
                </w:rPr>
                <w:t xml:space="preserve"> Melbourne: Melbourne University Press.</w:t>
              </w:r>
            </w:p>
            <w:p w14:paraId="44343845" w14:textId="77777777" w:rsidR="00934658" w:rsidRDefault="00934658" w:rsidP="00934658">
              <w:pPr>
                <w:pStyle w:val="Bibliography"/>
                <w:ind w:left="720" w:hanging="720"/>
                <w:rPr>
                  <w:noProof/>
                </w:rPr>
              </w:pPr>
              <w:r>
                <w:rPr>
                  <w:noProof/>
                </w:rPr>
                <w:t xml:space="preserve">Jobs and Skills Australia. (2024a). </w:t>
              </w:r>
              <w:r>
                <w:rPr>
                  <w:i/>
                  <w:iCs/>
                  <w:noProof/>
                </w:rPr>
                <w:t>Towards a Regional, Rural and Remote Jobs and Skills Roadmap.</w:t>
              </w:r>
              <w:r>
                <w:rPr>
                  <w:noProof/>
                </w:rPr>
                <w:t xml:space="preserve"> Canberra: Jobs and Skills Australia. Retrieved from https://www.jobsandskills.gov.au/publications/regional-rural-and-remote-australia-jobs-and-skills-roadmap</w:t>
              </w:r>
            </w:p>
            <w:p w14:paraId="225F94BF" w14:textId="77777777" w:rsidR="00934658" w:rsidRDefault="00934658" w:rsidP="00934658">
              <w:pPr>
                <w:pStyle w:val="Bibliography"/>
                <w:ind w:left="720" w:hanging="720"/>
                <w:rPr>
                  <w:noProof/>
                </w:rPr>
              </w:pPr>
              <w:r>
                <w:rPr>
                  <w:noProof/>
                </w:rPr>
                <w:t xml:space="preserve">Jobs and Skills Australia. (2024b). </w:t>
              </w:r>
              <w:r>
                <w:rPr>
                  <w:i/>
                  <w:iCs/>
                  <w:noProof/>
                </w:rPr>
                <w:t>2024 Occupation Shortage List Key Findings and Insights Report.</w:t>
              </w:r>
              <w:r>
                <w:rPr>
                  <w:noProof/>
                </w:rPr>
                <w:t xml:space="preserve"> Canberra: Jobs and Skills Australia. Retrieved from https://www.jobsandskills.gov.au/sites/default/files/2024-10/2024_osl_key_findings_and_insights_report_0.pdf</w:t>
              </w:r>
            </w:p>
            <w:p w14:paraId="47DA2985" w14:textId="77777777" w:rsidR="00934658" w:rsidRDefault="00934658" w:rsidP="00934658">
              <w:pPr>
                <w:pStyle w:val="Bibliography"/>
                <w:ind w:left="720" w:hanging="720"/>
                <w:rPr>
                  <w:noProof/>
                </w:rPr>
              </w:pPr>
              <w:r>
                <w:rPr>
                  <w:noProof/>
                </w:rPr>
                <w:t xml:space="preserve">Jobs and Skills Australia. (2024c, March). </w:t>
              </w:r>
              <w:r>
                <w:rPr>
                  <w:i/>
                  <w:iCs/>
                  <w:noProof/>
                </w:rPr>
                <w:t>Labour Market Update - March 2024</w:t>
              </w:r>
              <w:r>
                <w:rPr>
                  <w:noProof/>
                </w:rPr>
                <w:t>. Retrieved from https://www.jobsandskills.gov.au/publications/labour-market-update-march-2024</w:t>
              </w:r>
            </w:p>
            <w:p w14:paraId="1777ADC2" w14:textId="77777777" w:rsidR="00934658" w:rsidRDefault="00934658" w:rsidP="00934658">
              <w:pPr>
                <w:pStyle w:val="Bibliography"/>
                <w:ind w:left="720" w:hanging="720"/>
                <w:rPr>
                  <w:noProof/>
                </w:rPr>
              </w:pPr>
              <w:r>
                <w:rPr>
                  <w:noProof/>
                </w:rPr>
                <w:t xml:space="preserve">Jobs and Skills Australia. (2024d, August). </w:t>
              </w:r>
              <w:r>
                <w:rPr>
                  <w:i/>
                  <w:iCs/>
                  <w:noProof/>
                </w:rPr>
                <w:t>Nowcast of Employment by Region and Occupation (NERO)</w:t>
              </w:r>
              <w:r>
                <w:rPr>
                  <w:noProof/>
                </w:rPr>
                <w:t>. Retrieved from https://www.jobsandskills.gov.au/data/nero</w:t>
              </w:r>
            </w:p>
            <w:p w14:paraId="6551A82B" w14:textId="77777777" w:rsidR="00934658" w:rsidRDefault="00934658" w:rsidP="00934658">
              <w:pPr>
                <w:pStyle w:val="Bibliography"/>
                <w:ind w:left="720" w:hanging="720"/>
                <w:rPr>
                  <w:noProof/>
                </w:rPr>
              </w:pPr>
              <w:r>
                <w:rPr>
                  <w:noProof/>
                </w:rPr>
                <w:t xml:space="preserve">Jobs and Skills Australia. (2024e). </w:t>
              </w:r>
              <w:r>
                <w:rPr>
                  <w:i/>
                  <w:iCs/>
                  <w:noProof/>
                </w:rPr>
                <w:t>The Future of The Early Childhood Education Profession: Early Childhood Education and Care Workforce Capacity Study.</w:t>
              </w:r>
              <w:r>
                <w:rPr>
                  <w:noProof/>
                </w:rPr>
                <w:t xml:space="preserve"> Canberra: Jobs and Skills Australia. Retrieved from https://www.jobsandskills.gov.au/publications/future-early-childhood-education-profession</w:t>
              </w:r>
            </w:p>
            <w:p w14:paraId="08AD5869" w14:textId="77777777" w:rsidR="00934658" w:rsidRDefault="00934658" w:rsidP="00934658">
              <w:pPr>
                <w:pStyle w:val="Bibliography"/>
                <w:ind w:left="720" w:hanging="720"/>
                <w:rPr>
                  <w:noProof/>
                </w:rPr>
              </w:pPr>
              <w:r>
                <w:rPr>
                  <w:noProof/>
                </w:rPr>
                <w:t xml:space="preserve">Joint Council on Closing the Gap. (2021). </w:t>
              </w:r>
              <w:r>
                <w:rPr>
                  <w:i/>
                  <w:iCs/>
                  <w:noProof/>
                </w:rPr>
                <w:t>Sector Strengthening Plan: Early Childhood Care and Development, National Agreement on Closing the Gap.</w:t>
              </w:r>
              <w:r>
                <w:rPr>
                  <w:noProof/>
                </w:rPr>
                <w:t xml:space="preserve"> Canberra: Commonwealth of Australia. Retrieved from https://www.closingthegap.gov.au/sites/default/files/2021-12/sector-strengthening-plan-early-childhood-care-development.pdf</w:t>
              </w:r>
            </w:p>
            <w:p w14:paraId="7D255F00" w14:textId="77777777" w:rsidR="00934658" w:rsidRDefault="00934658" w:rsidP="00934658">
              <w:pPr>
                <w:pStyle w:val="Bibliography"/>
                <w:ind w:left="720" w:hanging="720"/>
                <w:rPr>
                  <w:noProof/>
                </w:rPr>
              </w:pPr>
              <w:r>
                <w:rPr>
                  <w:noProof/>
                </w:rPr>
                <w:t xml:space="preserve">Microsoft. (2024). </w:t>
              </w:r>
              <w:r>
                <w:rPr>
                  <w:i/>
                  <w:iCs/>
                  <w:noProof/>
                </w:rPr>
                <w:t>Training for AI Engineers</w:t>
              </w:r>
              <w:r>
                <w:rPr>
                  <w:noProof/>
                </w:rPr>
                <w:t>. Retrieved from https://learn.microsoft.com/en-us/training/career-paths/ai-engineer</w:t>
              </w:r>
            </w:p>
            <w:p w14:paraId="1DBA7F4F" w14:textId="77777777" w:rsidR="00934658" w:rsidRDefault="00934658" w:rsidP="00934658">
              <w:pPr>
                <w:pStyle w:val="Bibliography"/>
                <w:ind w:left="720" w:hanging="720"/>
                <w:rPr>
                  <w:noProof/>
                </w:rPr>
              </w:pPr>
              <w:r>
                <w:rPr>
                  <w:noProof/>
                </w:rPr>
                <w:t xml:space="preserve">Mining and Automotive Skills Alliance. (2024). </w:t>
              </w:r>
              <w:r>
                <w:rPr>
                  <w:i/>
                  <w:iCs/>
                  <w:noProof/>
                </w:rPr>
                <w:t>Industry Workforce Plan: Moving ahead together.</w:t>
              </w:r>
              <w:r>
                <w:rPr>
                  <w:noProof/>
                </w:rPr>
                <w:t xml:space="preserve"> Mining and Automotive Skills Alliance. Retrieved October 2024, from https://ausmasa.org.au/media/5vxngfo2/ausmasa-industry-workforce-plan-2024.pdf</w:t>
              </w:r>
            </w:p>
            <w:p w14:paraId="16B2BA5D" w14:textId="77777777" w:rsidR="00934658" w:rsidRDefault="00934658" w:rsidP="00934658">
              <w:pPr>
                <w:pStyle w:val="Bibliography"/>
                <w:ind w:left="720" w:hanging="720"/>
                <w:rPr>
                  <w:noProof/>
                </w:rPr>
              </w:pPr>
              <w:r>
                <w:rPr>
                  <w:noProof/>
                </w:rPr>
                <w:t xml:space="preserve">OECD. (2013). What Are the Social Benefits of Education. </w:t>
              </w:r>
              <w:r>
                <w:rPr>
                  <w:i/>
                  <w:iCs/>
                  <w:noProof/>
                </w:rPr>
                <w:t>Education Indicators in Focus, 10</w:t>
              </w:r>
              <w:r>
                <w:rPr>
                  <w:noProof/>
                </w:rPr>
                <w:t>. doi:https://doi.org/10.1787/5k4ddxnl39vk-en.</w:t>
              </w:r>
            </w:p>
            <w:p w14:paraId="61A45242" w14:textId="77777777" w:rsidR="00934658" w:rsidRDefault="00934658" w:rsidP="00934658">
              <w:pPr>
                <w:pStyle w:val="Bibliography"/>
                <w:ind w:left="720" w:hanging="720"/>
                <w:rPr>
                  <w:noProof/>
                </w:rPr>
              </w:pPr>
              <w:r>
                <w:rPr>
                  <w:noProof/>
                </w:rPr>
                <w:t xml:space="preserve">OECD. (2016, December). How are health and life satisfaction related to education? </w:t>
              </w:r>
              <w:r>
                <w:rPr>
                  <w:i/>
                  <w:iCs/>
                  <w:noProof/>
                </w:rPr>
                <w:t>Education indicators in focus</w:t>
              </w:r>
              <w:r>
                <w:rPr>
                  <w:noProof/>
                </w:rPr>
                <w:t>(47). Retrieved from https://www.oecd.org/en/publications/how-are-health-and-life-satisfaction-related-to-education_6b8ca4c5-en.html</w:t>
              </w:r>
            </w:p>
            <w:p w14:paraId="77F48AF6" w14:textId="77777777" w:rsidR="00934658" w:rsidRDefault="00934658" w:rsidP="00934658">
              <w:pPr>
                <w:pStyle w:val="Bibliography"/>
                <w:ind w:left="720" w:hanging="720"/>
                <w:rPr>
                  <w:noProof/>
                </w:rPr>
              </w:pPr>
              <w:r>
                <w:rPr>
                  <w:noProof/>
                </w:rPr>
                <w:t xml:space="preserve">OECD. (2017). </w:t>
              </w:r>
              <w:r>
                <w:rPr>
                  <w:i/>
                  <w:iCs/>
                  <w:noProof/>
                </w:rPr>
                <w:t>Building Skills for All in Australia: Policy Insights from the Survey of Adult Skills.</w:t>
              </w:r>
              <w:r>
                <w:rPr>
                  <w:noProof/>
                </w:rPr>
                <w:t xml:space="preserve"> Paris: OECD Skills Studies, OECD Publishing. doi:https://doi.org/10.1787/9789264281110-en</w:t>
              </w:r>
            </w:p>
            <w:p w14:paraId="7B83E92A" w14:textId="77777777" w:rsidR="00934658" w:rsidRDefault="00934658" w:rsidP="00934658">
              <w:pPr>
                <w:pStyle w:val="Bibliography"/>
                <w:ind w:left="720" w:hanging="720"/>
                <w:rPr>
                  <w:noProof/>
                </w:rPr>
              </w:pPr>
              <w:r>
                <w:rPr>
                  <w:noProof/>
                </w:rPr>
                <w:t xml:space="preserve">OECD. (2023). Regional productivity, local labour markets, and migration in Australia. </w:t>
              </w:r>
              <w:r>
                <w:rPr>
                  <w:i/>
                  <w:iCs/>
                  <w:noProof/>
                </w:rPr>
                <w:t>OECD Regional Development Papers, 39</w:t>
              </w:r>
              <w:r>
                <w:rPr>
                  <w:noProof/>
                </w:rPr>
                <w:t>. doi:https://doi.org/10.1787/3cc8f669-en</w:t>
              </w:r>
            </w:p>
            <w:p w14:paraId="0E94DC62" w14:textId="77777777" w:rsidR="00934658" w:rsidRDefault="00934658" w:rsidP="00934658">
              <w:pPr>
                <w:pStyle w:val="Bibliography"/>
                <w:ind w:left="720" w:hanging="720"/>
                <w:rPr>
                  <w:noProof/>
                </w:rPr>
              </w:pPr>
              <w:r>
                <w:rPr>
                  <w:noProof/>
                </w:rPr>
                <w:t xml:space="preserve">Polidano, C., &amp; Rezida, Z. (2011). </w:t>
              </w:r>
              <w:r>
                <w:rPr>
                  <w:i/>
                  <w:iCs/>
                  <w:noProof/>
                </w:rPr>
                <w:t>Outcomes from combining work and tertiary study.</w:t>
              </w:r>
              <w:r>
                <w:rPr>
                  <w:noProof/>
                </w:rPr>
                <w:t xml:space="preserve"> Adelaide: NCVER. Retrieved from https://www.ncver.edu.au/__data/assets/file/0028/9856/combining-work-and-tertiary-study-2320.pdf</w:t>
              </w:r>
            </w:p>
            <w:p w14:paraId="7FD75345" w14:textId="77777777" w:rsidR="00934658" w:rsidRDefault="00934658" w:rsidP="00934658">
              <w:pPr>
                <w:pStyle w:val="Bibliography"/>
                <w:ind w:left="720" w:hanging="720"/>
                <w:rPr>
                  <w:noProof/>
                </w:rPr>
              </w:pPr>
              <w:r>
                <w:rPr>
                  <w:noProof/>
                </w:rPr>
                <w:t xml:space="preserve">Productivity Commission. (2023). </w:t>
              </w:r>
              <w:r>
                <w:rPr>
                  <w:i/>
                  <w:iCs/>
                  <w:noProof/>
                </w:rPr>
                <w:t>Closing the Gap Annual Data Compilation Report July 2023.</w:t>
              </w:r>
              <w:r>
                <w:rPr>
                  <w:noProof/>
                </w:rPr>
                <w:t xml:space="preserve"> Productivity Commission. Retrieved from https://www.pc.gov.au/closing-the-gap-data/annual-data-report/2023/closing-the-gap-annual-data-compilation-july2023.pdf</w:t>
              </w:r>
            </w:p>
            <w:p w14:paraId="02A27CB3" w14:textId="77777777" w:rsidR="00934658" w:rsidRDefault="00934658" w:rsidP="00934658">
              <w:pPr>
                <w:pStyle w:val="Bibliography"/>
                <w:ind w:left="720" w:hanging="720"/>
                <w:rPr>
                  <w:noProof/>
                </w:rPr>
              </w:pPr>
              <w:r>
                <w:rPr>
                  <w:noProof/>
                </w:rPr>
                <w:t xml:space="preserve">Productivity Commission. (2024a). </w:t>
              </w:r>
              <w:r>
                <w:rPr>
                  <w:i/>
                  <w:iCs/>
                  <w:noProof/>
                </w:rPr>
                <w:t>Closing the Gap Annual Data Compilation Report July 2024.</w:t>
              </w:r>
              <w:r>
                <w:rPr>
                  <w:noProof/>
                </w:rPr>
                <w:t xml:space="preserve"> Canberra: Productivity Commission. Retrieved from https://www.pc.gov.au/closing-the-gap-data/annual-data-report</w:t>
              </w:r>
            </w:p>
            <w:p w14:paraId="2E96919B" w14:textId="77777777" w:rsidR="00934658" w:rsidRDefault="00934658" w:rsidP="00934658">
              <w:pPr>
                <w:pStyle w:val="Bibliography"/>
                <w:ind w:left="720" w:hanging="720"/>
                <w:rPr>
                  <w:noProof/>
                </w:rPr>
              </w:pPr>
              <w:r>
                <w:rPr>
                  <w:noProof/>
                </w:rPr>
                <w:t xml:space="preserve">Productivity Commission. (2024b). </w:t>
              </w:r>
              <w:r>
                <w:rPr>
                  <w:i/>
                  <w:iCs/>
                  <w:noProof/>
                </w:rPr>
                <w:t>A path to universal early childhood education and care, Inquiry Report No. 106.</w:t>
              </w:r>
              <w:r>
                <w:rPr>
                  <w:noProof/>
                </w:rPr>
                <w:t xml:space="preserve"> Canberra: Productivity Commission. Retrieved from https://www.pc.gov.au/inquiries/completed/childhood/report</w:t>
              </w:r>
            </w:p>
            <w:p w14:paraId="615CB216" w14:textId="77777777" w:rsidR="00934658" w:rsidRDefault="00934658" w:rsidP="00934658">
              <w:pPr>
                <w:pStyle w:val="Bibliography"/>
                <w:ind w:left="720" w:hanging="720"/>
                <w:rPr>
                  <w:noProof/>
                </w:rPr>
              </w:pPr>
              <w:r>
                <w:rPr>
                  <w:noProof/>
                </w:rPr>
                <w:t xml:space="preserve">Reserve Bank of Australia. (2024). </w:t>
              </w:r>
              <w:r>
                <w:rPr>
                  <w:i/>
                  <w:iCs/>
                  <w:noProof/>
                </w:rPr>
                <w:t>Statement on Monetary Policy August 2024.</w:t>
              </w:r>
              <w:r>
                <w:rPr>
                  <w:noProof/>
                </w:rPr>
                <w:t xml:space="preserve"> Reserve Bank of Australia. Retrieved from https://www.rba.gov.au/publications/smp/2024/aug/pdf/statement-on-monetary-policy-2024-08.pdf</w:t>
              </w:r>
            </w:p>
            <w:p w14:paraId="3C28F179" w14:textId="77777777" w:rsidR="00934658" w:rsidRDefault="00934658" w:rsidP="00934658">
              <w:pPr>
                <w:pStyle w:val="Bibliography"/>
                <w:ind w:left="720" w:hanging="720"/>
                <w:rPr>
                  <w:noProof/>
                </w:rPr>
              </w:pPr>
              <w:r>
                <w:rPr>
                  <w:noProof/>
                </w:rPr>
                <w:t xml:space="preserve">Richardson, S. (2007). </w:t>
              </w:r>
              <w:r>
                <w:rPr>
                  <w:i/>
                  <w:iCs/>
                  <w:noProof/>
                </w:rPr>
                <w:t>What is a skill shortage?</w:t>
              </w:r>
              <w:r>
                <w:rPr>
                  <w:noProof/>
                </w:rPr>
                <w:t xml:space="preserve"> National Institute of Labour Studies - Flinders University - NCVER. Retrieved from https://www.ncver.edu.au/__data/assets/file/0019/7282/what-is-skill-shortage-4022.pdf</w:t>
              </w:r>
            </w:p>
            <w:p w14:paraId="09C495FD" w14:textId="77777777" w:rsidR="00934658" w:rsidRDefault="00934658" w:rsidP="00934658">
              <w:pPr>
                <w:pStyle w:val="Bibliography"/>
                <w:ind w:left="720" w:hanging="720"/>
                <w:rPr>
                  <w:noProof/>
                </w:rPr>
              </w:pPr>
              <w:r>
                <w:rPr>
                  <w:noProof/>
                </w:rPr>
                <w:t xml:space="preserve">RMIT University. (2021). </w:t>
              </w:r>
              <w:r>
                <w:rPr>
                  <w:i/>
                  <w:iCs/>
                  <w:noProof/>
                </w:rPr>
                <w:t>Triple Wins: Work Hour Cultures for Health, Safety and Gender Equality in Construction.</w:t>
              </w:r>
              <w:r>
                <w:rPr>
                  <w:noProof/>
                </w:rPr>
                <w:t xml:space="preserve"> Melbourne: RMIT University. Retrieved from https://www.rmit.edu.au/about/schools-colleges/property-construction-and-project-management/research/research-centres-and-groups/construction-work-health-safety-research/projects/work-hour-cultures-construction</w:t>
              </w:r>
            </w:p>
            <w:p w14:paraId="55BAB505" w14:textId="77777777" w:rsidR="00934658" w:rsidRDefault="00934658" w:rsidP="00934658">
              <w:pPr>
                <w:pStyle w:val="Bibliography"/>
                <w:ind w:left="720" w:hanging="720"/>
                <w:rPr>
                  <w:noProof/>
                </w:rPr>
              </w:pPr>
              <w:r>
                <w:rPr>
                  <w:noProof/>
                </w:rPr>
                <w:t xml:space="preserve">Tafe Directors Australia. (2023). </w:t>
              </w:r>
              <w:r>
                <w:rPr>
                  <w:i/>
                  <w:iCs/>
                  <w:noProof/>
                </w:rPr>
                <w:t>First in family students access university through TAFE NSW</w:t>
              </w:r>
              <w:r>
                <w:rPr>
                  <w:noProof/>
                </w:rPr>
                <w:t>. Retrieved September 2024, from https://tda.edu.au/first-in-family-students-access-university-through-tafe-nsw/</w:t>
              </w:r>
            </w:p>
            <w:p w14:paraId="76BF5DCD" w14:textId="77777777" w:rsidR="00934658" w:rsidRDefault="00934658" w:rsidP="00934658">
              <w:pPr>
                <w:pStyle w:val="Bibliography"/>
                <w:ind w:left="720" w:hanging="720"/>
                <w:rPr>
                  <w:noProof/>
                </w:rPr>
              </w:pPr>
              <w:r>
                <w:rPr>
                  <w:noProof/>
                </w:rPr>
                <w:t xml:space="preserve">TAFE NSW. (2024). </w:t>
              </w:r>
              <w:r>
                <w:rPr>
                  <w:i/>
                  <w:iCs/>
                  <w:noProof/>
                </w:rPr>
                <w:t>Bachelor of Event and Tourism Management</w:t>
              </w:r>
              <w:r>
                <w:rPr>
                  <w:noProof/>
                </w:rPr>
                <w:t>. Retrieved September 2024, from https://www.tafensw.edu.au/event-tourism</w:t>
              </w:r>
            </w:p>
            <w:p w14:paraId="267E6B46" w14:textId="77777777" w:rsidR="00934658" w:rsidRDefault="00934658" w:rsidP="00934658">
              <w:pPr>
                <w:pStyle w:val="Bibliography"/>
                <w:ind w:left="720" w:hanging="720"/>
                <w:rPr>
                  <w:noProof/>
                </w:rPr>
              </w:pPr>
              <w:r>
                <w:rPr>
                  <w:noProof/>
                </w:rPr>
                <w:t xml:space="preserve">TAFE SA. (2024). </w:t>
              </w:r>
              <w:r>
                <w:rPr>
                  <w:i/>
                  <w:iCs/>
                  <w:noProof/>
                </w:rPr>
                <w:t>Diploma of IT (Advanced Networking) &amp; (Cloud Engineering)/Bachelor of IT (Networking and Cybersecurity) - UniSA Pathway</w:t>
              </w:r>
              <w:r>
                <w:rPr>
                  <w:noProof/>
                </w:rPr>
                <w:t>. Retrieved October 2024, from https://www.tafesa.edu.au/xml/course/aw/aw_DP20020.aspx?Y=2025</w:t>
              </w:r>
            </w:p>
            <w:p w14:paraId="5AE62230" w14:textId="77777777" w:rsidR="00934658" w:rsidRDefault="00934658" w:rsidP="00934658">
              <w:pPr>
                <w:pStyle w:val="Bibliography"/>
                <w:ind w:left="720" w:hanging="720"/>
                <w:rPr>
                  <w:noProof/>
                </w:rPr>
              </w:pPr>
              <w:r>
                <w:rPr>
                  <w:noProof/>
                </w:rPr>
                <w:t xml:space="preserve">University of Canberra. (2024). </w:t>
              </w:r>
              <w:r>
                <w:rPr>
                  <w:i/>
                  <w:iCs/>
                  <w:noProof/>
                </w:rPr>
                <w:t>Domestic fees and costs</w:t>
              </w:r>
              <w:r>
                <w:rPr>
                  <w:noProof/>
                </w:rPr>
                <w:t>. Retrieved September 2024, from https://www.canberra.edu.au/future-students/study-at-uc/fees-and-costs/domestic-fees-and-costs</w:t>
              </w:r>
            </w:p>
            <w:p w14:paraId="49BA6966" w14:textId="77777777" w:rsidR="00934658" w:rsidRDefault="00934658" w:rsidP="00934658">
              <w:pPr>
                <w:pStyle w:val="Bibliography"/>
                <w:ind w:left="720" w:hanging="720"/>
                <w:rPr>
                  <w:noProof/>
                </w:rPr>
              </w:pPr>
              <w:r>
                <w:rPr>
                  <w:noProof/>
                </w:rPr>
                <w:t xml:space="preserve">University of South Australia. (2024). </w:t>
              </w:r>
              <w:r>
                <w:rPr>
                  <w:i/>
                  <w:iCs/>
                  <w:noProof/>
                </w:rPr>
                <w:t>Student contributions</w:t>
              </w:r>
              <w:r>
                <w:rPr>
                  <w:noProof/>
                </w:rPr>
                <w:t>. Retrieved October 2024, from https://i.unisa.edu.au/campus-central/fees-and-finance/commonwealth-supported-students/student-contributions/</w:t>
              </w:r>
            </w:p>
            <w:p w14:paraId="0F6A3F5B" w14:textId="77777777" w:rsidR="00934658" w:rsidRDefault="00934658" w:rsidP="00934658">
              <w:pPr>
                <w:pStyle w:val="Bibliography"/>
                <w:ind w:left="720" w:hanging="720"/>
                <w:rPr>
                  <w:noProof/>
                </w:rPr>
              </w:pPr>
              <w:r>
                <w:rPr>
                  <w:noProof/>
                </w:rPr>
                <w:t xml:space="preserve">Victoria State Government Department of Jobs, Skills, Industry and Regions. (2023, July 31). </w:t>
              </w:r>
              <w:r>
                <w:rPr>
                  <w:i/>
                  <w:iCs/>
                  <w:noProof/>
                </w:rPr>
                <w:t>Innovation hub expands Geelong's manufacturing credentials</w:t>
              </w:r>
              <w:r>
                <w:rPr>
                  <w:noProof/>
                </w:rPr>
                <w:t>. Retrieved from https://djsir.vic.gov.au/news-and-articles/innovation-hub-expands-geelongs-manufacturing-credentials</w:t>
              </w:r>
            </w:p>
            <w:p w14:paraId="7A0D3C9A" w14:textId="77777777" w:rsidR="00934658" w:rsidRDefault="00934658" w:rsidP="00934658">
              <w:pPr>
                <w:pStyle w:val="Bibliography"/>
                <w:ind w:left="720" w:hanging="720"/>
                <w:rPr>
                  <w:noProof/>
                </w:rPr>
              </w:pPr>
              <w:r>
                <w:rPr>
                  <w:noProof/>
                </w:rPr>
                <w:t xml:space="preserve">Windley, G. (2017). </w:t>
              </w:r>
              <w:r>
                <w:rPr>
                  <w:i/>
                  <w:iCs/>
                  <w:noProof/>
                </w:rPr>
                <w:t>Indigenous VET participation, completion and outcomes: change over the past decade.</w:t>
              </w:r>
              <w:r>
                <w:rPr>
                  <w:noProof/>
                </w:rPr>
                <w:t xml:space="preserve"> Adelaide: NCVER. Retrieved from https://www.ncver.edu.au/research-and-statistics/publications/all-publications/indigenous-vet-participation-completion-and-outcomes-change-over-the-past-decade</w:t>
              </w:r>
            </w:p>
            <w:p w14:paraId="68DAE923" w14:textId="77777777" w:rsidR="00934658" w:rsidRDefault="00934658" w:rsidP="00934658">
              <w:pPr>
                <w:pStyle w:val="Bibliography"/>
                <w:ind w:left="720" w:hanging="720"/>
                <w:rPr>
                  <w:noProof/>
                </w:rPr>
              </w:pPr>
              <w:r>
                <w:rPr>
                  <w:noProof/>
                </w:rPr>
                <w:t xml:space="preserve">Workplace Gender Equality Agency. (2024). </w:t>
              </w:r>
              <w:r>
                <w:rPr>
                  <w:i/>
                  <w:iCs/>
                  <w:noProof/>
                </w:rPr>
                <w:t>What is the gender pay gap</w:t>
              </w:r>
              <w:r>
                <w:rPr>
                  <w:noProof/>
                </w:rPr>
                <w:t>. Retrieved October 2024, from https://www.wgea.gov.au/the-gender-pay-gap</w:t>
              </w:r>
            </w:p>
            <w:p w14:paraId="2157EF66" w14:textId="77777777" w:rsidR="00AC2606" w:rsidRPr="00AC0957" w:rsidRDefault="00AC2606" w:rsidP="00934658">
              <w:pPr>
                <w:rPr>
                  <w:rFonts w:cs="Arial"/>
                </w:rPr>
              </w:pPr>
              <w:r w:rsidRPr="00AC0957">
                <w:rPr>
                  <w:rFonts w:cs="Arial"/>
                  <w:b/>
                  <w:bCs/>
                  <w:noProof/>
                </w:rPr>
                <w:fldChar w:fldCharType="end"/>
              </w:r>
            </w:p>
          </w:sdtContent>
        </w:sdt>
      </w:sdtContent>
    </w:sdt>
    <w:p w14:paraId="0A8CB3E7" w14:textId="77777777" w:rsidR="00AC2606" w:rsidRPr="00AC0957" w:rsidRDefault="00AC2606" w:rsidP="00AC2606">
      <w:pPr>
        <w:rPr>
          <w:rFonts w:cs="Arial"/>
        </w:rPr>
      </w:pPr>
    </w:p>
    <w:p w14:paraId="52DE643B" w14:textId="77777777" w:rsidR="00AC2606" w:rsidRPr="00AC0957" w:rsidRDefault="00AC2606" w:rsidP="00AC2606">
      <w:pPr>
        <w:rPr>
          <w:rFonts w:cs="Arial"/>
        </w:rPr>
      </w:pPr>
      <w:r w:rsidRPr="00AC0957">
        <w:rPr>
          <w:rFonts w:cs="Arial"/>
        </w:rPr>
        <w:br w:type="page"/>
      </w:r>
    </w:p>
    <w:p w14:paraId="38B817EE" w14:textId="77777777" w:rsidR="00AC2606" w:rsidRPr="00AC0957" w:rsidRDefault="00AC2606" w:rsidP="00AC2606">
      <w:pPr>
        <w:pStyle w:val="Heading1"/>
        <w:rPr>
          <w:rFonts w:cs="Arial"/>
        </w:rPr>
      </w:pPr>
      <w:bookmarkStart w:id="376" w:name="_Toc179887445"/>
      <w:bookmarkStart w:id="377" w:name="_Toc181371643"/>
      <w:r w:rsidRPr="00AC0957">
        <w:rPr>
          <w:rFonts w:cs="Arial"/>
        </w:rPr>
        <w:t>Glossary</w:t>
      </w:r>
      <w:bookmarkEnd w:id="376"/>
      <w:bookmarkEnd w:id="377"/>
    </w:p>
    <w:tbl>
      <w:tblPr>
        <w:tblStyle w:val="TableGrid"/>
        <w:tblW w:w="0" w:type="auto"/>
        <w:tblLook w:val="04A0" w:firstRow="1" w:lastRow="0" w:firstColumn="1" w:lastColumn="0" w:noHBand="0" w:noVBand="1"/>
      </w:tblPr>
      <w:tblGrid>
        <w:gridCol w:w="1696"/>
        <w:gridCol w:w="7320"/>
      </w:tblGrid>
      <w:tr w:rsidR="007960CF" w:rsidRPr="00AC0957" w14:paraId="2391A440" w14:textId="77777777">
        <w:tc>
          <w:tcPr>
            <w:tcW w:w="1696" w:type="dxa"/>
            <w:tcBorders>
              <w:top w:val="nil"/>
              <w:left w:val="nil"/>
              <w:bottom w:val="nil"/>
              <w:right w:val="nil"/>
            </w:tcBorders>
          </w:tcPr>
          <w:p w14:paraId="2CF41BA2" w14:textId="0D09311D" w:rsidR="007960CF" w:rsidRPr="00AC0957" w:rsidRDefault="007960CF" w:rsidP="007960CF">
            <w:pPr>
              <w:rPr>
                <w:rFonts w:cs="Arial"/>
              </w:rPr>
            </w:pPr>
            <w:r>
              <w:rPr>
                <w:rStyle w:val="normaltextrun"/>
                <w:rFonts w:cs="Arial"/>
              </w:rPr>
              <w:t>A</w:t>
            </w:r>
            <w:r>
              <w:rPr>
                <w:rStyle w:val="normaltextrun"/>
              </w:rPr>
              <w:t>AIS</w:t>
            </w:r>
          </w:p>
        </w:tc>
        <w:tc>
          <w:tcPr>
            <w:tcW w:w="7320" w:type="dxa"/>
            <w:tcBorders>
              <w:top w:val="nil"/>
              <w:left w:val="nil"/>
              <w:bottom w:val="nil"/>
              <w:right w:val="nil"/>
            </w:tcBorders>
          </w:tcPr>
          <w:p w14:paraId="2BD4F397" w14:textId="0C3847A9" w:rsidR="007960CF" w:rsidRPr="00AC0957" w:rsidRDefault="007960CF" w:rsidP="007960CF">
            <w:pPr>
              <w:rPr>
                <w:rFonts w:cs="Arial"/>
              </w:rPr>
            </w:pPr>
            <w:r w:rsidRPr="00AC0957">
              <w:rPr>
                <w:rFonts w:cs="Arial"/>
              </w:rPr>
              <w:t>Australian Apprenticeship Incentive System</w:t>
            </w:r>
          </w:p>
        </w:tc>
      </w:tr>
      <w:tr w:rsidR="007960CF" w:rsidRPr="00AC0957" w14:paraId="0BD00876" w14:textId="77777777">
        <w:tc>
          <w:tcPr>
            <w:tcW w:w="1696" w:type="dxa"/>
            <w:tcBorders>
              <w:top w:val="nil"/>
              <w:left w:val="nil"/>
              <w:bottom w:val="nil"/>
              <w:right w:val="nil"/>
            </w:tcBorders>
          </w:tcPr>
          <w:p w14:paraId="097ADFE7" w14:textId="77777777" w:rsidR="007960CF" w:rsidRPr="00AC0957" w:rsidRDefault="007960CF" w:rsidP="007960CF">
            <w:pPr>
              <w:rPr>
                <w:rFonts w:cs="Arial"/>
              </w:rPr>
            </w:pPr>
            <w:r w:rsidRPr="00AC0957">
              <w:rPr>
                <w:rStyle w:val="normaltextrun"/>
                <w:rFonts w:cs="Arial"/>
              </w:rPr>
              <w:t>ABS</w:t>
            </w:r>
          </w:p>
        </w:tc>
        <w:tc>
          <w:tcPr>
            <w:tcW w:w="7320" w:type="dxa"/>
            <w:tcBorders>
              <w:top w:val="nil"/>
              <w:left w:val="nil"/>
              <w:bottom w:val="nil"/>
              <w:right w:val="nil"/>
            </w:tcBorders>
          </w:tcPr>
          <w:p w14:paraId="49EC5D9C" w14:textId="77777777" w:rsidR="007960CF" w:rsidRPr="00AC0957" w:rsidRDefault="007960CF" w:rsidP="007960CF">
            <w:pPr>
              <w:rPr>
                <w:rFonts w:cs="Arial"/>
              </w:rPr>
            </w:pPr>
            <w:r w:rsidRPr="00AC0957">
              <w:rPr>
                <w:rStyle w:val="normaltextrun"/>
                <w:rFonts w:cs="Arial"/>
              </w:rPr>
              <w:t>Australian Bureau of Statistics</w:t>
            </w:r>
            <w:r w:rsidRPr="00AC0957">
              <w:rPr>
                <w:rStyle w:val="eop"/>
                <w:rFonts w:cs="Arial"/>
              </w:rPr>
              <w:t> </w:t>
            </w:r>
          </w:p>
        </w:tc>
      </w:tr>
      <w:tr w:rsidR="007960CF" w:rsidRPr="00AC0957" w14:paraId="76A1528A" w14:textId="77777777">
        <w:tc>
          <w:tcPr>
            <w:tcW w:w="1696" w:type="dxa"/>
            <w:tcBorders>
              <w:top w:val="nil"/>
              <w:left w:val="nil"/>
              <w:bottom w:val="nil"/>
              <w:right w:val="nil"/>
            </w:tcBorders>
          </w:tcPr>
          <w:p w14:paraId="46E141BA" w14:textId="77777777" w:rsidR="007960CF" w:rsidRPr="00AC0957" w:rsidRDefault="007960CF" w:rsidP="007960CF">
            <w:pPr>
              <w:rPr>
                <w:rFonts w:cs="Arial"/>
              </w:rPr>
            </w:pPr>
            <w:r w:rsidRPr="00AC0957">
              <w:rPr>
                <w:rStyle w:val="normaltextrun"/>
                <w:rFonts w:cs="Arial"/>
              </w:rPr>
              <w:t>ACC</w:t>
            </w:r>
          </w:p>
        </w:tc>
        <w:tc>
          <w:tcPr>
            <w:tcW w:w="7320" w:type="dxa"/>
            <w:tcBorders>
              <w:top w:val="nil"/>
              <w:left w:val="nil"/>
              <w:bottom w:val="nil"/>
              <w:right w:val="nil"/>
            </w:tcBorders>
          </w:tcPr>
          <w:p w14:paraId="4AA35283" w14:textId="77777777" w:rsidR="007960CF" w:rsidRPr="00AC0957" w:rsidRDefault="007960CF" w:rsidP="007960CF">
            <w:pPr>
              <w:rPr>
                <w:rFonts w:cs="Arial"/>
              </w:rPr>
            </w:pPr>
            <w:r w:rsidRPr="00AC0957">
              <w:rPr>
                <w:rStyle w:val="normaltextrun"/>
                <w:rFonts w:cs="Arial"/>
              </w:rPr>
              <w:t>Aboriginal Community-Controlled</w:t>
            </w:r>
            <w:r w:rsidRPr="00AC0957">
              <w:rPr>
                <w:rStyle w:val="eop"/>
                <w:rFonts w:cs="Arial"/>
              </w:rPr>
              <w:t> </w:t>
            </w:r>
          </w:p>
        </w:tc>
      </w:tr>
      <w:tr w:rsidR="007960CF" w:rsidRPr="00AC0957" w14:paraId="48693A1A" w14:textId="77777777">
        <w:tc>
          <w:tcPr>
            <w:tcW w:w="1696" w:type="dxa"/>
            <w:tcBorders>
              <w:top w:val="nil"/>
              <w:left w:val="nil"/>
              <w:bottom w:val="nil"/>
              <w:right w:val="nil"/>
            </w:tcBorders>
          </w:tcPr>
          <w:p w14:paraId="25E86801" w14:textId="77777777" w:rsidR="007960CF" w:rsidRPr="00AC0957" w:rsidRDefault="007960CF" w:rsidP="007960CF">
            <w:pPr>
              <w:rPr>
                <w:rFonts w:cs="Arial"/>
              </w:rPr>
            </w:pPr>
            <w:r w:rsidRPr="00AC0957">
              <w:rPr>
                <w:rStyle w:val="normaltextrun"/>
                <w:rFonts w:cs="Arial"/>
              </w:rPr>
              <w:t>ACCC</w:t>
            </w:r>
          </w:p>
        </w:tc>
        <w:tc>
          <w:tcPr>
            <w:tcW w:w="7320" w:type="dxa"/>
            <w:tcBorders>
              <w:top w:val="nil"/>
              <w:left w:val="nil"/>
              <w:bottom w:val="nil"/>
              <w:right w:val="nil"/>
            </w:tcBorders>
          </w:tcPr>
          <w:p w14:paraId="5FEAA92E" w14:textId="77777777" w:rsidR="007960CF" w:rsidRPr="00AC0957" w:rsidRDefault="007960CF" w:rsidP="007960CF">
            <w:pPr>
              <w:rPr>
                <w:rFonts w:cs="Arial"/>
              </w:rPr>
            </w:pPr>
            <w:r w:rsidRPr="00AC0957">
              <w:rPr>
                <w:rStyle w:val="normaltextrun"/>
                <w:rFonts w:cs="Arial"/>
              </w:rPr>
              <w:t>Australian Competition and Consumer Commission</w:t>
            </w:r>
            <w:r w:rsidRPr="00AC0957">
              <w:rPr>
                <w:rStyle w:val="eop"/>
                <w:rFonts w:cs="Arial"/>
              </w:rPr>
              <w:t> </w:t>
            </w:r>
          </w:p>
        </w:tc>
      </w:tr>
      <w:tr w:rsidR="007960CF" w:rsidRPr="00AC0957" w14:paraId="2DF26263" w14:textId="77777777">
        <w:tc>
          <w:tcPr>
            <w:tcW w:w="1696" w:type="dxa"/>
            <w:tcBorders>
              <w:top w:val="nil"/>
              <w:left w:val="nil"/>
              <w:bottom w:val="nil"/>
              <w:right w:val="nil"/>
            </w:tcBorders>
          </w:tcPr>
          <w:p w14:paraId="07E6E2F9" w14:textId="77777777" w:rsidR="007960CF" w:rsidRPr="00AC0957" w:rsidRDefault="007960CF" w:rsidP="007960CF">
            <w:pPr>
              <w:rPr>
                <w:rFonts w:cs="Arial"/>
              </w:rPr>
            </w:pPr>
            <w:r w:rsidRPr="00AC0957">
              <w:rPr>
                <w:rStyle w:val="normaltextrun"/>
                <w:rFonts w:cs="Arial"/>
              </w:rPr>
              <w:t>ACCO</w:t>
            </w:r>
          </w:p>
        </w:tc>
        <w:tc>
          <w:tcPr>
            <w:tcW w:w="7320" w:type="dxa"/>
            <w:tcBorders>
              <w:top w:val="nil"/>
              <w:left w:val="nil"/>
              <w:bottom w:val="nil"/>
              <w:right w:val="nil"/>
            </w:tcBorders>
          </w:tcPr>
          <w:p w14:paraId="3F9E10AC" w14:textId="77777777" w:rsidR="007960CF" w:rsidRPr="00AC0957" w:rsidRDefault="007960CF" w:rsidP="007960CF">
            <w:pPr>
              <w:rPr>
                <w:rFonts w:cs="Arial"/>
              </w:rPr>
            </w:pPr>
            <w:r w:rsidRPr="00AC0957">
              <w:rPr>
                <w:rStyle w:val="normaltextrun"/>
                <w:rFonts w:cs="Arial"/>
              </w:rPr>
              <w:t>Aboriginal Community Controlled Organisations</w:t>
            </w:r>
            <w:r w:rsidRPr="00AC0957">
              <w:rPr>
                <w:rStyle w:val="eop"/>
                <w:rFonts w:cs="Arial"/>
              </w:rPr>
              <w:t> </w:t>
            </w:r>
          </w:p>
        </w:tc>
      </w:tr>
      <w:tr w:rsidR="007960CF" w:rsidRPr="00AC0957" w14:paraId="36A0FF82" w14:textId="77777777">
        <w:tc>
          <w:tcPr>
            <w:tcW w:w="1696" w:type="dxa"/>
            <w:tcBorders>
              <w:top w:val="nil"/>
              <w:left w:val="nil"/>
              <w:bottom w:val="nil"/>
              <w:right w:val="nil"/>
            </w:tcBorders>
          </w:tcPr>
          <w:p w14:paraId="46B549E1" w14:textId="77777777" w:rsidR="007960CF" w:rsidRPr="00AC0957" w:rsidRDefault="007960CF" w:rsidP="007960CF">
            <w:pPr>
              <w:rPr>
                <w:rFonts w:cs="Arial"/>
              </w:rPr>
            </w:pPr>
            <w:r w:rsidRPr="00AC0957">
              <w:rPr>
                <w:rStyle w:val="normaltextrun"/>
                <w:rFonts w:cs="Arial"/>
              </w:rPr>
              <w:t>ACTEID</w:t>
            </w:r>
          </w:p>
        </w:tc>
        <w:tc>
          <w:tcPr>
            <w:tcW w:w="7320" w:type="dxa"/>
            <w:tcBorders>
              <w:top w:val="nil"/>
              <w:left w:val="nil"/>
              <w:bottom w:val="nil"/>
              <w:right w:val="nil"/>
            </w:tcBorders>
          </w:tcPr>
          <w:p w14:paraId="33E01561" w14:textId="77777777" w:rsidR="007960CF" w:rsidRPr="00AC0957" w:rsidRDefault="007960CF" w:rsidP="007960CF">
            <w:pPr>
              <w:rPr>
                <w:rFonts w:cs="Arial"/>
              </w:rPr>
            </w:pPr>
            <w:r w:rsidRPr="00AC0957">
              <w:rPr>
                <w:rStyle w:val="normaltextrun"/>
                <w:rFonts w:cs="Arial"/>
              </w:rPr>
              <w:t>Australian Census and Temporary Entrants Integrated Dataset</w:t>
            </w:r>
            <w:r w:rsidRPr="00AC0957">
              <w:rPr>
                <w:rStyle w:val="eop"/>
                <w:rFonts w:cs="Arial"/>
              </w:rPr>
              <w:t> </w:t>
            </w:r>
          </w:p>
        </w:tc>
      </w:tr>
      <w:tr w:rsidR="007960CF" w:rsidRPr="00AC0957" w14:paraId="35CED39F" w14:textId="77777777">
        <w:tc>
          <w:tcPr>
            <w:tcW w:w="1696" w:type="dxa"/>
            <w:tcBorders>
              <w:top w:val="nil"/>
              <w:left w:val="nil"/>
              <w:bottom w:val="nil"/>
              <w:right w:val="nil"/>
            </w:tcBorders>
          </w:tcPr>
          <w:p w14:paraId="5976ECD3" w14:textId="77777777" w:rsidR="007960CF" w:rsidRPr="00AC0957" w:rsidRDefault="007960CF" w:rsidP="007960CF">
            <w:pPr>
              <w:rPr>
                <w:rFonts w:cs="Arial"/>
              </w:rPr>
            </w:pPr>
            <w:r w:rsidRPr="00AC0957">
              <w:rPr>
                <w:rStyle w:val="normaltextrun"/>
                <w:rFonts w:cs="Arial"/>
              </w:rPr>
              <w:t>AI</w:t>
            </w:r>
          </w:p>
        </w:tc>
        <w:tc>
          <w:tcPr>
            <w:tcW w:w="7320" w:type="dxa"/>
            <w:tcBorders>
              <w:top w:val="nil"/>
              <w:left w:val="nil"/>
              <w:bottom w:val="nil"/>
              <w:right w:val="nil"/>
            </w:tcBorders>
          </w:tcPr>
          <w:p w14:paraId="4268493F" w14:textId="48494A9B" w:rsidR="007960CF" w:rsidRPr="00AC0957" w:rsidRDefault="007960CF" w:rsidP="007960CF">
            <w:pPr>
              <w:rPr>
                <w:rFonts w:cs="Arial"/>
              </w:rPr>
            </w:pPr>
            <w:r w:rsidRPr="00AC0957">
              <w:rPr>
                <w:rStyle w:val="normaltextrun"/>
                <w:rFonts w:cs="Arial"/>
              </w:rPr>
              <w:t>Artificial Intelligence</w:t>
            </w:r>
            <w:r w:rsidR="008C52B1">
              <w:rPr>
                <w:rStyle w:val="normaltextrun"/>
                <w:rFonts w:cs="Arial"/>
              </w:rPr>
              <w:t xml:space="preserve"> </w:t>
            </w:r>
          </w:p>
        </w:tc>
      </w:tr>
      <w:tr w:rsidR="007960CF" w:rsidRPr="00AC0957" w14:paraId="0F4EE4C8" w14:textId="77777777">
        <w:tc>
          <w:tcPr>
            <w:tcW w:w="1696" w:type="dxa"/>
            <w:tcBorders>
              <w:top w:val="nil"/>
              <w:left w:val="nil"/>
              <w:bottom w:val="nil"/>
              <w:right w:val="nil"/>
            </w:tcBorders>
          </w:tcPr>
          <w:p w14:paraId="5A995D84" w14:textId="77777777" w:rsidR="007960CF" w:rsidRPr="00AC0957" w:rsidRDefault="007960CF" w:rsidP="007960CF">
            <w:pPr>
              <w:rPr>
                <w:rFonts w:cs="Arial"/>
              </w:rPr>
            </w:pPr>
            <w:r w:rsidRPr="00AC0957">
              <w:rPr>
                <w:rStyle w:val="normaltextrun"/>
                <w:rFonts w:cs="Arial"/>
              </w:rPr>
              <w:t>ANZSIC</w:t>
            </w:r>
          </w:p>
        </w:tc>
        <w:tc>
          <w:tcPr>
            <w:tcW w:w="7320" w:type="dxa"/>
            <w:tcBorders>
              <w:top w:val="nil"/>
              <w:left w:val="nil"/>
              <w:bottom w:val="nil"/>
              <w:right w:val="nil"/>
            </w:tcBorders>
          </w:tcPr>
          <w:p w14:paraId="48A57A3A" w14:textId="77777777" w:rsidR="007960CF" w:rsidRPr="00AC0957" w:rsidRDefault="007960CF" w:rsidP="007960CF">
            <w:pPr>
              <w:rPr>
                <w:rFonts w:cs="Arial"/>
              </w:rPr>
            </w:pPr>
            <w:r w:rsidRPr="00AC0957">
              <w:rPr>
                <w:rStyle w:val="normaltextrun"/>
                <w:rFonts w:cs="Arial"/>
              </w:rPr>
              <w:t>Australian and New Zealand Standard Industrial Classification</w:t>
            </w:r>
            <w:r w:rsidRPr="00AC0957">
              <w:rPr>
                <w:rStyle w:val="eop"/>
                <w:rFonts w:cs="Arial"/>
              </w:rPr>
              <w:t> </w:t>
            </w:r>
          </w:p>
        </w:tc>
      </w:tr>
      <w:tr w:rsidR="007960CF" w:rsidRPr="00AC0957" w14:paraId="19A57972" w14:textId="77777777">
        <w:tc>
          <w:tcPr>
            <w:tcW w:w="1696" w:type="dxa"/>
            <w:tcBorders>
              <w:top w:val="nil"/>
              <w:left w:val="nil"/>
              <w:bottom w:val="nil"/>
              <w:right w:val="nil"/>
            </w:tcBorders>
          </w:tcPr>
          <w:p w14:paraId="60AB7ABC" w14:textId="77777777" w:rsidR="007960CF" w:rsidRPr="00AC0957" w:rsidRDefault="007960CF" w:rsidP="007960CF">
            <w:pPr>
              <w:rPr>
                <w:rFonts w:cs="Arial"/>
              </w:rPr>
            </w:pPr>
            <w:r w:rsidRPr="00AC0957">
              <w:rPr>
                <w:rStyle w:val="normaltextrun"/>
                <w:rFonts w:cs="Arial"/>
              </w:rPr>
              <w:t xml:space="preserve">ANZSCO </w:t>
            </w:r>
          </w:p>
        </w:tc>
        <w:tc>
          <w:tcPr>
            <w:tcW w:w="7320" w:type="dxa"/>
            <w:tcBorders>
              <w:top w:val="nil"/>
              <w:left w:val="nil"/>
              <w:bottom w:val="nil"/>
              <w:right w:val="nil"/>
            </w:tcBorders>
          </w:tcPr>
          <w:p w14:paraId="2D907356" w14:textId="77777777" w:rsidR="007960CF" w:rsidRPr="00AC0957" w:rsidRDefault="007960CF" w:rsidP="007960CF">
            <w:pPr>
              <w:rPr>
                <w:rFonts w:cs="Arial"/>
              </w:rPr>
            </w:pPr>
            <w:r w:rsidRPr="00AC0957">
              <w:rPr>
                <w:rStyle w:val="normaltextrun"/>
                <w:rFonts w:cs="Arial"/>
              </w:rPr>
              <w:t>Australian and New Zealand Standard Classification of Occupations</w:t>
            </w:r>
            <w:r w:rsidRPr="00AC0957">
              <w:rPr>
                <w:rStyle w:val="eop"/>
                <w:rFonts w:cs="Arial"/>
              </w:rPr>
              <w:t> </w:t>
            </w:r>
          </w:p>
        </w:tc>
      </w:tr>
      <w:tr w:rsidR="007960CF" w:rsidRPr="00AC0957" w14:paraId="2A93BB4B" w14:textId="77777777">
        <w:tc>
          <w:tcPr>
            <w:tcW w:w="1696" w:type="dxa"/>
            <w:tcBorders>
              <w:top w:val="nil"/>
              <w:left w:val="nil"/>
              <w:bottom w:val="nil"/>
              <w:right w:val="nil"/>
            </w:tcBorders>
          </w:tcPr>
          <w:p w14:paraId="7C30BDA9" w14:textId="0EE64323" w:rsidR="007960CF" w:rsidRPr="00AC0957" w:rsidRDefault="007960CF" w:rsidP="007960CF">
            <w:pPr>
              <w:rPr>
                <w:rFonts w:cs="Arial"/>
              </w:rPr>
            </w:pPr>
            <w:r>
              <w:rPr>
                <w:rStyle w:val="normaltextrun"/>
                <w:rFonts w:cs="Arial"/>
              </w:rPr>
              <w:t>A</w:t>
            </w:r>
            <w:r>
              <w:rPr>
                <w:rStyle w:val="normaltextrun"/>
              </w:rPr>
              <w:t>QF</w:t>
            </w:r>
          </w:p>
        </w:tc>
        <w:tc>
          <w:tcPr>
            <w:tcW w:w="7320" w:type="dxa"/>
            <w:tcBorders>
              <w:top w:val="nil"/>
              <w:left w:val="nil"/>
              <w:bottom w:val="nil"/>
              <w:right w:val="nil"/>
            </w:tcBorders>
          </w:tcPr>
          <w:p w14:paraId="74E905E3" w14:textId="4AD4E251" w:rsidR="007960CF" w:rsidRPr="00AC0957" w:rsidRDefault="007960CF" w:rsidP="007960CF">
            <w:pPr>
              <w:rPr>
                <w:rFonts w:cs="Arial"/>
              </w:rPr>
            </w:pPr>
            <w:r>
              <w:rPr>
                <w:rStyle w:val="normaltextrun"/>
                <w:rFonts w:cs="Arial"/>
              </w:rPr>
              <w:t>A</w:t>
            </w:r>
            <w:r>
              <w:rPr>
                <w:rStyle w:val="normaltextrun"/>
              </w:rPr>
              <w:t>ustralian Qualifications Framework</w:t>
            </w:r>
          </w:p>
        </w:tc>
      </w:tr>
      <w:tr w:rsidR="007960CF" w:rsidRPr="00AC0957" w14:paraId="2F472276" w14:textId="77777777">
        <w:tc>
          <w:tcPr>
            <w:tcW w:w="1696" w:type="dxa"/>
            <w:tcBorders>
              <w:top w:val="nil"/>
              <w:left w:val="nil"/>
              <w:bottom w:val="nil"/>
              <w:right w:val="nil"/>
            </w:tcBorders>
          </w:tcPr>
          <w:p w14:paraId="00850065" w14:textId="3217649E" w:rsidR="007960CF" w:rsidRPr="00AC0957" w:rsidRDefault="007960CF" w:rsidP="007960CF">
            <w:pPr>
              <w:rPr>
                <w:rFonts w:cs="Arial"/>
              </w:rPr>
            </w:pPr>
            <w:r w:rsidRPr="00AC0957">
              <w:rPr>
                <w:rStyle w:val="normaltextrun"/>
                <w:rFonts w:cs="Arial"/>
              </w:rPr>
              <w:t>Atlas</w:t>
            </w:r>
          </w:p>
        </w:tc>
        <w:tc>
          <w:tcPr>
            <w:tcW w:w="7320" w:type="dxa"/>
            <w:tcBorders>
              <w:top w:val="nil"/>
              <w:left w:val="nil"/>
              <w:bottom w:val="nil"/>
              <w:right w:val="nil"/>
            </w:tcBorders>
          </w:tcPr>
          <w:p w14:paraId="096CD57F" w14:textId="189C4493" w:rsidR="007960CF" w:rsidRPr="00AC0957" w:rsidRDefault="007960CF" w:rsidP="007960CF">
            <w:pPr>
              <w:rPr>
                <w:rFonts w:cs="Arial"/>
              </w:rPr>
            </w:pPr>
            <w:r w:rsidRPr="00AC0957">
              <w:rPr>
                <w:rStyle w:val="normaltextrun"/>
                <w:rFonts w:cs="Arial"/>
              </w:rPr>
              <w:t>Jobs and Skills Atlas</w:t>
            </w:r>
            <w:r w:rsidRPr="00AC0957">
              <w:rPr>
                <w:rStyle w:val="eop"/>
                <w:rFonts w:cs="Arial"/>
              </w:rPr>
              <w:t> </w:t>
            </w:r>
          </w:p>
        </w:tc>
      </w:tr>
      <w:tr w:rsidR="007960CF" w:rsidRPr="00AC0957" w14:paraId="62CB60BC" w14:textId="77777777">
        <w:tc>
          <w:tcPr>
            <w:tcW w:w="1696" w:type="dxa"/>
            <w:tcBorders>
              <w:top w:val="nil"/>
              <w:left w:val="nil"/>
              <w:bottom w:val="nil"/>
              <w:right w:val="nil"/>
            </w:tcBorders>
          </w:tcPr>
          <w:p w14:paraId="5701C61F" w14:textId="0FBFCC33" w:rsidR="007960CF" w:rsidRPr="00AC0957" w:rsidRDefault="007960CF" w:rsidP="007960CF">
            <w:pPr>
              <w:rPr>
                <w:rFonts w:cs="Arial"/>
              </w:rPr>
            </w:pPr>
            <w:r w:rsidRPr="00AC0957">
              <w:rPr>
                <w:rStyle w:val="normaltextrun"/>
                <w:rFonts w:cs="Arial"/>
              </w:rPr>
              <w:t>ATO</w:t>
            </w:r>
          </w:p>
        </w:tc>
        <w:tc>
          <w:tcPr>
            <w:tcW w:w="7320" w:type="dxa"/>
            <w:tcBorders>
              <w:top w:val="nil"/>
              <w:left w:val="nil"/>
              <w:bottom w:val="nil"/>
              <w:right w:val="nil"/>
            </w:tcBorders>
          </w:tcPr>
          <w:p w14:paraId="7A1A6CC3" w14:textId="24493E4B" w:rsidR="007960CF" w:rsidRPr="00AC0957" w:rsidRDefault="007960CF" w:rsidP="007960CF">
            <w:pPr>
              <w:rPr>
                <w:rFonts w:cs="Arial"/>
              </w:rPr>
            </w:pPr>
            <w:r w:rsidRPr="00AC0957">
              <w:rPr>
                <w:rStyle w:val="normaltextrun"/>
                <w:rFonts w:cs="Arial"/>
              </w:rPr>
              <w:t>Australian Tax Office</w:t>
            </w:r>
            <w:r w:rsidRPr="00AC0957">
              <w:rPr>
                <w:rStyle w:val="eop"/>
                <w:rFonts w:cs="Arial"/>
              </w:rPr>
              <w:t> </w:t>
            </w:r>
          </w:p>
        </w:tc>
      </w:tr>
      <w:tr w:rsidR="00B76407" w:rsidRPr="00AC0957" w14:paraId="6ED04B32" w14:textId="77777777">
        <w:tc>
          <w:tcPr>
            <w:tcW w:w="1696" w:type="dxa"/>
            <w:tcBorders>
              <w:top w:val="nil"/>
              <w:left w:val="nil"/>
              <w:bottom w:val="nil"/>
              <w:right w:val="nil"/>
            </w:tcBorders>
          </w:tcPr>
          <w:p w14:paraId="53C33698" w14:textId="25E0DD65" w:rsidR="00B76407" w:rsidRPr="00AC0957" w:rsidRDefault="00B76407" w:rsidP="007960CF">
            <w:pPr>
              <w:rPr>
                <w:rStyle w:val="normaltextrun"/>
                <w:rFonts w:cs="Arial"/>
              </w:rPr>
            </w:pPr>
            <w:r>
              <w:rPr>
                <w:rStyle w:val="normaltextrun"/>
                <w:rFonts w:cs="Arial"/>
              </w:rPr>
              <w:t>C</w:t>
            </w:r>
            <w:r>
              <w:rPr>
                <w:rStyle w:val="normaltextrun"/>
              </w:rPr>
              <w:t>EO</w:t>
            </w:r>
          </w:p>
        </w:tc>
        <w:tc>
          <w:tcPr>
            <w:tcW w:w="7320" w:type="dxa"/>
            <w:tcBorders>
              <w:top w:val="nil"/>
              <w:left w:val="nil"/>
              <w:bottom w:val="nil"/>
              <w:right w:val="nil"/>
            </w:tcBorders>
          </w:tcPr>
          <w:p w14:paraId="0312443B" w14:textId="689DEF83" w:rsidR="00B76407" w:rsidRPr="00AC0957" w:rsidRDefault="00B76407" w:rsidP="007960CF">
            <w:pPr>
              <w:rPr>
                <w:rStyle w:val="normaltextrun"/>
                <w:rFonts w:cs="Arial"/>
              </w:rPr>
            </w:pPr>
            <w:r>
              <w:rPr>
                <w:rStyle w:val="normaltextrun"/>
                <w:rFonts w:cs="Arial"/>
              </w:rPr>
              <w:t>C</w:t>
            </w:r>
            <w:r>
              <w:rPr>
                <w:rStyle w:val="normaltextrun"/>
              </w:rPr>
              <w:t>hief Executive Officer</w:t>
            </w:r>
          </w:p>
        </w:tc>
      </w:tr>
      <w:tr w:rsidR="007960CF" w:rsidRPr="00AC0957" w14:paraId="35DF35DE" w14:textId="77777777">
        <w:tc>
          <w:tcPr>
            <w:tcW w:w="1696" w:type="dxa"/>
            <w:tcBorders>
              <w:top w:val="nil"/>
              <w:left w:val="nil"/>
              <w:bottom w:val="nil"/>
              <w:right w:val="nil"/>
            </w:tcBorders>
          </w:tcPr>
          <w:p w14:paraId="2F4AFBB7" w14:textId="54605641" w:rsidR="007960CF" w:rsidRPr="00AC0957" w:rsidRDefault="007960CF" w:rsidP="007960CF">
            <w:pPr>
              <w:rPr>
                <w:rFonts w:cs="Arial"/>
              </w:rPr>
            </w:pPr>
            <w:r w:rsidRPr="00AC0957">
              <w:rPr>
                <w:rStyle w:val="normaltextrun"/>
                <w:rFonts w:cs="Arial"/>
              </w:rPr>
              <w:t>COVID-19</w:t>
            </w:r>
          </w:p>
        </w:tc>
        <w:tc>
          <w:tcPr>
            <w:tcW w:w="7320" w:type="dxa"/>
            <w:tcBorders>
              <w:top w:val="nil"/>
              <w:left w:val="nil"/>
              <w:bottom w:val="nil"/>
              <w:right w:val="nil"/>
            </w:tcBorders>
          </w:tcPr>
          <w:p w14:paraId="6AA77923" w14:textId="58DB3269" w:rsidR="007960CF" w:rsidRPr="00AC0957" w:rsidRDefault="007960CF" w:rsidP="007960CF">
            <w:pPr>
              <w:rPr>
                <w:rFonts w:cs="Arial"/>
              </w:rPr>
            </w:pPr>
            <w:r w:rsidRPr="00AC0957">
              <w:rPr>
                <w:rStyle w:val="normaltextrun"/>
                <w:rFonts w:cs="Arial"/>
              </w:rPr>
              <w:t>Coronavirus disease 2019</w:t>
            </w:r>
            <w:r w:rsidRPr="00AC0957">
              <w:rPr>
                <w:rStyle w:val="eop"/>
                <w:rFonts w:cs="Arial"/>
              </w:rPr>
              <w:t> </w:t>
            </w:r>
          </w:p>
        </w:tc>
      </w:tr>
      <w:tr w:rsidR="007960CF" w:rsidRPr="00AC0957" w14:paraId="6889FC76" w14:textId="77777777">
        <w:tc>
          <w:tcPr>
            <w:tcW w:w="1696" w:type="dxa"/>
            <w:tcBorders>
              <w:top w:val="nil"/>
              <w:left w:val="nil"/>
              <w:bottom w:val="nil"/>
              <w:right w:val="nil"/>
            </w:tcBorders>
          </w:tcPr>
          <w:p w14:paraId="4F224CAE" w14:textId="1B185CCE" w:rsidR="007960CF" w:rsidRPr="00AC0957" w:rsidRDefault="007960CF" w:rsidP="007960CF">
            <w:pPr>
              <w:rPr>
                <w:rFonts w:cs="Arial"/>
              </w:rPr>
            </w:pPr>
            <w:r w:rsidRPr="00AC0957">
              <w:rPr>
                <w:rStyle w:val="normaltextrun"/>
                <w:rFonts w:cs="Arial"/>
              </w:rPr>
              <w:t>DEWR</w:t>
            </w:r>
          </w:p>
        </w:tc>
        <w:tc>
          <w:tcPr>
            <w:tcW w:w="7320" w:type="dxa"/>
            <w:tcBorders>
              <w:top w:val="nil"/>
              <w:left w:val="nil"/>
              <w:bottom w:val="nil"/>
              <w:right w:val="nil"/>
            </w:tcBorders>
          </w:tcPr>
          <w:p w14:paraId="71E4908A" w14:textId="22C50E0C" w:rsidR="007960CF" w:rsidRPr="00AC0957" w:rsidRDefault="007960CF" w:rsidP="007960CF">
            <w:pPr>
              <w:rPr>
                <w:rFonts w:cs="Arial"/>
              </w:rPr>
            </w:pPr>
            <w:r w:rsidRPr="00AC0957">
              <w:rPr>
                <w:rStyle w:val="normaltextrun"/>
                <w:rFonts w:cs="Arial"/>
              </w:rPr>
              <w:t>Department of Employment and Workplace Relations</w:t>
            </w:r>
            <w:r w:rsidR="008C52B1">
              <w:rPr>
                <w:rStyle w:val="normaltextrun"/>
                <w:rFonts w:cs="Arial"/>
              </w:rPr>
              <w:t xml:space="preserve"> </w:t>
            </w:r>
          </w:p>
        </w:tc>
      </w:tr>
      <w:tr w:rsidR="007960CF" w:rsidRPr="00AC0957" w14:paraId="628D61FD" w14:textId="77777777">
        <w:tc>
          <w:tcPr>
            <w:tcW w:w="1696" w:type="dxa"/>
            <w:tcBorders>
              <w:top w:val="nil"/>
              <w:left w:val="nil"/>
              <w:bottom w:val="nil"/>
              <w:right w:val="nil"/>
            </w:tcBorders>
          </w:tcPr>
          <w:p w14:paraId="10A71E4D" w14:textId="1D8FC9E0" w:rsidR="007960CF" w:rsidRPr="00AC0957" w:rsidRDefault="007960CF" w:rsidP="007960CF">
            <w:pPr>
              <w:rPr>
                <w:rFonts w:cs="Arial"/>
              </w:rPr>
            </w:pPr>
            <w:r w:rsidRPr="00AC0957">
              <w:rPr>
                <w:rStyle w:val="normaltextrun"/>
                <w:rFonts w:cs="Arial"/>
              </w:rPr>
              <w:t>ECEC</w:t>
            </w:r>
          </w:p>
        </w:tc>
        <w:tc>
          <w:tcPr>
            <w:tcW w:w="7320" w:type="dxa"/>
            <w:tcBorders>
              <w:top w:val="nil"/>
              <w:left w:val="nil"/>
              <w:bottom w:val="nil"/>
              <w:right w:val="nil"/>
            </w:tcBorders>
          </w:tcPr>
          <w:p w14:paraId="764224DE" w14:textId="2F636A97" w:rsidR="007960CF" w:rsidRPr="00AC0957" w:rsidRDefault="007960CF" w:rsidP="007960CF">
            <w:pPr>
              <w:rPr>
                <w:rFonts w:cs="Arial"/>
              </w:rPr>
            </w:pPr>
            <w:r w:rsidRPr="00AC0957">
              <w:rPr>
                <w:rStyle w:val="normaltextrun"/>
                <w:rFonts w:cs="Arial"/>
              </w:rPr>
              <w:t xml:space="preserve">Early </w:t>
            </w:r>
            <w:r>
              <w:rPr>
                <w:rStyle w:val="normaltextrun"/>
                <w:rFonts w:cs="Arial"/>
              </w:rPr>
              <w:t>C</w:t>
            </w:r>
            <w:r w:rsidRPr="00AC0957">
              <w:rPr>
                <w:rStyle w:val="normaltextrun"/>
                <w:rFonts w:cs="Arial"/>
              </w:rPr>
              <w:t xml:space="preserve">hildhood </w:t>
            </w:r>
            <w:r>
              <w:rPr>
                <w:rStyle w:val="normaltextrun"/>
                <w:rFonts w:cs="Arial"/>
              </w:rPr>
              <w:t>E</w:t>
            </w:r>
            <w:r w:rsidRPr="00AC0957">
              <w:rPr>
                <w:rStyle w:val="normaltextrun"/>
                <w:rFonts w:cs="Arial"/>
              </w:rPr>
              <w:t xml:space="preserve">ducation and </w:t>
            </w:r>
            <w:r>
              <w:rPr>
                <w:rStyle w:val="normaltextrun"/>
                <w:rFonts w:cs="Arial"/>
              </w:rPr>
              <w:t>C</w:t>
            </w:r>
            <w:r w:rsidRPr="00AC0957">
              <w:rPr>
                <w:rStyle w:val="normaltextrun"/>
                <w:rFonts w:cs="Arial"/>
              </w:rPr>
              <w:t>are</w:t>
            </w:r>
            <w:r w:rsidRPr="00AC0957">
              <w:rPr>
                <w:rStyle w:val="eop"/>
                <w:rFonts w:cs="Arial"/>
              </w:rPr>
              <w:t> </w:t>
            </w:r>
          </w:p>
        </w:tc>
      </w:tr>
      <w:tr w:rsidR="007960CF" w:rsidRPr="00AC0957" w14:paraId="24ACEA7D" w14:textId="77777777">
        <w:tc>
          <w:tcPr>
            <w:tcW w:w="1696" w:type="dxa"/>
            <w:tcBorders>
              <w:top w:val="nil"/>
              <w:left w:val="nil"/>
              <w:bottom w:val="nil"/>
              <w:right w:val="nil"/>
            </w:tcBorders>
          </w:tcPr>
          <w:p w14:paraId="64F5252A" w14:textId="6977615B" w:rsidR="007960CF" w:rsidRPr="00AC0957" w:rsidRDefault="007960CF" w:rsidP="007960CF">
            <w:pPr>
              <w:rPr>
                <w:rFonts w:cs="Arial"/>
              </w:rPr>
            </w:pPr>
            <w:r w:rsidRPr="00AC0957">
              <w:rPr>
                <w:rStyle w:val="normaltextrun"/>
                <w:rFonts w:cs="Arial"/>
              </w:rPr>
              <w:t>FNO</w:t>
            </w:r>
          </w:p>
        </w:tc>
        <w:tc>
          <w:tcPr>
            <w:tcW w:w="7320" w:type="dxa"/>
            <w:tcBorders>
              <w:top w:val="nil"/>
              <w:left w:val="nil"/>
              <w:bottom w:val="nil"/>
              <w:right w:val="nil"/>
            </w:tcBorders>
          </w:tcPr>
          <w:p w14:paraId="2B9F9892" w14:textId="332F76FC" w:rsidR="007960CF" w:rsidRPr="00AC0957" w:rsidRDefault="007960CF" w:rsidP="007960CF">
            <w:pPr>
              <w:rPr>
                <w:rFonts w:cs="Arial"/>
              </w:rPr>
            </w:pPr>
            <w:r w:rsidRPr="00AC0957">
              <w:rPr>
                <w:rStyle w:val="normaltextrun"/>
                <w:rFonts w:cs="Arial"/>
              </w:rPr>
              <w:t>First Nations Owned</w:t>
            </w:r>
            <w:r w:rsidRPr="00AC0957">
              <w:rPr>
                <w:rStyle w:val="eop"/>
                <w:rFonts w:cs="Arial"/>
              </w:rPr>
              <w:t> </w:t>
            </w:r>
          </w:p>
        </w:tc>
      </w:tr>
      <w:tr w:rsidR="007960CF" w:rsidRPr="00AC0957" w14:paraId="755DAB48" w14:textId="77777777">
        <w:tc>
          <w:tcPr>
            <w:tcW w:w="1696" w:type="dxa"/>
            <w:tcBorders>
              <w:top w:val="nil"/>
              <w:left w:val="nil"/>
              <w:bottom w:val="nil"/>
              <w:right w:val="nil"/>
            </w:tcBorders>
          </w:tcPr>
          <w:p w14:paraId="18AC81E6" w14:textId="44061873" w:rsidR="007960CF" w:rsidRPr="00AC0957" w:rsidRDefault="007960CF" w:rsidP="007960CF">
            <w:pPr>
              <w:rPr>
                <w:rFonts w:cs="Arial"/>
              </w:rPr>
            </w:pPr>
            <w:r w:rsidRPr="00AC0957">
              <w:rPr>
                <w:rStyle w:val="normaltextrun"/>
                <w:rFonts w:cs="Arial"/>
              </w:rPr>
              <w:t>GDP</w:t>
            </w:r>
          </w:p>
        </w:tc>
        <w:tc>
          <w:tcPr>
            <w:tcW w:w="7320" w:type="dxa"/>
            <w:tcBorders>
              <w:top w:val="nil"/>
              <w:left w:val="nil"/>
              <w:bottom w:val="nil"/>
              <w:right w:val="nil"/>
            </w:tcBorders>
          </w:tcPr>
          <w:p w14:paraId="2D0008C8" w14:textId="39C599B2" w:rsidR="007960CF" w:rsidRPr="00AC0957" w:rsidRDefault="007960CF" w:rsidP="007960CF">
            <w:pPr>
              <w:rPr>
                <w:rFonts w:cs="Arial"/>
              </w:rPr>
            </w:pPr>
            <w:r w:rsidRPr="00AC0957">
              <w:rPr>
                <w:rStyle w:val="normaltextrun"/>
                <w:rFonts w:cs="Arial"/>
              </w:rPr>
              <w:t xml:space="preserve">Gross </w:t>
            </w:r>
            <w:r>
              <w:rPr>
                <w:rStyle w:val="normaltextrun"/>
                <w:rFonts w:cs="Arial"/>
              </w:rPr>
              <w:t>D</w:t>
            </w:r>
            <w:r w:rsidRPr="00AC0957">
              <w:rPr>
                <w:rStyle w:val="normaltextrun"/>
                <w:rFonts w:cs="Arial"/>
              </w:rPr>
              <w:t xml:space="preserve">omestic </w:t>
            </w:r>
            <w:r>
              <w:rPr>
                <w:rStyle w:val="normaltextrun"/>
                <w:rFonts w:cs="Arial"/>
              </w:rPr>
              <w:t>P</w:t>
            </w:r>
            <w:r w:rsidRPr="00AC0957">
              <w:rPr>
                <w:rStyle w:val="normaltextrun"/>
                <w:rFonts w:cs="Arial"/>
              </w:rPr>
              <w:t>roduct</w:t>
            </w:r>
            <w:r w:rsidRPr="00AC0957">
              <w:rPr>
                <w:rStyle w:val="eop"/>
                <w:rFonts w:cs="Arial"/>
              </w:rPr>
              <w:t> </w:t>
            </w:r>
          </w:p>
        </w:tc>
      </w:tr>
      <w:tr w:rsidR="004F4DCF" w:rsidRPr="00AC0957" w14:paraId="168022EC" w14:textId="77777777">
        <w:tc>
          <w:tcPr>
            <w:tcW w:w="1696" w:type="dxa"/>
            <w:tcBorders>
              <w:top w:val="nil"/>
              <w:left w:val="nil"/>
              <w:bottom w:val="nil"/>
              <w:right w:val="nil"/>
            </w:tcBorders>
          </w:tcPr>
          <w:p w14:paraId="415F0702" w14:textId="7B99C9B3" w:rsidR="004F4DCF" w:rsidRPr="00AC0957" w:rsidRDefault="004F4DCF" w:rsidP="007960CF">
            <w:pPr>
              <w:rPr>
                <w:rStyle w:val="normaltextrun"/>
                <w:rFonts w:cs="Arial"/>
              </w:rPr>
            </w:pPr>
            <w:r>
              <w:rPr>
                <w:rStyle w:val="normaltextrun"/>
                <w:rFonts w:cs="Arial"/>
              </w:rPr>
              <w:t>GM</w:t>
            </w:r>
          </w:p>
        </w:tc>
        <w:tc>
          <w:tcPr>
            <w:tcW w:w="7320" w:type="dxa"/>
            <w:tcBorders>
              <w:top w:val="nil"/>
              <w:left w:val="nil"/>
              <w:bottom w:val="nil"/>
              <w:right w:val="nil"/>
            </w:tcBorders>
          </w:tcPr>
          <w:p w14:paraId="759CAC05" w14:textId="602E4A71" w:rsidR="004F4DCF" w:rsidRPr="00AC0957" w:rsidRDefault="004F4DCF" w:rsidP="007960CF">
            <w:pPr>
              <w:rPr>
                <w:rStyle w:val="normaltextrun"/>
                <w:rFonts w:cs="Arial"/>
              </w:rPr>
            </w:pPr>
            <w:r>
              <w:rPr>
                <w:rStyle w:val="normaltextrun"/>
                <w:rFonts w:cs="Arial"/>
              </w:rPr>
              <w:t>General Manager</w:t>
            </w:r>
          </w:p>
        </w:tc>
      </w:tr>
      <w:tr w:rsidR="00A165A5" w:rsidRPr="00AC0957" w14:paraId="03AE55A7" w14:textId="77777777">
        <w:tc>
          <w:tcPr>
            <w:tcW w:w="1696" w:type="dxa"/>
            <w:tcBorders>
              <w:top w:val="nil"/>
              <w:left w:val="nil"/>
              <w:bottom w:val="nil"/>
              <w:right w:val="nil"/>
            </w:tcBorders>
          </w:tcPr>
          <w:p w14:paraId="52A1F940" w14:textId="50DE561A" w:rsidR="00A165A5" w:rsidRDefault="00A165A5" w:rsidP="007960CF">
            <w:pPr>
              <w:rPr>
                <w:rStyle w:val="normaltextrun"/>
                <w:rFonts w:cs="Arial"/>
              </w:rPr>
            </w:pPr>
            <w:r>
              <w:rPr>
                <w:rStyle w:val="normaltextrun"/>
                <w:rFonts w:cs="Arial"/>
              </w:rPr>
              <w:t>G</w:t>
            </w:r>
            <w:r>
              <w:rPr>
                <w:rStyle w:val="normaltextrun"/>
              </w:rPr>
              <w:t>TO</w:t>
            </w:r>
          </w:p>
        </w:tc>
        <w:tc>
          <w:tcPr>
            <w:tcW w:w="7320" w:type="dxa"/>
            <w:tcBorders>
              <w:top w:val="nil"/>
              <w:left w:val="nil"/>
              <w:bottom w:val="nil"/>
              <w:right w:val="nil"/>
            </w:tcBorders>
          </w:tcPr>
          <w:p w14:paraId="2AE3E3FE" w14:textId="640C3884" w:rsidR="00A165A5" w:rsidRDefault="00A165A5" w:rsidP="007960CF">
            <w:pPr>
              <w:rPr>
                <w:rStyle w:val="normaltextrun"/>
                <w:rFonts w:cs="Arial"/>
              </w:rPr>
            </w:pPr>
            <w:r>
              <w:rPr>
                <w:rStyle w:val="normaltextrun"/>
                <w:rFonts w:cs="Arial"/>
              </w:rPr>
              <w:t>G</w:t>
            </w:r>
            <w:r>
              <w:rPr>
                <w:rStyle w:val="normaltextrun"/>
              </w:rPr>
              <w:t>roup Training Organisation</w:t>
            </w:r>
          </w:p>
        </w:tc>
      </w:tr>
      <w:tr w:rsidR="007960CF" w:rsidRPr="00AC0957" w14:paraId="67E15ECA" w14:textId="77777777">
        <w:tc>
          <w:tcPr>
            <w:tcW w:w="1696" w:type="dxa"/>
            <w:tcBorders>
              <w:top w:val="nil"/>
              <w:left w:val="nil"/>
              <w:bottom w:val="nil"/>
              <w:right w:val="nil"/>
            </w:tcBorders>
          </w:tcPr>
          <w:p w14:paraId="2580E610" w14:textId="3B013AF8" w:rsidR="007960CF" w:rsidRPr="00AC0957" w:rsidRDefault="007960CF" w:rsidP="007960CF">
            <w:pPr>
              <w:rPr>
                <w:rFonts w:cs="Arial"/>
              </w:rPr>
            </w:pPr>
            <w:r w:rsidRPr="00AC0957">
              <w:rPr>
                <w:rStyle w:val="normaltextrun"/>
                <w:rFonts w:cs="Arial"/>
              </w:rPr>
              <w:t>HELP</w:t>
            </w:r>
          </w:p>
        </w:tc>
        <w:tc>
          <w:tcPr>
            <w:tcW w:w="7320" w:type="dxa"/>
            <w:tcBorders>
              <w:top w:val="nil"/>
              <w:left w:val="nil"/>
              <w:bottom w:val="nil"/>
              <w:right w:val="nil"/>
            </w:tcBorders>
          </w:tcPr>
          <w:p w14:paraId="5D06C5DC" w14:textId="67B6649A" w:rsidR="007960CF" w:rsidRPr="00AC0957" w:rsidRDefault="007960CF" w:rsidP="007960CF">
            <w:pPr>
              <w:rPr>
                <w:rFonts w:cs="Arial"/>
              </w:rPr>
            </w:pPr>
            <w:r w:rsidRPr="00AC0957">
              <w:rPr>
                <w:rStyle w:val="normaltextrun"/>
                <w:rFonts w:cs="Arial"/>
              </w:rPr>
              <w:t>Higher Education Loan Program</w:t>
            </w:r>
            <w:r w:rsidRPr="00AC0957">
              <w:rPr>
                <w:rStyle w:val="eop"/>
                <w:rFonts w:cs="Arial"/>
              </w:rPr>
              <w:t> </w:t>
            </w:r>
          </w:p>
        </w:tc>
      </w:tr>
      <w:tr w:rsidR="001332B0" w:rsidRPr="00AC0957" w14:paraId="05C8B5E4" w14:textId="77777777">
        <w:tc>
          <w:tcPr>
            <w:tcW w:w="1696" w:type="dxa"/>
            <w:tcBorders>
              <w:top w:val="nil"/>
              <w:left w:val="nil"/>
              <w:bottom w:val="nil"/>
              <w:right w:val="nil"/>
            </w:tcBorders>
          </w:tcPr>
          <w:p w14:paraId="7CBCF01E" w14:textId="67CB8B77" w:rsidR="001332B0" w:rsidRPr="00AC0957" w:rsidRDefault="001332B0" w:rsidP="007960CF">
            <w:pPr>
              <w:rPr>
                <w:rStyle w:val="normaltextrun"/>
                <w:rFonts w:cs="Arial"/>
              </w:rPr>
            </w:pPr>
            <w:r>
              <w:rPr>
                <w:rStyle w:val="normaltextrun"/>
                <w:rFonts w:cs="Arial"/>
              </w:rPr>
              <w:t>I</w:t>
            </w:r>
            <w:r>
              <w:rPr>
                <w:rStyle w:val="normaltextrun"/>
              </w:rPr>
              <w:t>CT</w:t>
            </w:r>
          </w:p>
        </w:tc>
        <w:tc>
          <w:tcPr>
            <w:tcW w:w="7320" w:type="dxa"/>
            <w:tcBorders>
              <w:top w:val="nil"/>
              <w:left w:val="nil"/>
              <w:bottom w:val="nil"/>
              <w:right w:val="nil"/>
            </w:tcBorders>
          </w:tcPr>
          <w:p w14:paraId="7754A847" w14:textId="6D0D3214" w:rsidR="001332B0" w:rsidRPr="00AC0957" w:rsidRDefault="00A618D2" w:rsidP="007960CF">
            <w:pPr>
              <w:rPr>
                <w:rStyle w:val="normaltextrun"/>
                <w:rFonts w:cs="Arial"/>
              </w:rPr>
            </w:pPr>
            <w:r>
              <w:rPr>
                <w:rStyle w:val="normaltextrun"/>
                <w:rFonts w:cs="Arial"/>
              </w:rPr>
              <w:t>I</w:t>
            </w:r>
            <w:r>
              <w:rPr>
                <w:rStyle w:val="normaltextrun"/>
              </w:rPr>
              <w:t>nformation and Communications Technology</w:t>
            </w:r>
          </w:p>
        </w:tc>
      </w:tr>
      <w:tr w:rsidR="007960CF" w:rsidRPr="00AC0957" w14:paraId="4EA8E6A9" w14:textId="77777777">
        <w:tc>
          <w:tcPr>
            <w:tcW w:w="1696" w:type="dxa"/>
            <w:tcBorders>
              <w:top w:val="nil"/>
              <w:left w:val="nil"/>
              <w:bottom w:val="nil"/>
              <w:right w:val="nil"/>
            </w:tcBorders>
          </w:tcPr>
          <w:p w14:paraId="4BFE4B5E" w14:textId="013D2D5D" w:rsidR="007960CF" w:rsidRPr="00AC0957" w:rsidRDefault="007960CF" w:rsidP="007960CF">
            <w:pPr>
              <w:rPr>
                <w:rFonts w:cs="Arial"/>
              </w:rPr>
            </w:pPr>
            <w:r w:rsidRPr="00AC0957">
              <w:rPr>
                <w:rStyle w:val="normaltextrun"/>
                <w:rFonts w:cs="Arial"/>
              </w:rPr>
              <w:t>IDC</w:t>
            </w:r>
          </w:p>
        </w:tc>
        <w:tc>
          <w:tcPr>
            <w:tcW w:w="7320" w:type="dxa"/>
            <w:tcBorders>
              <w:top w:val="nil"/>
              <w:left w:val="nil"/>
              <w:bottom w:val="nil"/>
              <w:right w:val="nil"/>
            </w:tcBorders>
          </w:tcPr>
          <w:p w14:paraId="759E22C5" w14:textId="1EFADF39" w:rsidR="007960CF" w:rsidRPr="00AC0957" w:rsidRDefault="007960CF" w:rsidP="007960CF">
            <w:pPr>
              <w:rPr>
                <w:rFonts w:cs="Arial"/>
              </w:rPr>
            </w:pPr>
            <w:r w:rsidRPr="00AC0957">
              <w:rPr>
                <w:rStyle w:val="normaltextrun"/>
                <w:rFonts w:cs="Arial"/>
              </w:rPr>
              <w:t>Interdepartmental Committee</w:t>
            </w:r>
          </w:p>
        </w:tc>
      </w:tr>
      <w:tr w:rsidR="007960CF" w:rsidRPr="00AC0957" w14:paraId="175DBEFF" w14:textId="77777777">
        <w:tc>
          <w:tcPr>
            <w:tcW w:w="1696" w:type="dxa"/>
            <w:tcBorders>
              <w:top w:val="nil"/>
              <w:left w:val="nil"/>
              <w:bottom w:val="nil"/>
              <w:right w:val="nil"/>
            </w:tcBorders>
          </w:tcPr>
          <w:p w14:paraId="40A5CE6A" w14:textId="03830AD9" w:rsidR="007960CF" w:rsidRPr="00AC0957" w:rsidRDefault="007960CF" w:rsidP="007960CF">
            <w:pPr>
              <w:rPr>
                <w:rFonts w:cs="Arial"/>
              </w:rPr>
            </w:pPr>
            <w:r w:rsidRPr="00AC0957">
              <w:rPr>
                <w:rStyle w:val="normaltextrun"/>
                <w:rFonts w:cs="Arial"/>
              </w:rPr>
              <w:t>ITR</w:t>
            </w:r>
          </w:p>
        </w:tc>
        <w:tc>
          <w:tcPr>
            <w:tcW w:w="7320" w:type="dxa"/>
            <w:tcBorders>
              <w:top w:val="nil"/>
              <w:left w:val="nil"/>
              <w:bottom w:val="nil"/>
              <w:right w:val="nil"/>
            </w:tcBorders>
          </w:tcPr>
          <w:p w14:paraId="33EC9D5D" w14:textId="29698FCC" w:rsidR="007960CF" w:rsidRPr="00AC0957" w:rsidRDefault="007960CF" w:rsidP="007960CF">
            <w:pPr>
              <w:rPr>
                <w:rFonts w:cs="Arial"/>
              </w:rPr>
            </w:pPr>
            <w:r w:rsidRPr="00AC0957">
              <w:rPr>
                <w:rStyle w:val="normaltextrun"/>
                <w:rFonts w:cs="Arial"/>
              </w:rPr>
              <w:t>Income Tax Return</w:t>
            </w:r>
            <w:r w:rsidRPr="00AC0957">
              <w:rPr>
                <w:rStyle w:val="eop"/>
                <w:rFonts w:cs="Arial"/>
              </w:rPr>
              <w:t> </w:t>
            </w:r>
          </w:p>
        </w:tc>
      </w:tr>
      <w:tr w:rsidR="007960CF" w:rsidRPr="00AC0957" w14:paraId="5155439A" w14:textId="77777777">
        <w:tc>
          <w:tcPr>
            <w:tcW w:w="1696" w:type="dxa"/>
            <w:tcBorders>
              <w:top w:val="nil"/>
              <w:left w:val="nil"/>
              <w:bottom w:val="nil"/>
              <w:right w:val="nil"/>
            </w:tcBorders>
          </w:tcPr>
          <w:p w14:paraId="0274F7AF" w14:textId="0BEC28E1" w:rsidR="007960CF" w:rsidRPr="00AC0957" w:rsidRDefault="007960CF" w:rsidP="007960CF">
            <w:pPr>
              <w:rPr>
                <w:rFonts w:cs="Arial"/>
              </w:rPr>
            </w:pPr>
            <w:r w:rsidRPr="00AC0957">
              <w:rPr>
                <w:rStyle w:val="normaltextrun"/>
                <w:rFonts w:cs="Arial"/>
              </w:rPr>
              <w:t>IVI</w:t>
            </w:r>
          </w:p>
        </w:tc>
        <w:tc>
          <w:tcPr>
            <w:tcW w:w="7320" w:type="dxa"/>
            <w:tcBorders>
              <w:top w:val="nil"/>
              <w:left w:val="nil"/>
              <w:bottom w:val="nil"/>
              <w:right w:val="nil"/>
            </w:tcBorders>
          </w:tcPr>
          <w:p w14:paraId="5C4EAD25" w14:textId="36113A6D" w:rsidR="007960CF" w:rsidRPr="00AC0957" w:rsidRDefault="007960CF" w:rsidP="007960CF">
            <w:pPr>
              <w:rPr>
                <w:rFonts w:cs="Arial"/>
              </w:rPr>
            </w:pPr>
            <w:r w:rsidRPr="00AC0957">
              <w:rPr>
                <w:rStyle w:val="normaltextrun"/>
                <w:rFonts w:cs="Arial"/>
              </w:rPr>
              <w:t>Internet Vacancy Index</w:t>
            </w:r>
            <w:r w:rsidR="008C52B1">
              <w:rPr>
                <w:rStyle w:val="normaltextrun"/>
                <w:rFonts w:cs="Arial"/>
              </w:rPr>
              <w:t xml:space="preserve"> </w:t>
            </w:r>
          </w:p>
        </w:tc>
      </w:tr>
      <w:tr w:rsidR="007960CF" w:rsidRPr="00AC0957" w14:paraId="6372EDD6" w14:textId="77777777">
        <w:tc>
          <w:tcPr>
            <w:tcW w:w="1696" w:type="dxa"/>
            <w:tcBorders>
              <w:top w:val="nil"/>
              <w:left w:val="nil"/>
              <w:bottom w:val="nil"/>
              <w:right w:val="nil"/>
            </w:tcBorders>
          </w:tcPr>
          <w:p w14:paraId="4F0F4FA6" w14:textId="74448513" w:rsidR="007960CF" w:rsidRPr="00AC0957" w:rsidRDefault="007960CF" w:rsidP="007960CF">
            <w:pPr>
              <w:rPr>
                <w:rFonts w:cs="Arial"/>
              </w:rPr>
            </w:pPr>
            <w:r w:rsidRPr="00AC0957">
              <w:rPr>
                <w:rStyle w:val="normaltextrun"/>
                <w:rFonts w:cs="Arial"/>
              </w:rPr>
              <w:t>JSA</w:t>
            </w:r>
          </w:p>
        </w:tc>
        <w:tc>
          <w:tcPr>
            <w:tcW w:w="7320" w:type="dxa"/>
            <w:tcBorders>
              <w:top w:val="nil"/>
              <w:left w:val="nil"/>
              <w:bottom w:val="nil"/>
              <w:right w:val="nil"/>
            </w:tcBorders>
          </w:tcPr>
          <w:p w14:paraId="196F71F1" w14:textId="627F5CBA" w:rsidR="007960CF" w:rsidRPr="00AC0957" w:rsidRDefault="007960CF" w:rsidP="007960CF">
            <w:pPr>
              <w:rPr>
                <w:rFonts w:cs="Arial"/>
              </w:rPr>
            </w:pPr>
            <w:r w:rsidRPr="00AC0957">
              <w:rPr>
                <w:rStyle w:val="normaltextrun"/>
                <w:rFonts w:cs="Arial"/>
              </w:rPr>
              <w:t>Jobs and Skills Australia</w:t>
            </w:r>
            <w:r w:rsidRPr="00AC0957">
              <w:rPr>
                <w:rStyle w:val="eop"/>
                <w:rFonts w:cs="Arial"/>
              </w:rPr>
              <w:t> </w:t>
            </w:r>
          </w:p>
        </w:tc>
      </w:tr>
      <w:tr w:rsidR="007960CF" w:rsidRPr="00AC0957" w14:paraId="108C2486" w14:textId="77777777">
        <w:tc>
          <w:tcPr>
            <w:tcW w:w="1696" w:type="dxa"/>
            <w:tcBorders>
              <w:top w:val="nil"/>
              <w:left w:val="nil"/>
              <w:bottom w:val="nil"/>
              <w:right w:val="nil"/>
            </w:tcBorders>
          </w:tcPr>
          <w:p w14:paraId="4B1B08ED" w14:textId="08487C4A" w:rsidR="007960CF" w:rsidRPr="00AC0957" w:rsidRDefault="007960CF" w:rsidP="007960CF">
            <w:pPr>
              <w:rPr>
                <w:rFonts w:cs="Arial"/>
              </w:rPr>
            </w:pPr>
            <w:r w:rsidRPr="00AC0957">
              <w:rPr>
                <w:rStyle w:val="normaltextrun"/>
                <w:rFonts w:cs="Arial"/>
              </w:rPr>
              <w:t>JSC</w:t>
            </w:r>
          </w:p>
        </w:tc>
        <w:tc>
          <w:tcPr>
            <w:tcW w:w="7320" w:type="dxa"/>
            <w:tcBorders>
              <w:top w:val="nil"/>
              <w:left w:val="nil"/>
              <w:bottom w:val="nil"/>
              <w:right w:val="nil"/>
            </w:tcBorders>
          </w:tcPr>
          <w:p w14:paraId="6732524C" w14:textId="04F3A4CB" w:rsidR="007960CF" w:rsidRPr="00AC0957" w:rsidRDefault="007960CF" w:rsidP="007960CF">
            <w:pPr>
              <w:rPr>
                <w:rFonts w:cs="Arial"/>
              </w:rPr>
            </w:pPr>
            <w:r w:rsidRPr="00AC0957">
              <w:rPr>
                <w:rStyle w:val="normaltextrun"/>
                <w:rFonts w:cs="Arial"/>
              </w:rPr>
              <w:t>Jobs and Skills Council</w:t>
            </w:r>
            <w:r w:rsidRPr="00AC0957">
              <w:rPr>
                <w:rStyle w:val="eop"/>
                <w:rFonts w:cs="Arial"/>
              </w:rPr>
              <w:t> </w:t>
            </w:r>
          </w:p>
        </w:tc>
      </w:tr>
      <w:tr w:rsidR="009212A8" w:rsidRPr="00AC0957" w14:paraId="3B0743B8" w14:textId="77777777">
        <w:tc>
          <w:tcPr>
            <w:tcW w:w="1696" w:type="dxa"/>
            <w:tcBorders>
              <w:top w:val="nil"/>
              <w:left w:val="nil"/>
              <w:bottom w:val="nil"/>
              <w:right w:val="nil"/>
            </w:tcBorders>
          </w:tcPr>
          <w:p w14:paraId="08755C6F" w14:textId="58215188" w:rsidR="009212A8" w:rsidRPr="00AC0957" w:rsidRDefault="009212A8" w:rsidP="007960CF">
            <w:pPr>
              <w:rPr>
                <w:rStyle w:val="normaltextrun"/>
                <w:rFonts w:cs="Arial"/>
              </w:rPr>
            </w:pPr>
            <w:r>
              <w:rPr>
                <w:rStyle w:val="normaltextrun"/>
                <w:rFonts w:cs="Arial"/>
              </w:rPr>
              <w:t>LCN</w:t>
            </w:r>
          </w:p>
        </w:tc>
        <w:tc>
          <w:tcPr>
            <w:tcW w:w="7320" w:type="dxa"/>
            <w:tcBorders>
              <w:top w:val="nil"/>
              <w:left w:val="nil"/>
              <w:bottom w:val="nil"/>
              <w:right w:val="nil"/>
            </w:tcBorders>
          </w:tcPr>
          <w:p w14:paraId="1967B7EA" w14:textId="3945C25D" w:rsidR="009212A8" w:rsidRPr="00AC0957" w:rsidRDefault="009212A8" w:rsidP="007960CF">
            <w:pPr>
              <w:rPr>
                <w:rStyle w:val="normaltextrun"/>
                <w:rFonts w:cs="Arial"/>
              </w:rPr>
            </w:pPr>
            <w:r>
              <w:rPr>
                <w:rStyle w:val="normaltextrun"/>
                <w:rFonts w:cs="Arial"/>
              </w:rPr>
              <w:t>Learning and Change Network</w:t>
            </w:r>
          </w:p>
        </w:tc>
      </w:tr>
      <w:tr w:rsidR="007960CF" w:rsidRPr="00AC0957" w14:paraId="162DC799" w14:textId="77777777">
        <w:tc>
          <w:tcPr>
            <w:tcW w:w="1696" w:type="dxa"/>
            <w:tcBorders>
              <w:top w:val="nil"/>
              <w:left w:val="nil"/>
              <w:bottom w:val="nil"/>
              <w:right w:val="nil"/>
            </w:tcBorders>
          </w:tcPr>
          <w:p w14:paraId="6B61E645" w14:textId="006E7B3C" w:rsidR="007960CF" w:rsidRPr="00AC0957" w:rsidRDefault="007960CF" w:rsidP="007960CF">
            <w:pPr>
              <w:rPr>
                <w:rFonts w:cs="Arial"/>
              </w:rPr>
            </w:pPr>
            <w:r w:rsidRPr="00AC0957">
              <w:rPr>
                <w:rStyle w:val="normaltextrun"/>
                <w:rFonts w:cs="Arial"/>
              </w:rPr>
              <w:t>Lightcast</w:t>
            </w:r>
          </w:p>
        </w:tc>
        <w:tc>
          <w:tcPr>
            <w:tcW w:w="7320" w:type="dxa"/>
            <w:tcBorders>
              <w:top w:val="nil"/>
              <w:left w:val="nil"/>
              <w:bottom w:val="nil"/>
              <w:right w:val="nil"/>
            </w:tcBorders>
          </w:tcPr>
          <w:p w14:paraId="25CBCABF" w14:textId="5811007D" w:rsidR="007960CF" w:rsidRPr="00AC0957" w:rsidRDefault="007960CF" w:rsidP="007960CF">
            <w:pPr>
              <w:rPr>
                <w:rFonts w:cs="Arial"/>
              </w:rPr>
            </w:pPr>
            <w:r w:rsidRPr="00AC0957">
              <w:rPr>
                <w:rStyle w:val="normaltextrun"/>
                <w:rFonts w:cs="Arial"/>
              </w:rPr>
              <w:t>A source of online job advertisements</w:t>
            </w:r>
            <w:r w:rsidRPr="00AC0957">
              <w:rPr>
                <w:rStyle w:val="eop"/>
                <w:rFonts w:cs="Arial"/>
              </w:rPr>
              <w:t> </w:t>
            </w:r>
          </w:p>
        </w:tc>
      </w:tr>
      <w:tr w:rsidR="00603A9B" w:rsidRPr="00AC0957" w14:paraId="4EF92AF7" w14:textId="77777777">
        <w:tc>
          <w:tcPr>
            <w:tcW w:w="1696" w:type="dxa"/>
            <w:tcBorders>
              <w:top w:val="nil"/>
              <w:left w:val="nil"/>
              <w:bottom w:val="nil"/>
              <w:right w:val="nil"/>
            </w:tcBorders>
          </w:tcPr>
          <w:p w14:paraId="584438B3" w14:textId="67694C3E" w:rsidR="00603A9B" w:rsidRPr="00AC0957" w:rsidRDefault="00603A9B" w:rsidP="007960CF">
            <w:pPr>
              <w:rPr>
                <w:rStyle w:val="normaltextrun"/>
                <w:rFonts w:cs="Arial"/>
              </w:rPr>
            </w:pPr>
            <w:r>
              <w:rPr>
                <w:rStyle w:val="normaltextrun"/>
                <w:rFonts w:cs="Arial"/>
              </w:rPr>
              <w:t>L</w:t>
            </w:r>
            <w:r>
              <w:rPr>
                <w:rStyle w:val="normaltextrun"/>
              </w:rPr>
              <w:t>MS</w:t>
            </w:r>
          </w:p>
        </w:tc>
        <w:tc>
          <w:tcPr>
            <w:tcW w:w="7320" w:type="dxa"/>
            <w:tcBorders>
              <w:top w:val="nil"/>
              <w:left w:val="nil"/>
              <w:bottom w:val="nil"/>
              <w:right w:val="nil"/>
            </w:tcBorders>
          </w:tcPr>
          <w:p w14:paraId="4C40047E" w14:textId="243484BE" w:rsidR="00603A9B" w:rsidRPr="00AC0957" w:rsidRDefault="00603A9B" w:rsidP="007960CF">
            <w:pPr>
              <w:rPr>
                <w:rStyle w:val="normaltextrun"/>
                <w:rFonts w:cs="Arial"/>
              </w:rPr>
            </w:pPr>
            <w:r>
              <w:rPr>
                <w:rStyle w:val="normaltextrun"/>
                <w:rFonts w:cs="Arial"/>
              </w:rPr>
              <w:t>L</w:t>
            </w:r>
            <w:r>
              <w:rPr>
                <w:rStyle w:val="normaltextrun"/>
              </w:rPr>
              <w:t>earning Management System</w:t>
            </w:r>
          </w:p>
        </w:tc>
      </w:tr>
      <w:tr w:rsidR="007960CF" w:rsidRPr="00AC0957" w14:paraId="210BBEAF" w14:textId="77777777">
        <w:tc>
          <w:tcPr>
            <w:tcW w:w="1696" w:type="dxa"/>
            <w:tcBorders>
              <w:top w:val="nil"/>
              <w:left w:val="nil"/>
              <w:bottom w:val="nil"/>
              <w:right w:val="nil"/>
            </w:tcBorders>
          </w:tcPr>
          <w:p w14:paraId="754EF39F" w14:textId="58E26FFD" w:rsidR="007960CF" w:rsidRPr="00AC0957" w:rsidRDefault="007960CF" w:rsidP="007960CF">
            <w:pPr>
              <w:rPr>
                <w:rFonts w:cs="Arial"/>
              </w:rPr>
            </w:pPr>
            <w:r w:rsidRPr="00AC0957">
              <w:rPr>
                <w:rStyle w:val="normaltextrun"/>
                <w:rFonts w:cs="Arial"/>
              </w:rPr>
              <w:t>LTU</w:t>
            </w:r>
          </w:p>
        </w:tc>
        <w:tc>
          <w:tcPr>
            <w:tcW w:w="7320" w:type="dxa"/>
            <w:tcBorders>
              <w:top w:val="nil"/>
              <w:left w:val="nil"/>
              <w:bottom w:val="nil"/>
              <w:right w:val="nil"/>
            </w:tcBorders>
          </w:tcPr>
          <w:p w14:paraId="70E5200E" w14:textId="27C317BB" w:rsidR="007960CF" w:rsidRPr="00AC0957" w:rsidRDefault="007960CF" w:rsidP="007960CF">
            <w:pPr>
              <w:rPr>
                <w:rFonts w:cs="Arial"/>
              </w:rPr>
            </w:pPr>
            <w:r w:rsidRPr="00AC0957">
              <w:rPr>
                <w:rStyle w:val="normaltextrun"/>
                <w:rFonts w:cs="Arial"/>
              </w:rPr>
              <w:t>Long-term unemployment</w:t>
            </w:r>
            <w:r w:rsidR="008C52B1">
              <w:rPr>
                <w:rStyle w:val="normaltextrun"/>
                <w:rFonts w:cs="Arial"/>
              </w:rPr>
              <w:t xml:space="preserve"> </w:t>
            </w:r>
          </w:p>
        </w:tc>
      </w:tr>
      <w:tr w:rsidR="007960CF" w:rsidRPr="00AC0957" w14:paraId="2FE4A289" w14:textId="77777777">
        <w:tc>
          <w:tcPr>
            <w:tcW w:w="1696" w:type="dxa"/>
            <w:tcBorders>
              <w:top w:val="nil"/>
              <w:left w:val="nil"/>
              <w:bottom w:val="nil"/>
              <w:right w:val="nil"/>
            </w:tcBorders>
          </w:tcPr>
          <w:p w14:paraId="5A9F1451" w14:textId="659BCAEA" w:rsidR="007960CF" w:rsidRPr="00AC0957" w:rsidRDefault="007960CF" w:rsidP="007960CF">
            <w:pPr>
              <w:rPr>
                <w:rFonts w:cs="Arial"/>
              </w:rPr>
            </w:pPr>
            <w:r w:rsidRPr="00AC0957">
              <w:rPr>
                <w:rStyle w:val="normaltextrun"/>
                <w:rFonts w:cs="Arial"/>
              </w:rPr>
              <w:t>NEET</w:t>
            </w:r>
          </w:p>
        </w:tc>
        <w:tc>
          <w:tcPr>
            <w:tcW w:w="7320" w:type="dxa"/>
            <w:tcBorders>
              <w:top w:val="nil"/>
              <w:left w:val="nil"/>
              <w:bottom w:val="nil"/>
              <w:right w:val="nil"/>
            </w:tcBorders>
          </w:tcPr>
          <w:p w14:paraId="23DB51FA" w14:textId="1C5FD481" w:rsidR="007960CF" w:rsidRPr="00AC0957" w:rsidRDefault="007960CF" w:rsidP="007960CF">
            <w:pPr>
              <w:rPr>
                <w:rFonts w:cs="Arial"/>
              </w:rPr>
            </w:pPr>
            <w:r w:rsidRPr="00AC0957">
              <w:rPr>
                <w:rStyle w:val="normaltextrun"/>
                <w:rFonts w:cs="Arial"/>
              </w:rPr>
              <w:t>Not in employment, education or training</w:t>
            </w:r>
            <w:r w:rsidRPr="00AC0957">
              <w:rPr>
                <w:rStyle w:val="eop"/>
                <w:rFonts w:cs="Arial"/>
              </w:rPr>
              <w:t> </w:t>
            </w:r>
          </w:p>
        </w:tc>
      </w:tr>
      <w:tr w:rsidR="007960CF" w:rsidRPr="00AC0957" w14:paraId="0E328E94" w14:textId="77777777">
        <w:tc>
          <w:tcPr>
            <w:tcW w:w="1696" w:type="dxa"/>
            <w:tcBorders>
              <w:top w:val="nil"/>
              <w:left w:val="nil"/>
              <w:bottom w:val="nil"/>
              <w:right w:val="nil"/>
            </w:tcBorders>
          </w:tcPr>
          <w:p w14:paraId="713C3CE1" w14:textId="6A0FF2E1" w:rsidR="007960CF" w:rsidRPr="00AC0957" w:rsidRDefault="007960CF" w:rsidP="007960CF">
            <w:pPr>
              <w:rPr>
                <w:rFonts w:cs="Arial"/>
              </w:rPr>
            </w:pPr>
            <w:r w:rsidRPr="00AC0957">
              <w:rPr>
                <w:rStyle w:val="normaltextrun"/>
                <w:rFonts w:cs="Arial"/>
              </w:rPr>
              <w:t>NCVER</w:t>
            </w:r>
          </w:p>
        </w:tc>
        <w:tc>
          <w:tcPr>
            <w:tcW w:w="7320" w:type="dxa"/>
            <w:tcBorders>
              <w:top w:val="nil"/>
              <w:left w:val="nil"/>
              <w:bottom w:val="nil"/>
              <w:right w:val="nil"/>
            </w:tcBorders>
          </w:tcPr>
          <w:p w14:paraId="2EF87F26" w14:textId="00B11833" w:rsidR="007960CF" w:rsidRPr="00AC0957" w:rsidRDefault="007960CF" w:rsidP="007960CF">
            <w:pPr>
              <w:rPr>
                <w:rFonts w:cs="Arial"/>
              </w:rPr>
            </w:pPr>
            <w:r w:rsidRPr="00AC0957">
              <w:rPr>
                <w:rStyle w:val="normaltextrun"/>
                <w:rFonts w:cs="Arial"/>
              </w:rPr>
              <w:t>National Centre for Vocational Education Research</w:t>
            </w:r>
            <w:r w:rsidRPr="00AC0957">
              <w:rPr>
                <w:rStyle w:val="eop"/>
                <w:rFonts w:cs="Arial"/>
              </w:rPr>
              <w:t> </w:t>
            </w:r>
          </w:p>
        </w:tc>
      </w:tr>
      <w:tr w:rsidR="007960CF" w:rsidRPr="00AC0957" w14:paraId="6004760A" w14:textId="77777777">
        <w:tc>
          <w:tcPr>
            <w:tcW w:w="1696" w:type="dxa"/>
            <w:tcBorders>
              <w:top w:val="nil"/>
              <w:left w:val="nil"/>
              <w:bottom w:val="nil"/>
              <w:right w:val="nil"/>
            </w:tcBorders>
          </w:tcPr>
          <w:p w14:paraId="449478F7" w14:textId="257633DE" w:rsidR="007960CF" w:rsidRPr="00AC0957" w:rsidRDefault="007960CF" w:rsidP="007960CF">
            <w:pPr>
              <w:rPr>
                <w:rFonts w:cs="Arial"/>
              </w:rPr>
            </w:pPr>
            <w:r w:rsidRPr="00AC0957">
              <w:rPr>
                <w:rStyle w:val="normaltextrun"/>
                <w:rFonts w:cs="Arial"/>
              </w:rPr>
              <w:t>NST</w:t>
            </w:r>
          </w:p>
        </w:tc>
        <w:tc>
          <w:tcPr>
            <w:tcW w:w="7320" w:type="dxa"/>
            <w:tcBorders>
              <w:top w:val="nil"/>
              <w:left w:val="nil"/>
              <w:bottom w:val="nil"/>
              <w:right w:val="nil"/>
            </w:tcBorders>
          </w:tcPr>
          <w:p w14:paraId="0EF17439" w14:textId="0BA306DA" w:rsidR="007960CF" w:rsidRPr="00AC0957" w:rsidRDefault="007960CF" w:rsidP="007960CF">
            <w:pPr>
              <w:rPr>
                <w:rFonts w:cs="Arial"/>
              </w:rPr>
            </w:pPr>
            <w:r w:rsidRPr="00AC0957">
              <w:rPr>
                <w:rStyle w:val="normaltextrun"/>
                <w:rFonts w:cs="Arial"/>
              </w:rPr>
              <w:t>National Skills Taxonomy</w:t>
            </w:r>
            <w:r w:rsidRPr="00AC0957">
              <w:rPr>
                <w:rStyle w:val="eop"/>
                <w:rFonts w:cs="Arial"/>
              </w:rPr>
              <w:t> </w:t>
            </w:r>
          </w:p>
        </w:tc>
      </w:tr>
      <w:tr w:rsidR="007960CF" w:rsidRPr="00AC0957" w14:paraId="2DB3E441" w14:textId="77777777">
        <w:tc>
          <w:tcPr>
            <w:tcW w:w="1696" w:type="dxa"/>
            <w:tcBorders>
              <w:top w:val="nil"/>
              <w:left w:val="nil"/>
              <w:bottom w:val="nil"/>
              <w:right w:val="nil"/>
            </w:tcBorders>
          </w:tcPr>
          <w:p w14:paraId="2631347A" w14:textId="2F5C9026" w:rsidR="007960CF" w:rsidRPr="00AC0957" w:rsidRDefault="007960CF" w:rsidP="007960CF">
            <w:pPr>
              <w:rPr>
                <w:rFonts w:cs="Arial"/>
              </w:rPr>
            </w:pPr>
            <w:r w:rsidRPr="00AC0957">
              <w:rPr>
                <w:rStyle w:val="normaltextrun"/>
                <w:rFonts w:cs="Arial"/>
              </w:rPr>
              <w:t>NQF</w:t>
            </w:r>
          </w:p>
        </w:tc>
        <w:tc>
          <w:tcPr>
            <w:tcW w:w="7320" w:type="dxa"/>
            <w:tcBorders>
              <w:top w:val="nil"/>
              <w:left w:val="nil"/>
              <w:bottom w:val="nil"/>
              <w:right w:val="nil"/>
            </w:tcBorders>
          </w:tcPr>
          <w:p w14:paraId="48B6F3CD" w14:textId="258A113F" w:rsidR="007960CF" w:rsidRPr="00AC0957" w:rsidRDefault="007960CF" w:rsidP="007960CF">
            <w:pPr>
              <w:rPr>
                <w:rFonts w:cs="Arial"/>
              </w:rPr>
            </w:pPr>
            <w:r w:rsidRPr="00AC0957">
              <w:rPr>
                <w:rStyle w:val="normaltextrun"/>
                <w:rFonts w:cs="Arial"/>
              </w:rPr>
              <w:t>National Quality Framework</w:t>
            </w:r>
            <w:r w:rsidRPr="00AC0957">
              <w:rPr>
                <w:rStyle w:val="eop"/>
                <w:rFonts w:cs="Arial"/>
              </w:rPr>
              <w:t> </w:t>
            </w:r>
          </w:p>
        </w:tc>
      </w:tr>
      <w:tr w:rsidR="007960CF" w:rsidRPr="00AC0957" w14:paraId="7AECB7C3" w14:textId="77777777">
        <w:tc>
          <w:tcPr>
            <w:tcW w:w="1696" w:type="dxa"/>
            <w:tcBorders>
              <w:top w:val="nil"/>
              <w:left w:val="nil"/>
              <w:bottom w:val="nil"/>
              <w:right w:val="nil"/>
            </w:tcBorders>
          </w:tcPr>
          <w:p w14:paraId="694850DA" w14:textId="56F89A56" w:rsidR="007960CF" w:rsidRPr="00AC0957" w:rsidRDefault="007960CF" w:rsidP="007960CF">
            <w:pPr>
              <w:rPr>
                <w:rFonts w:cs="Arial"/>
              </w:rPr>
            </w:pPr>
            <w:r w:rsidRPr="00AC0957">
              <w:rPr>
                <w:rStyle w:val="normaltextrun"/>
                <w:rFonts w:cs="Arial"/>
              </w:rPr>
              <w:t xml:space="preserve">OECD </w:t>
            </w:r>
          </w:p>
        </w:tc>
        <w:tc>
          <w:tcPr>
            <w:tcW w:w="7320" w:type="dxa"/>
            <w:tcBorders>
              <w:top w:val="nil"/>
              <w:left w:val="nil"/>
              <w:bottom w:val="nil"/>
              <w:right w:val="nil"/>
            </w:tcBorders>
          </w:tcPr>
          <w:p w14:paraId="1652A0BA" w14:textId="025CBC23" w:rsidR="007960CF" w:rsidRPr="00AC0957" w:rsidRDefault="007960CF" w:rsidP="007960CF">
            <w:pPr>
              <w:rPr>
                <w:rFonts w:cs="Arial"/>
              </w:rPr>
            </w:pPr>
            <w:r w:rsidRPr="00AC0957">
              <w:rPr>
                <w:rStyle w:val="normaltextrun"/>
                <w:rFonts w:cs="Arial"/>
              </w:rPr>
              <w:t>Organisation for Economic Co-operation and Development</w:t>
            </w:r>
            <w:r w:rsidRPr="00AC0957">
              <w:rPr>
                <w:rStyle w:val="eop"/>
                <w:rFonts w:cs="Arial"/>
              </w:rPr>
              <w:t> </w:t>
            </w:r>
          </w:p>
        </w:tc>
      </w:tr>
      <w:tr w:rsidR="007960CF" w:rsidRPr="00AC0957" w14:paraId="1B5CB77B" w14:textId="77777777">
        <w:tc>
          <w:tcPr>
            <w:tcW w:w="1696" w:type="dxa"/>
            <w:tcBorders>
              <w:top w:val="nil"/>
              <w:left w:val="nil"/>
              <w:bottom w:val="nil"/>
              <w:right w:val="nil"/>
            </w:tcBorders>
          </w:tcPr>
          <w:p w14:paraId="6652BCE2" w14:textId="2E0CE767" w:rsidR="007960CF" w:rsidRPr="00AC0957" w:rsidRDefault="007960CF" w:rsidP="007960CF">
            <w:pPr>
              <w:rPr>
                <w:rFonts w:cs="Arial"/>
              </w:rPr>
            </w:pPr>
            <w:r w:rsidRPr="00AC0957">
              <w:rPr>
                <w:rStyle w:val="normaltextrun"/>
                <w:rFonts w:cs="Arial"/>
              </w:rPr>
              <w:t>OSD</w:t>
            </w:r>
          </w:p>
        </w:tc>
        <w:tc>
          <w:tcPr>
            <w:tcW w:w="7320" w:type="dxa"/>
            <w:tcBorders>
              <w:top w:val="nil"/>
              <w:left w:val="nil"/>
              <w:bottom w:val="nil"/>
              <w:right w:val="nil"/>
            </w:tcBorders>
          </w:tcPr>
          <w:p w14:paraId="0F250C7C" w14:textId="2BC63D58" w:rsidR="007960CF" w:rsidRPr="00AC0957" w:rsidRDefault="007960CF" w:rsidP="007960CF">
            <w:pPr>
              <w:rPr>
                <w:rFonts w:cs="Arial"/>
              </w:rPr>
            </w:pPr>
            <w:r w:rsidRPr="00AC0957">
              <w:rPr>
                <w:rStyle w:val="normaltextrun"/>
                <w:rFonts w:cs="Arial"/>
              </w:rPr>
              <w:t>Occupation Shortage Drivers</w:t>
            </w:r>
            <w:r w:rsidRPr="00AC0957">
              <w:rPr>
                <w:rStyle w:val="eop"/>
                <w:rFonts w:cs="Arial"/>
              </w:rPr>
              <w:t> </w:t>
            </w:r>
          </w:p>
        </w:tc>
      </w:tr>
      <w:tr w:rsidR="007960CF" w:rsidRPr="00AC0957" w14:paraId="64626584" w14:textId="77777777">
        <w:tc>
          <w:tcPr>
            <w:tcW w:w="1696" w:type="dxa"/>
            <w:tcBorders>
              <w:top w:val="nil"/>
              <w:left w:val="nil"/>
              <w:bottom w:val="nil"/>
              <w:right w:val="nil"/>
            </w:tcBorders>
          </w:tcPr>
          <w:p w14:paraId="4EF7B9A2" w14:textId="0B8F58EE" w:rsidR="007960CF" w:rsidRPr="00AC0957" w:rsidRDefault="007960CF" w:rsidP="007960CF">
            <w:pPr>
              <w:rPr>
                <w:rFonts w:cs="Arial"/>
              </w:rPr>
            </w:pPr>
            <w:r w:rsidRPr="00AC0957">
              <w:rPr>
                <w:rStyle w:val="normaltextrun"/>
                <w:rFonts w:cs="Arial"/>
              </w:rPr>
              <w:t>OSL</w:t>
            </w:r>
          </w:p>
        </w:tc>
        <w:tc>
          <w:tcPr>
            <w:tcW w:w="7320" w:type="dxa"/>
            <w:tcBorders>
              <w:top w:val="nil"/>
              <w:left w:val="nil"/>
              <w:bottom w:val="nil"/>
              <w:right w:val="nil"/>
            </w:tcBorders>
          </w:tcPr>
          <w:p w14:paraId="10994E6D" w14:textId="38E6ABEE" w:rsidR="007960CF" w:rsidRPr="00AC0957" w:rsidRDefault="007960CF" w:rsidP="007960CF">
            <w:pPr>
              <w:rPr>
                <w:rFonts w:cs="Arial"/>
              </w:rPr>
            </w:pPr>
            <w:r w:rsidRPr="00AC0957">
              <w:rPr>
                <w:rStyle w:val="normaltextrun"/>
                <w:rFonts w:cs="Arial"/>
              </w:rPr>
              <w:t>Occupational Shortage List</w:t>
            </w:r>
            <w:r w:rsidRPr="00AC0957">
              <w:rPr>
                <w:rStyle w:val="eop"/>
                <w:rFonts w:cs="Arial"/>
              </w:rPr>
              <w:t> </w:t>
            </w:r>
          </w:p>
        </w:tc>
      </w:tr>
      <w:tr w:rsidR="007960CF" w:rsidRPr="00AC0957" w14:paraId="02ABE06A" w14:textId="77777777">
        <w:tc>
          <w:tcPr>
            <w:tcW w:w="1696" w:type="dxa"/>
            <w:tcBorders>
              <w:top w:val="nil"/>
              <w:left w:val="nil"/>
              <w:bottom w:val="nil"/>
              <w:right w:val="nil"/>
            </w:tcBorders>
          </w:tcPr>
          <w:p w14:paraId="2DDD6274" w14:textId="3BFC660B" w:rsidR="007960CF" w:rsidRPr="00AC0957" w:rsidRDefault="007960CF" w:rsidP="007960CF">
            <w:pPr>
              <w:rPr>
                <w:rFonts w:cs="Arial"/>
              </w:rPr>
            </w:pPr>
            <w:r w:rsidRPr="00AC0957">
              <w:rPr>
                <w:rStyle w:val="normaltextrun"/>
                <w:rFonts w:cs="Arial"/>
              </w:rPr>
              <w:t>QILT</w:t>
            </w:r>
          </w:p>
        </w:tc>
        <w:tc>
          <w:tcPr>
            <w:tcW w:w="7320" w:type="dxa"/>
            <w:tcBorders>
              <w:top w:val="nil"/>
              <w:left w:val="nil"/>
              <w:bottom w:val="nil"/>
              <w:right w:val="nil"/>
            </w:tcBorders>
          </w:tcPr>
          <w:p w14:paraId="2116CC64" w14:textId="215A95B1" w:rsidR="007960CF" w:rsidRPr="00AC0957" w:rsidRDefault="007960CF" w:rsidP="007960CF">
            <w:pPr>
              <w:rPr>
                <w:rFonts w:cs="Arial"/>
              </w:rPr>
            </w:pPr>
            <w:r w:rsidRPr="00AC0957">
              <w:rPr>
                <w:rStyle w:val="normaltextrun"/>
                <w:rFonts w:cs="Arial"/>
              </w:rPr>
              <w:t>Quality Indicators for Learning and Teaching</w:t>
            </w:r>
            <w:r w:rsidRPr="00AC0957">
              <w:rPr>
                <w:rStyle w:val="eop"/>
                <w:rFonts w:cs="Arial"/>
              </w:rPr>
              <w:t> </w:t>
            </w:r>
          </w:p>
        </w:tc>
      </w:tr>
      <w:tr w:rsidR="007960CF" w:rsidRPr="00AC0957" w14:paraId="48856563" w14:textId="77777777">
        <w:tc>
          <w:tcPr>
            <w:tcW w:w="1696" w:type="dxa"/>
            <w:tcBorders>
              <w:top w:val="nil"/>
              <w:left w:val="nil"/>
              <w:bottom w:val="nil"/>
              <w:right w:val="nil"/>
            </w:tcBorders>
          </w:tcPr>
          <w:p w14:paraId="16CCEBF2" w14:textId="08507B54" w:rsidR="007960CF" w:rsidRPr="00AC0957" w:rsidRDefault="007960CF" w:rsidP="007960CF">
            <w:pPr>
              <w:rPr>
                <w:rFonts w:cs="Arial"/>
              </w:rPr>
            </w:pPr>
            <w:r w:rsidRPr="00AC0957">
              <w:rPr>
                <w:rStyle w:val="normaltextrun"/>
                <w:rFonts w:cs="Arial"/>
              </w:rPr>
              <w:t>PALM</w:t>
            </w:r>
          </w:p>
        </w:tc>
        <w:tc>
          <w:tcPr>
            <w:tcW w:w="7320" w:type="dxa"/>
            <w:tcBorders>
              <w:top w:val="nil"/>
              <w:left w:val="nil"/>
              <w:bottom w:val="nil"/>
              <w:right w:val="nil"/>
            </w:tcBorders>
          </w:tcPr>
          <w:p w14:paraId="4E84678D" w14:textId="6A690341" w:rsidR="007960CF" w:rsidRPr="00AC0957" w:rsidRDefault="007960CF" w:rsidP="007960CF">
            <w:pPr>
              <w:rPr>
                <w:rFonts w:cs="Arial"/>
              </w:rPr>
            </w:pPr>
            <w:r w:rsidRPr="00AC0957">
              <w:rPr>
                <w:rStyle w:val="normaltextrun"/>
                <w:rFonts w:cs="Arial"/>
              </w:rPr>
              <w:t>Pacific Australia Labour Mobility</w:t>
            </w:r>
            <w:r w:rsidRPr="00AC0957">
              <w:rPr>
                <w:rStyle w:val="eop"/>
                <w:rFonts w:cs="Arial"/>
              </w:rPr>
              <w:t> </w:t>
            </w:r>
          </w:p>
        </w:tc>
      </w:tr>
      <w:tr w:rsidR="007960CF" w:rsidRPr="00AC0957" w14:paraId="3A05E817" w14:textId="77777777">
        <w:tc>
          <w:tcPr>
            <w:tcW w:w="1696" w:type="dxa"/>
            <w:tcBorders>
              <w:top w:val="nil"/>
              <w:left w:val="nil"/>
              <w:bottom w:val="nil"/>
              <w:right w:val="nil"/>
            </w:tcBorders>
          </w:tcPr>
          <w:p w14:paraId="408F66A6" w14:textId="218EF9F7" w:rsidR="007960CF" w:rsidRPr="00AC0957" w:rsidRDefault="007960CF" w:rsidP="007960CF">
            <w:pPr>
              <w:rPr>
                <w:rFonts w:cs="Arial"/>
              </w:rPr>
            </w:pPr>
            <w:r w:rsidRPr="00AC0957">
              <w:rPr>
                <w:rStyle w:val="normaltextrun"/>
                <w:rFonts w:cs="Arial"/>
              </w:rPr>
              <w:t>PIAAC</w:t>
            </w:r>
          </w:p>
        </w:tc>
        <w:tc>
          <w:tcPr>
            <w:tcW w:w="7320" w:type="dxa"/>
            <w:tcBorders>
              <w:top w:val="nil"/>
              <w:left w:val="nil"/>
              <w:bottom w:val="nil"/>
              <w:right w:val="nil"/>
            </w:tcBorders>
          </w:tcPr>
          <w:p w14:paraId="5861C66B" w14:textId="0CC92EE5" w:rsidR="007960CF" w:rsidRPr="00AC0957" w:rsidRDefault="007960CF" w:rsidP="007960CF">
            <w:pPr>
              <w:rPr>
                <w:rFonts w:cs="Arial"/>
              </w:rPr>
            </w:pPr>
            <w:r w:rsidRPr="00AC0957">
              <w:rPr>
                <w:rStyle w:val="normaltextrun"/>
                <w:rFonts w:cs="Arial"/>
              </w:rPr>
              <w:t>Programme for International Assessment of Adult Competencies</w:t>
            </w:r>
            <w:r w:rsidRPr="00AC0957">
              <w:rPr>
                <w:rStyle w:val="eop"/>
                <w:rFonts w:cs="Arial"/>
              </w:rPr>
              <w:t> </w:t>
            </w:r>
          </w:p>
        </w:tc>
      </w:tr>
      <w:tr w:rsidR="007960CF" w:rsidRPr="00AC0957" w14:paraId="165C3E6C" w14:textId="77777777">
        <w:tc>
          <w:tcPr>
            <w:tcW w:w="1696" w:type="dxa"/>
            <w:tcBorders>
              <w:top w:val="nil"/>
              <w:left w:val="nil"/>
              <w:bottom w:val="nil"/>
              <w:right w:val="nil"/>
            </w:tcBorders>
          </w:tcPr>
          <w:p w14:paraId="0FA57F71" w14:textId="56D559C7" w:rsidR="007960CF" w:rsidRPr="00AC0957" w:rsidRDefault="007960CF" w:rsidP="007960CF">
            <w:pPr>
              <w:rPr>
                <w:rFonts w:cs="Arial"/>
              </w:rPr>
            </w:pPr>
            <w:r w:rsidRPr="00AC0957">
              <w:rPr>
                <w:rStyle w:val="normaltextrun"/>
                <w:rFonts w:cs="Arial"/>
              </w:rPr>
              <w:t>PLIDA</w:t>
            </w:r>
          </w:p>
        </w:tc>
        <w:tc>
          <w:tcPr>
            <w:tcW w:w="7320" w:type="dxa"/>
            <w:tcBorders>
              <w:top w:val="nil"/>
              <w:left w:val="nil"/>
              <w:bottom w:val="nil"/>
              <w:right w:val="nil"/>
            </w:tcBorders>
          </w:tcPr>
          <w:p w14:paraId="5B16D7A8" w14:textId="00B437DA" w:rsidR="007960CF" w:rsidRPr="00AC0957" w:rsidRDefault="007960CF" w:rsidP="007960CF">
            <w:pPr>
              <w:rPr>
                <w:rFonts w:cs="Arial"/>
              </w:rPr>
            </w:pPr>
            <w:r w:rsidRPr="00AC0957">
              <w:rPr>
                <w:rStyle w:val="normaltextrun"/>
                <w:rFonts w:cs="Arial"/>
              </w:rPr>
              <w:t>Personal Level Integrated Data Asset</w:t>
            </w:r>
            <w:r w:rsidR="008C52B1">
              <w:rPr>
                <w:rStyle w:val="normaltextrun"/>
                <w:rFonts w:cs="Arial"/>
              </w:rPr>
              <w:t xml:space="preserve"> </w:t>
            </w:r>
          </w:p>
        </w:tc>
      </w:tr>
      <w:tr w:rsidR="007960CF" w:rsidRPr="00AC0957" w14:paraId="07D07A5D" w14:textId="77777777">
        <w:tc>
          <w:tcPr>
            <w:tcW w:w="1696" w:type="dxa"/>
            <w:tcBorders>
              <w:top w:val="nil"/>
              <w:left w:val="nil"/>
              <w:bottom w:val="nil"/>
              <w:right w:val="nil"/>
            </w:tcBorders>
          </w:tcPr>
          <w:p w14:paraId="6BD36868" w14:textId="2DA7EB38" w:rsidR="007960CF" w:rsidRPr="00AC0957" w:rsidRDefault="007960CF" w:rsidP="007960CF">
            <w:pPr>
              <w:rPr>
                <w:rFonts w:cs="Arial"/>
              </w:rPr>
            </w:pPr>
            <w:r w:rsidRPr="00AC0957">
              <w:rPr>
                <w:rStyle w:val="normaltextrun"/>
                <w:rFonts w:cs="Arial"/>
              </w:rPr>
              <w:t>REOS</w:t>
            </w:r>
          </w:p>
        </w:tc>
        <w:tc>
          <w:tcPr>
            <w:tcW w:w="7320" w:type="dxa"/>
            <w:tcBorders>
              <w:top w:val="nil"/>
              <w:left w:val="nil"/>
              <w:bottom w:val="nil"/>
              <w:right w:val="nil"/>
            </w:tcBorders>
          </w:tcPr>
          <w:p w14:paraId="2859604F" w14:textId="3EA96D82" w:rsidR="007960CF" w:rsidRPr="00AC0957" w:rsidRDefault="007960CF" w:rsidP="007960CF">
            <w:pPr>
              <w:rPr>
                <w:rFonts w:cs="Arial"/>
              </w:rPr>
            </w:pPr>
            <w:r w:rsidRPr="00AC0957">
              <w:rPr>
                <w:rStyle w:val="normaltextrun"/>
                <w:rFonts w:cs="Arial"/>
              </w:rPr>
              <w:t>Recruitment Experiences and Outlook Survey</w:t>
            </w:r>
            <w:r w:rsidRPr="00AC0957">
              <w:rPr>
                <w:rStyle w:val="eop"/>
                <w:rFonts w:cs="Arial"/>
              </w:rPr>
              <w:t> </w:t>
            </w:r>
          </w:p>
        </w:tc>
      </w:tr>
      <w:tr w:rsidR="007960CF" w:rsidRPr="00AC0957" w14:paraId="37AD2247" w14:textId="77777777">
        <w:tc>
          <w:tcPr>
            <w:tcW w:w="1696" w:type="dxa"/>
            <w:tcBorders>
              <w:top w:val="nil"/>
              <w:left w:val="nil"/>
              <w:bottom w:val="nil"/>
              <w:right w:val="nil"/>
            </w:tcBorders>
          </w:tcPr>
          <w:p w14:paraId="63F2F615" w14:textId="5AAA395A" w:rsidR="007960CF" w:rsidRPr="00AC0957" w:rsidRDefault="007960CF" w:rsidP="007960CF">
            <w:pPr>
              <w:rPr>
                <w:rFonts w:cs="Arial"/>
              </w:rPr>
            </w:pPr>
            <w:r w:rsidRPr="00AC0957">
              <w:rPr>
                <w:rStyle w:val="normaltextrun"/>
                <w:rFonts w:cs="Arial"/>
              </w:rPr>
              <w:t xml:space="preserve">RBA </w:t>
            </w:r>
          </w:p>
        </w:tc>
        <w:tc>
          <w:tcPr>
            <w:tcW w:w="7320" w:type="dxa"/>
            <w:tcBorders>
              <w:top w:val="nil"/>
              <w:left w:val="nil"/>
              <w:bottom w:val="nil"/>
              <w:right w:val="nil"/>
            </w:tcBorders>
          </w:tcPr>
          <w:p w14:paraId="7AD77B96" w14:textId="40014F21" w:rsidR="007960CF" w:rsidRPr="00AC0957" w:rsidRDefault="007960CF" w:rsidP="007960CF">
            <w:pPr>
              <w:rPr>
                <w:rFonts w:cs="Arial"/>
              </w:rPr>
            </w:pPr>
            <w:r w:rsidRPr="00AC0957">
              <w:rPr>
                <w:rStyle w:val="normaltextrun"/>
                <w:rFonts w:cs="Arial"/>
              </w:rPr>
              <w:t>Reserve Bank of Australia</w:t>
            </w:r>
            <w:r w:rsidRPr="00AC0957">
              <w:rPr>
                <w:rStyle w:val="eop"/>
                <w:rFonts w:cs="Arial"/>
              </w:rPr>
              <w:t> </w:t>
            </w:r>
          </w:p>
        </w:tc>
      </w:tr>
      <w:tr w:rsidR="007960CF" w:rsidRPr="00AC0957" w14:paraId="24551801" w14:textId="77777777">
        <w:tc>
          <w:tcPr>
            <w:tcW w:w="1696" w:type="dxa"/>
            <w:tcBorders>
              <w:top w:val="nil"/>
              <w:left w:val="nil"/>
              <w:bottom w:val="nil"/>
              <w:right w:val="nil"/>
            </w:tcBorders>
          </w:tcPr>
          <w:p w14:paraId="0808D025" w14:textId="3F950BE0" w:rsidR="007960CF" w:rsidRPr="00AC0957" w:rsidRDefault="007960CF" w:rsidP="007960CF">
            <w:pPr>
              <w:rPr>
                <w:rFonts w:cs="Arial"/>
              </w:rPr>
            </w:pPr>
            <w:r w:rsidRPr="00AC0957">
              <w:rPr>
                <w:rStyle w:val="normaltextrun"/>
                <w:rFonts w:cs="Arial"/>
              </w:rPr>
              <w:t>RLMI</w:t>
            </w:r>
          </w:p>
        </w:tc>
        <w:tc>
          <w:tcPr>
            <w:tcW w:w="7320" w:type="dxa"/>
            <w:tcBorders>
              <w:top w:val="nil"/>
              <w:left w:val="nil"/>
              <w:bottom w:val="nil"/>
              <w:right w:val="nil"/>
            </w:tcBorders>
          </w:tcPr>
          <w:p w14:paraId="5525C074" w14:textId="091B101B" w:rsidR="007960CF" w:rsidRPr="00AC0957" w:rsidRDefault="007960CF" w:rsidP="007960CF">
            <w:pPr>
              <w:rPr>
                <w:rFonts w:cs="Arial"/>
              </w:rPr>
            </w:pPr>
            <w:r w:rsidRPr="00AC0957">
              <w:rPr>
                <w:rStyle w:val="normaltextrun"/>
                <w:rFonts w:cs="Arial"/>
              </w:rPr>
              <w:t xml:space="preserve">Regional Labour </w:t>
            </w:r>
            <w:r>
              <w:rPr>
                <w:rStyle w:val="normaltextrun"/>
                <w:rFonts w:cs="Arial"/>
              </w:rPr>
              <w:t>M</w:t>
            </w:r>
            <w:r w:rsidRPr="00AC0957">
              <w:rPr>
                <w:rStyle w:val="normaltextrun"/>
                <w:rFonts w:cs="Arial"/>
              </w:rPr>
              <w:t xml:space="preserve">arket </w:t>
            </w:r>
            <w:r>
              <w:rPr>
                <w:rStyle w:val="normaltextrun"/>
                <w:rFonts w:cs="Arial"/>
              </w:rPr>
              <w:t>I</w:t>
            </w:r>
            <w:r w:rsidRPr="00AC0957">
              <w:rPr>
                <w:rStyle w:val="normaltextrun"/>
                <w:rFonts w:cs="Arial"/>
              </w:rPr>
              <w:t>ndicator</w:t>
            </w:r>
            <w:r w:rsidRPr="00AC0957">
              <w:rPr>
                <w:rStyle w:val="eop"/>
                <w:rFonts w:cs="Arial"/>
              </w:rPr>
              <w:t> </w:t>
            </w:r>
          </w:p>
        </w:tc>
      </w:tr>
      <w:tr w:rsidR="007960CF" w:rsidRPr="00AC0957" w14:paraId="36106B6A" w14:textId="77777777">
        <w:tc>
          <w:tcPr>
            <w:tcW w:w="1696" w:type="dxa"/>
            <w:tcBorders>
              <w:top w:val="nil"/>
              <w:left w:val="nil"/>
              <w:bottom w:val="nil"/>
              <w:right w:val="nil"/>
            </w:tcBorders>
          </w:tcPr>
          <w:p w14:paraId="6F86AD7C" w14:textId="7BDC091B" w:rsidR="007960CF" w:rsidRPr="00AC0957" w:rsidRDefault="007960CF" w:rsidP="007960CF">
            <w:pPr>
              <w:rPr>
                <w:rFonts w:cs="Arial"/>
              </w:rPr>
            </w:pPr>
            <w:r w:rsidRPr="00AC0957">
              <w:rPr>
                <w:rStyle w:val="normaltextrun"/>
                <w:rFonts w:cs="Arial"/>
              </w:rPr>
              <w:t>RTO</w:t>
            </w:r>
          </w:p>
        </w:tc>
        <w:tc>
          <w:tcPr>
            <w:tcW w:w="7320" w:type="dxa"/>
            <w:tcBorders>
              <w:top w:val="nil"/>
              <w:left w:val="nil"/>
              <w:bottom w:val="nil"/>
              <w:right w:val="nil"/>
            </w:tcBorders>
          </w:tcPr>
          <w:p w14:paraId="1CBA670F" w14:textId="5EBCD0E0" w:rsidR="007960CF" w:rsidRPr="00AC0957" w:rsidRDefault="007960CF" w:rsidP="007960CF">
            <w:pPr>
              <w:rPr>
                <w:rFonts w:cs="Arial"/>
              </w:rPr>
            </w:pPr>
            <w:r w:rsidRPr="00AC0957">
              <w:rPr>
                <w:rStyle w:val="normaltextrun"/>
                <w:rFonts w:cs="Arial"/>
              </w:rPr>
              <w:t xml:space="preserve">Registered </w:t>
            </w:r>
            <w:r>
              <w:rPr>
                <w:rStyle w:val="normaltextrun"/>
                <w:rFonts w:cs="Arial"/>
              </w:rPr>
              <w:t>T</w:t>
            </w:r>
            <w:r w:rsidRPr="00AC0957">
              <w:rPr>
                <w:rStyle w:val="normaltextrun"/>
                <w:rFonts w:cs="Arial"/>
              </w:rPr>
              <w:t xml:space="preserve">raining </w:t>
            </w:r>
            <w:r>
              <w:rPr>
                <w:rStyle w:val="normaltextrun"/>
                <w:rFonts w:cs="Arial"/>
              </w:rPr>
              <w:t>O</w:t>
            </w:r>
            <w:r w:rsidRPr="00AC0957">
              <w:rPr>
                <w:rStyle w:val="normaltextrun"/>
                <w:rFonts w:cs="Arial"/>
              </w:rPr>
              <w:t>rganisation</w:t>
            </w:r>
            <w:r w:rsidRPr="00AC0957">
              <w:rPr>
                <w:rStyle w:val="eop"/>
                <w:rFonts w:cs="Arial"/>
              </w:rPr>
              <w:t> </w:t>
            </w:r>
          </w:p>
        </w:tc>
      </w:tr>
      <w:tr w:rsidR="007960CF" w:rsidRPr="00AC0957" w14:paraId="05DF9DBB" w14:textId="77777777">
        <w:tc>
          <w:tcPr>
            <w:tcW w:w="1696" w:type="dxa"/>
            <w:tcBorders>
              <w:top w:val="nil"/>
              <w:left w:val="nil"/>
              <w:bottom w:val="nil"/>
              <w:right w:val="nil"/>
            </w:tcBorders>
          </w:tcPr>
          <w:p w14:paraId="2EF5877E" w14:textId="565B61E2" w:rsidR="007960CF" w:rsidRPr="00AC0957" w:rsidRDefault="007960CF" w:rsidP="007960CF">
            <w:pPr>
              <w:rPr>
                <w:rFonts w:cs="Arial"/>
              </w:rPr>
            </w:pPr>
            <w:r w:rsidRPr="00AC0957">
              <w:rPr>
                <w:rStyle w:val="normaltextrun"/>
                <w:rFonts w:cs="Arial"/>
              </w:rPr>
              <w:t>SA4</w:t>
            </w:r>
          </w:p>
        </w:tc>
        <w:tc>
          <w:tcPr>
            <w:tcW w:w="7320" w:type="dxa"/>
            <w:tcBorders>
              <w:top w:val="nil"/>
              <w:left w:val="nil"/>
              <w:bottom w:val="nil"/>
              <w:right w:val="nil"/>
            </w:tcBorders>
          </w:tcPr>
          <w:p w14:paraId="1C5BB947" w14:textId="118F469C" w:rsidR="007960CF" w:rsidRPr="00AC0957" w:rsidRDefault="007960CF" w:rsidP="007960CF">
            <w:pPr>
              <w:rPr>
                <w:rFonts w:cs="Arial"/>
              </w:rPr>
            </w:pPr>
            <w:r w:rsidRPr="00AC0957">
              <w:rPr>
                <w:rStyle w:val="normaltextrun"/>
                <w:rFonts w:cs="Arial"/>
              </w:rPr>
              <w:t>ABS Statistical Area Level 4</w:t>
            </w:r>
            <w:r w:rsidRPr="00AC0957">
              <w:rPr>
                <w:rStyle w:val="eop"/>
                <w:rFonts w:cs="Arial"/>
              </w:rPr>
              <w:t> </w:t>
            </w:r>
          </w:p>
        </w:tc>
      </w:tr>
      <w:tr w:rsidR="007960CF" w:rsidRPr="00AC0957" w14:paraId="7274E057" w14:textId="77777777">
        <w:tc>
          <w:tcPr>
            <w:tcW w:w="1696" w:type="dxa"/>
            <w:tcBorders>
              <w:top w:val="nil"/>
              <w:left w:val="nil"/>
              <w:bottom w:val="nil"/>
              <w:right w:val="nil"/>
            </w:tcBorders>
          </w:tcPr>
          <w:p w14:paraId="6EB2C69A" w14:textId="1BE76244" w:rsidR="007960CF" w:rsidRPr="00AC0957" w:rsidRDefault="007960CF" w:rsidP="007960CF">
            <w:pPr>
              <w:rPr>
                <w:rFonts w:cs="Arial"/>
              </w:rPr>
            </w:pPr>
            <w:r w:rsidRPr="00AC0957">
              <w:rPr>
                <w:rStyle w:val="normaltextrun"/>
                <w:rFonts w:cs="Arial"/>
              </w:rPr>
              <w:t>SERA</w:t>
            </w:r>
          </w:p>
        </w:tc>
        <w:tc>
          <w:tcPr>
            <w:tcW w:w="7320" w:type="dxa"/>
            <w:tcBorders>
              <w:top w:val="nil"/>
              <w:left w:val="nil"/>
              <w:bottom w:val="nil"/>
              <w:right w:val="nil"/>
            </w:tcBorders>
          </w:tcPr>
          <w:p w14:paraId="5B7A0093" w14:textId="320BDED7" w:rsidR="007960CF" w:rsidRPr="00AC0957" w:rsidRDefault="007960CF" w:rsidP="007960CF">
            <w:pPr>
              <w:rPr>
                <w:rFonts w:cs="Arial"/>
              </w:rPr>
            </w:pPr>
            <w:r w:rsidRPr="00AC0957">
              <w:rPr>
                <w:rStyle w:val="normaltextrun"/>
                <w:rFonts w:cs="Arial"/>
              </w:rPr>
              <w:t>Survey of Employers who have Recently Advertised</w:t>
            </w:r>
            <w:r w:rsidRPr="00AC0957">
              <w:rPr>
                <w:rStyle w:val="eop"/>
                <w:rFonts w:cs="Arial"/>
              </w:rPr>
              <w:t> </w:t>
            </w:r>
          </w:p>
        </w:tc>
      </w:tr>
      <w:tr w:rsidR="007960CF" w:rsidRPr="00AC0957" w14:paraId="48FA0F1E" w14:textId="77777777">
        <w:tc>
          <w:tcPr>
            <w:tcW w:w="1696" w:type="dxa"/>
            <w:tcBorders>
              <w:top w:val="nil"/>
              <w:left w:val="nil"/>
              <w:bottom w:val="nil"/>
              <w:right w:val="nil"/>
            </w:tcBorders>
          </w:tcPr>
          <w:p w14:paraId="08CF5AC0" w14:textId="5B78AEA5" w:rsidR="007960CF" w:rsidRPr="00AC0957" w:rsidRDefault="007960CF" w:rsidP="007960CF">
            <w:pPr>
              <w:rPr>
                <w:rFonts w:cs="Arial"/>
              </w:rPr>
            </w:pPr>
            <w:r w:rsidRPr="00AC0957">
              <w:rPr>
                <w:rStyle w:val="normaltextrun"/>
                <w:rFonts w:cs="Arial"/>
              </w:rPr>
              <w:t>STP</w:t>
            </w:r>
          </w:p>
        </w:tc>
        <w:tc>
          <w:tcPr>
            <w:tcW w:w="7320" w:type="dxa"/>
            <w:tcBorders>
              <w:top w:val="nil"/>
              <w:left w:val="nil"/>
              <w:bottom w:val="nil"/>
              <w:right w:val="nil"/>
            </w:tcBorders>
          </w:tcPr>
          <w:p w14:paraId="15D93605" w14:textId="4A04965E" w:rsidR="007960CF" w:rsidRPr="00AC0957" w:rsidRDefault="007960CF" w:rsidP="007960CF">
            <w:pPr>
              <w:rPr>
                <w:rFonts w:cs="Arial"/>
              </w:rPr>
            </w:pPr>
            <w:r w:rsidRPr="00AC0957">
              <w:rPr>
                <w:rStyle w:val="normaltextrun"/>
                <w:rFonts w:cs="Arial"/>
              </w:rPr>
              <w:t>Single Touch Payroll</w:t>
            </w:r>
            <w:r w:rsidRPr="00AC0957">
              <w:rPr>
                <w:rStyle w:val="eop"/>
                <w:rFonts w:cs="Arial"/>
              </w:rPr>
              <w:t> </w:t>
            </w:r>
          </w:p>
        </w:tc>
      </w:tr>
      <w:tr w:rsidR="007960CF" w:rsidRPr="00AC0957" w14:paraId="05BE1430" w14:textId="77777777">
        <w:tc>
          <w:tcPr>
            <w:tcW w:w="1696" w:type="dxa"/>
            <w:tcBorders>
              <w:top w:val="nil"/>
              <w:left w:val="nil"/>
              <w:bottom w:val="nil"/>
              <w:right w:val="nil"/>
            </w:tcBorders>
          </w:tcPr>
          <w:p w14:paraId="3C22DFAB" w14:textId="5F45E3A4" w:rsidR="007960CF" w:rsidRPr="00AC0957" w:rsidRDefault="007960CF" w:rsidP="007960CF">
            <w:pPr>
              <w:rPr>
                <w:rFonts w:cs="Arial"/>
              </w:rPr>
            </w:pPr>
            <w:r w:rsidRPr="00AC0957">
              <w:rPr>
                <w:rStyle w:val="normaltextrun"/>
                <w:rFonts w:cs="Arial"/>
              </w:rPr>
              <w:t>TAFE</w:t>
            </w:r>
          </w:p>
        </w:tc>
        <w:tc>
          <w:tcPr>
            <w:tcW w:w="7320" w:type="dxa"/>
            <w:tcBorders>
              <w:top w:val="nil"/>
              <w:left w:val="nil"/>
              <w:bottom w:val="nil"/>
              <w:right w:val="nil"/>
            </w:tcBorders>
          </w:tcPr>
          <w:p w14:paraId="20EB80EF" w14:textId="48DE141B" w:rsidR="007960CF" w:rsidRPr="00AC0957" w:rsidRDefault="007960CF" w:rsidP="007960CF">
            <w:pPr>
              <w:rPr>
                <w:rFonts w:cs="Arial"/>
              </w:rPr>
            </w:pPr>
            <w:r w:rsidRPr="00AC0957">
              <w:rPr>
                <w:rStyle w:val="normaltextrun"/>
                <w:rFonts w:cs="Arial"/>
              </w:rPr>
              <w:t>Technical and Further Education</w:t>
            </w:r>
            <w:r w:rsidRPr="00AC0957">
              <w:rPr>
                <w:rStyle w:val="eop"/>
                <w:rFonts w:cs="Arial"/>
              </w:rPr>
              <w:t> </w:t>
            </w:r>
          </w:p>
        </w:tc>
      </w:tr>
      <w:tr w:rsidR="007960CF" w:rsidRPr="00AC0957" w14:paraId="48E8E417" w14:textId="77777777">
        <w:tc>
          <w:tcPr>
            <w:tcW w:w="1696" w:type="dxa"/>
            <w:tcBorders>
              <w:top w:val="nil"/>
              <w:left w:val="nil"/>
              <w:bottom w:val="nil"/>
              <w:right w:val="nil"/>
            </w:tcBorders>
          </w:tcPr>
          <w:p w14:paraId="6819343A" w14:textId="0726D0FA" w:rsidR="007960CF" w:rsidRPr="00AC0957" w:rsidRDefault="007960CF" w:rsidP="007960CF">
            <w:pPr>
              <w:rPr>
                <w:rFonts w:cs="Arial"/>
              </w:rPr>
            </w:pPr>
            <w:r w:rsidRPr="00AC0957">
              <w:rPr>
                <w:rStyle w:val="normaltextrun"/>
                <w:rFonts w:cs="Arial"/>
              </w:rPr>
              <w:t>TGV</w:t>
            </w:r>
          </w:p>
        </w:tc>
        <w:tc>
          <w:tcPr>
            <w:tcW w:w="7320" w:type="dxa"/>
            <w:tcBorders>
              <w:top w:val="nil"/>
              <w:left w:val="nil"/>
              <w:bottom w:val="nil"/>
              <w:right w:val="nil"/>
            </w:tcBorders>
          </w:tcPr>
          <w:p w14:paraId="29F57727" w14:textId="612CC316" w:rsidR="007960CF" w:rsidRPr="00AC0957" w:rsidRDefault="007960CF" w:rsidP="007960CF">
            <w:pPr>
              <w:rPr>
                <w:rFonts w:cs="Arial"/>
              </w:rPr>
            </w:pPr>
            <w:r w:rsidRPr="00AC0957">
              <w:rPr>
                <w:rStyle w:val="normaltextrun"/>
                <w:rFonts w:cs="Arial"/>
              </w:rPr>
              <w:t>VET Temporary Graduate Visa</w:t>
            </w:r>
            <w:r w:rsidRPr="00AC0957">
              <w:rPr>
                <w:rStyle w:val="eop"/>
                <w:rFonts w:cs="Arial"/>
              </w:rPr>
              <w:t> </w:t>
            </w:r>
          </w:p>
        </w:tc>
      </w:tr>
      <w:tr w:rsidR="007960CF" w:rsidRPr="00AC0957" w14:paraId="24102483" w14:textId="77777777">
        <w:tc>
          <w:tcPr>
            <w:tcW w:w="1696" w:type="dxa"/>
            <w:tcBorders>
              <w:top w:val="nil"/>
              <w:left w:val="nil"/>
              <w:bottom w:val="nil"/>
              <w:right w:val="nil"/>
            </w:tcBorders>
          </w:tcPr>
          <w:p w14:paraId="298326CA" w14:textId="2B22C35D" w:rsidR="007960CF" w:rsidRPr="00AC0957" w:rsidRDefault="007960CF" w:rsidP="007960CF">
            <w:pPr>
              <w:rPr>
                <w:rFonts w:cs="Arial"/>
              </w:rPr>
            </w:pPr>
            <w:r w:rsidRPr="00AC0957">
              <w:rPr>
                <w:rStyle w:val="normaltextrun"/>
                <w:rFonts w:cs="Arial"/>
              </w:rPr>
              <w:t>VET</w:t>
            </w:r>
          </w:p>
        </w:tc>
        <w:tc>
          <w:tcPr>
            <w:tcW w:w="7320" w:type="dxa"/>
            <w:tcBorders>
              <w:top w:val="nil"/>
              <w:left w:val="nil"/>
              <w:bottom w:val="nil"/>
              <w:right w:val="nil"/>
            </w:tcBorders>
          </w:tcPr>
          <w:p w14:paraId="2773E475" w14:textId="6EB95CAE" w:rsidR="007960CF" w:rsidRPr="00AC0957" w:rsidRDefault="007960CF" w:rsidP="007960CF">
            <w:pPr>
              <w:rPr>
                <w:rFonts w:cs="Arial"/>
              </w:rPr>
            </w:pPr>
            <w:r w:rsidRPr="00AC0957">
              <w:rPr>
                <w:rStyle w:val="normaltextrun"/>
                <w:rFonts w:cs="Arial"/>
              </w:rPr>
              <w:t>Vocational Education and Training</w:t>
            </w:r>
            <w:r w:rsidRPr="00AC0957">
              <w:rPr>
                <w:rStyle w:val="eop"/>
                <w:rFonts w:cs="Arial"/>
              </w:rPr>
              <w:t> </w:t>
            </w:r>
          </w:p>
        </w:tc>
      </w:tr>
    </w:tbl>
    <w:p w14:paraId="1A557E6C" w14:textId="77777777" w:rsidR="00AC2606" w:rsidRPr="00910734" w:rsidRDefault="00AC2606" w:rsidP="00AC2606"/>
    <w:bookmarkEnd w:id="0"/>
    <w:bookmarkEnd w:id="1"/>
    <w:p w14:paraId="09ABE120" w14:textId="197B7A16" w:rsidR="00100010" w:rsidRDefault="00100010">
      <w:pPr>
        <w:spacing w:after="160" w:line="259" w:lineRule="auto"/>
        <w:rPr>
          <w:rFonts w:eastAsiaTheme="majorEastAsia" w:cstheme="majorBidi"/>
          <w:b/>
          <w:color w:val="4B0885" w:themeColor="text2"/>
          <w:sz w:val="56"/>
          <w:szCs w:val="32"/>
        </w:rPr>
      </w:pPr>
      <w:r>
        <w:rPr>
          <w:rFonts w:eastAsiaTheme="majorEastAsia" w:cstheme="majorBidi"/>
          <w:b/>
          <w:color w:val="4B0885" w:themeColor="text2"/>
          <w:sz w:val="56"/>
          <w:szCs w:val="32"/>
        </w:rPr>
        <w:br w:type="page"/>
      </w:r>
    </w:p>
    <w:p w14:paraId="3107513F" w14:textId="55703613" w:rsidR="00AC0957" w:rsidRDefault="00100010">
      <w:pPr>
        <w:spacing w:after="160" w:line="259" w:lineRule="auto"/>
        <w:rPr>
          <w:rFonts w:eastAsiaTheme="majorEastAsia" w:cstheme="majorBidi"/>
          <w:b/>
          <w:color w:val="4B0885" w:themeColor="text2"/>
          <w:sz w:val="56"/>
          <w:szCs w:val="32"/>
        </w:rPr>
      </w:pPr>
      <w:r>
        <w:rPr>
          <w:rFonts w:eastAsiaTheme="majorEastAsia" w:cstheme="majorBidi"/>
          <w:b/>
          <w:color w:val="4B0885" w:themeColor="text2"/>
          <w:sz w:val="56"/>
          <w:szCs w:val="32"/>
        </w:rPr>
        <w:t>Table of figures</w:t>
      </w:r>
    </w:p>
    <w:p w14:paraId="24397E0C" w14:textId="519BF4BB" w:rsidR="00B528D0" w:rsidRDefault="00100010">
      <w:pPr>
        <w:pStyle w:val="TableofFigures"/>
        <w:tabs>
          <w:tab w:val="right" w:leader="dot" w:pos="9016"/>
        </w:tabs>
        <w:rPr>
          <w:rFonts w:asciiTheme="minorHAnsi" w:eastAsiaTheme="minorEastAsia" w:hAnsiTheme="minorHAnsi"/>
          <w:noProof/>
          <w:kern w:val="2"/>
          <w:sz w:val="24"/>
          <w:szCs w:val="24"/>
          <w:lang w:eastAsia="en-AU"/>
          <w14:ligatures w14:val="standardContextual"/>
        </w:rPr>
      </w:pPr>
      <w:r>
        <w:rPr>
          <w:rFonts w:eastAsiaTheme="majorEastAsia" w:cstheme="majorBidi"/>
          <w:b/>
          <w:color w:val="4B0885" w:themeColor="text2"/>
          <w:sz w:val="56"/>
          <w:szCs w:val="32"/>
        </w:rPr>
        <w:fldChar w:fldCharType="begin"/>
      </w:r>
      <w:r>
        <w:rPr>
          <w:rFonts w:eastAsiaTheme="majorEastAsia" w:cstheme="majorBidi"/>
          <w:b/>
          <w:color w:val="4B0885" w:themeColor="text2"/>
          <w:sz w:val="56"/>
          <w:szCs w:val="32"/>
        </w:rPr>
        <w:instrText xml:space="preserve"> TOC \h \z \c "Figure" </w:instrText>
      </w:r>
      <w:r>
        <w:rPr>
          <w:rFonts w:eastAsiaTheme="majorEastAsia" w:cstheme="majorBidi"/>
          <w:b/>
          <w:color w:val="4B0885" w:themeColor="text2"/>
          <w:sz w:val="56"/>
          <w:szCs w:val="32"/>
        </w:rPr>
        <w:fldChar w:fldCharType="separate"/>
      </w:r>
      <w:hyperlink w:anchor="_Toc181370303" w:history="1">
        <w:r w:rsidR="00B528D0" w:rsidRPr="00C64A73">
          <w:rPr>
            <w:rStyle w:val="Hyperlink"/>
            <w:noProof/>
          </w:rPr>
          <w:t>Figure 1: Unemployment rate and hours-based underutilisation rate</w:t>
        </w:r>
        <w:r w:rsidR="00B528D0">
          <w:rPr>
            <w:noProof/>
            <w:webHidden/>
          </w:rPr>
          <w:tab/>
        </w:r>
        <w:r w:rsidR="00B528D0">
          <w:rPr>
            <w:noProof/>
            <w:webHidden/>
          </w:rPr>
          <w:fldChar w:fldCharType="begin"/>
        </w:r>
        <w:r w:rsidR="00B528D0">
          <w:rPr>
            <w:noProof/>
            <w:webHidden/>
          </w:rPr>
          <w:instrText xml:space="preserve"> PAGEREF _Toc181370303 \h </w:instrText>
        </w:r>
        <w:r w:rsidR="00B528D0">
          <w:rPr>
            <w:noProof/>
            <w:webHidden/>
          </w:rPr>
        </w:r>
        <w:r w:rsidR="00B528D0">
          <w:rPr>
            <w:noProof/>
            <w:webHidden/>
          </w:rPr>
          <w:fldChar w:fldCharType="separate"/>
        </w:r>
        <w:r w:rsidR="00C47A81">
          <w:rPr>
            <w:noProof/>
            <w:webHidden/>
          </w:rPr>
          <w:t>16</w:t>
        </w:r>
        <w:r w:rsidR="00B528D0">
          <w:rPr>
            <w:noProof/>
            <w:webHidden/>
          </w:rPr>
          <w:fldChar w:fldCharType="end"/>
        </w:r>
      </w:hyperlink>
    </w:p>
    <w:p w14:paraId="4CA54E74" w14:textId="4F0FB971"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04" w:history="1">
        <w:r w:rsidR="00B528D0" w:rsidRPr="00C64A73">
          <w:rPr>
            <w:rStyle w:val="Hyperlink"/>
            <w:noProof/>
          </w:rPr>
          <w:t>Figure 2: Voluntary and involuntary separation</w:t>
        </w:r>
        <w:r w:rsidR="00B528D0">
          <w:rPr>
            <w:noProof/>
            <w:webHidden/>
          </w:rPr>
          <w:tab/>
        </w:r>
        <w:r w:rsidR="00B528D0">
          <w:rPr>
            <w:noProof/>
            <w:webHidden/>
          </w:rPr>
          <w:fldChar w:fldCharType="begin"/>
        </w:r>
        <w:r w:rsidR="00B528D0">
          <w:rPr>
            <w:noProof/>
            <w:webHidden/>
          </w:rPr>
          <w:instrText xml:space="preserve"> PAGEREF _Toc181370304 \h </w:instrText>
        </w:r>
        <w:r w:rsidR="00B528D0">
          <w:rPr>
            <w:noProof/>
            <w:webHidden/>
          </w:rPr>
        </w:r>
        <w:r w:rsidR="00B528D0">
          <w:rPr>
            <w:noProof/>
            <w:webHidden/>
          </w:rPr>
          <w:fldChar w:fldCharType="separate"/>
        </w:r>
        <w:r w:rsidR="00C47A81">
          <w:rPr>
            <w:noProof/>
            <w:webHidden/>
          </w:rPr>
          <w:t>16</w:t>
        </w:r>
        <w:r w:rsidR="00B528D0">
          <w:rPr>
            <w:noProof/>
            <w:webHidden/>
          </w:rPr>
          <w:fldChar w:fldCharType="end"/>
        </w:r>
      </w:hyperlink>
    </w:p>
    <w:p w14:paraId="7CBF858A" w14:textId="1916490D"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05" w:history="1">
        <w:r w:rsidR="00B528D0" w:rsidRPr="00C64A73">
          <w:rPr>
            <w:rStyle w:val="Hyperlink"/>
            <w:noProof/>
          </w:rPr>
          <w:t>Figure 3: Long term unemployment rate</w:t>
        </w:r>
        <w:r w:rsidR="00B528D0">
          <w:rPr>
            <w:noProof/>
            <w:webHidden/>
          </w:rPr>
          <w:tab/>
        </w:r>
        <w:r w:rsidR="00B528D0">
          <w:rPr>
            <w:noProof/>
            <w:webHidden/>
          </w:rPr>
          <w:fldChar w:fldCharType="begin"/>
        </w:r>
        <w:r w:rsidR="00B528D0">
          <w:rPr>
            <w:noProof/>
            <w:webHidden/>
          </w:rPr>
          <w:instrText xml:space="preserve"> PAGEREF _Toc181370305 \h </w:instrText>
        </w:r>
        <w:r w:rsidR="00B528D0">
          <w:rPr>
            <w:noProof/>
            <w:webHidden/>
          </w:rPr>
        </w:r>
        <w:r w:rsidR="00B528D0">
          <w:rPr>
            <w:noProof/>
            <w:webHidden/>
          </w:rPr>
          <w:fldChar w:fldCharType="separate"/>
        </w:r>
        <w:r w:rsidR="00C47A81">
          <w:rPr>
            <w:noProof/>
            <w:webHidden/>
          </w:rPr>
          <w:t>17</w:t>
        </w:r>
        <w:r w:rsidR="00B528D0">
          <w:rPr>
            <w:noProof/>
            <w:webHidden/>
          </w:rPr>
          <w:fldChar w:fldCharType="end"/>
        </w:r>
      </w:hyperlink>
    </w:p>
    <w:p w14:paraId="5A72F152" w14:textId="3B7A3DAA"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06" w:history="1">
        <w:r w:rsidR="00B528D0" w:rsidRPr="00C64A73">
          <w:rPr>
            <w:rStyle w:val="Hyperlink"/>
            <w:noProof/>
          </w:rPr>
          <w:t>Figure 4: Median duration of unemployment</w:t>
        </w:r>
        <w:r w:rsidR="00B528D0">
          <w:rPr>
            <w:noProof/>
            <w:webHidden/>
          </w:rPr>
          <w:tab/>
        </w:r>
        <w:r w:rsidR="00B528D0">
          <w:rPr>
            <w:noProof/>
            <w:webHidden/>
          </w:rPr>
          <w:fldChar w:fldCharType="begin"/>
        </w:r>
        <w:r w:rsidR="00B528D0">
          <w:rPr>
            <w:noProof/>
            <w:webHidden/>
          </w:rPr>
          <w:instrText xml:space="preserve"> PAGEREF _Toc181370306 \h </w:instrText>
        </w:r>
        <w:r w:rsidR="00B528D0">
          <w:rPr>
            <w:noProof/>
            <w:webHidden/>
          </w:rPr>
        </w:r>
        <w:r w:rsidR="00B528D0">
          <w:rPr>
            <w:noProof/>
            <w:webHidden/>
          </w:rPr>
          <w:fldChar w:fldCharType="separate"/>
        </w:r>
        <w:r w:rsidR="00C47A81">
          <w:rPr>
            <w:noProof/>
            <w:webHidden/>
          </w:rPr>
          <w:t>17</w:t>
        </w:r>
        <w:r w:rsidR="00B528D0">
          <w:rPr>
            <w:noProof/>
            <w:webHidden/>
          </w:rPr>
          <w:fldChar w:fldCharType="end"/>
        </w:r>
      </w:hyperlink>
    </w:p>
    <w:p w14:paraId="06A0D01A" w14:textId="1A28F081"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07" w:history="1">
        <w:r w:rsidR="00B528D0" w:rsidRPr="00C64A73">
          <w:rPr>
            <w:rStyle w:val="Hyperlink"/>
            <w:noProof/>
          </w:rPr>
          <w:t>Figure 5: Participation rates</w:t>
        </w:r>
        <w:r w:rsidR="00B528D0">
          <w:rPr>
            <w:noProof/>
            <w:webHidden/>
          </w:rPr>
          <w:tab/>
        </w:r>
        <w:r w:rsidR="00B528D0">
          <w:rPr>
            <w:noProof/>
            <w:webHidden/>
          </w:rPr>
          <w:fldChar w:fldCharType="begin"/>
        </w:r>
        <w:r w:rsidR="00B528D0">
          <w:rPr>
            <w:noProof/>
            <w:webHidden/>
          </w:rPr>
          <w:instrText xml:space="preserve"> PAGEREF _Toc181370307 \h </w:instrText>
        </w:r>
        <w:r w:rsidR="00B528D0">
          <w:rPr>
            <w:noProof/>
            <w:webHidden/>
          </w:rPr>
        </w:r>
        <w:r w:rsidR="00B528D0">
          <w:rPr>
            <w:noProof/>
            <w:webHidden/>
          </w:rPr>
          <w:fldChar w:fldCharType="separate"/>
        </w:r>
        <w:r w:rsidR="00C47A81">
          <w:rPr>
            <w:noProof/>
            <w:webHidden/>
          </w:rPr>
          <w:t>18</w:t>
        </w:r>
        <w:r w:rsidR="00B528D0">
          <w:rPr>
            <w:noProof/>
            <w:webHidden/>
          </w:rPr>
          <w:fldChar w:fldCharType="end"/>
        </w:r>
      </w:hyperlink>
    </w:p>
    <w:p w14:paraId="625C2BD7" w14:textId="09D3F832"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08" w:history="1">
        <w:r w:rsidR="00B528D0" w:rsidRPr="00C64A73">
          <w:rPr>
            <w:rStyle w:val="Hyperlink"/>
            <w:noProof/>
          </w:rPr>
          <w:t>Figure 6: The gender participation gap</w:t>
        </w:r>
        <w:r w:rsidR="00B528D0">
          <w:rPr>
            <w:noProof/>
            <w:webHidden/>
          </w:rPr>
          <w:tab/>
        </w:r>
        <w:r w:rsidR="00B528D0">
          <w:rPr>
            <w:noProof/>
            <w:webHidden/>
          </w:rPr>
          <w:fldChar w:fldCharType="begin"/>
        </w:r>
        <w:r w:rsidR="00B528D0">
          <w:rPr>
            <w:noProof/>
            <w:webHidden/>
          </w:rPr>
          <w:instrText xml:space="preserve"> PAGEREF _Toc181370308 \h </w:instrText>
        </w:r>
        <w:r w:rsidR="00B528D0">
          <w:rPr>
            <w:noProof/>
            <w:webHidden/>
          </w:rPr>
        </w:r>
        <w:r w:rsidR="00B528D0">
          <w:rPr>
            <w:noProof/>
            <w:webHidden/>
          </w:rPr>
          <w:fldChar w:fldCharType="separate"/>
        </w:r>
        <w:r w:rsidR="00C47A81">
          <w:rPr>
            <w:noProof/>
            <w:webHidden/>
          </w:rPr>
          <w:t>18</w:t>
        </w:r>
        <w:r w:rsidR="00B528D0">
          <w:rPr>
            <w:noProof/>
            <w:webHidden/>
          </w:rPr>
          <w:fldChar w:fldCharType="end"/>
        </w:r>
      </w:hyperlink>
    </w:p>
    <w:p w14:paraId="050AD25E" w14:textId="2EAE6598"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09" w:history="1">
        <w:r w:rsidR="00B528D0" w:rsidRPr="00C64A73">
          <w:rPr>
            <w:rStyle w:val="Hyperlink"/>
            <w:noProof/>
          </w:rPr>
          <w:t>Figure 7: Unemployment rate by age group</w:t>
        </w:r>
        <w:r w:rsidR="00B528D0">
          <w:rPr>
            <w:noProof/>
            <w:webHidden/>
          </w:rPr>
          <w:tab/>
        </w:r>
        <w:r w:rsidR="00B528D0">
          <w:rPr>
            <w:noProof/>
            <w:webHidden/>
          </w:rPr>
          <w:fldChar w:fldCharType="begin"/>
        </w:r>
        <w:r w:rsidR="00B528D0">
          <w:rPr>
            <w:noProof/>
            <w:webHidden/>
          </w:rPr>
          <w:instrText xml:space="preserve"> PAGEREF _Toc181370309 \h </w:instrText>
        </w:r>
        <w:r w:rsidR="00B528D0">
          <w:rPr>
            <w:noProof/>
            <w:webHidden/>
          </w:rPr>
        </w:r>
        <w:r w:rsidR="00B528D0">
          <w:rPr>
            <w:noProof/>
            <w:webHidden/>
          </w:rPr>
          <w:fldChar w:fldCharType="separate"/>
        </w:r>
        <w:r w:rsidR="00C47A81">
          <w:rPr>
            <w:noProof/>
            <w:webHidden/>
          </w:rPr>
          <w:t>19</w:t>
        </w:r>
        <w:r w:rsidR="00B528D0">
          <w:rPr>
            <w:noProof/>
            <w:webHidden/>
          </w:rPr>
          <w:fldChar w:fldCharType="end"/>
        </w:r>
      </w:hyperlink>
    </w:p>
    <w:p w14:paraId="0B350BE9" w14:textId="0417131B"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10" w:history="1">
        <w:r w:rsidR="00B528D0" w:rsidRPr="00C64A73">
          <w:rPr>
            <w:rStyle w:val="Hyperlink"/>
            <w:noProof/>
          </w:rPr>
          <w:t>Figure 8: Youth (20 to 24 years) not in employment, education, or training</w:t>
        </w:r>
        <w:r w:rsidR="00B528D0">
          <w:rPr>
            <w:noProof/>
            <w:webHidden/>
          </w:rPr>
          <w:tab/>
        </w:r>
        <w:r w:rsidR="00B528D0">
          <w:rPr>
            <w:noProof/>
            <w:webHidden/>
          </w:rPr>
          <w:fldChar w:fldCharType="begin"/>
        </w:r>
        <w:r w:rsidR="00B528D0">
          <w:rPr>
            <w:noProof/>
            <w:webHidden/>
          </w:rPr>
          <w:instrText xml:space="preserve"> PAGEREF _Toc181370310 \h </w:instrText>
        </w:r>
        <w:r w:rsidR="00B528D0">
          <w:rPr>
            <w:noProof/>
            <w:webHidden/>
          </w:rPr>
        </w:r>
        <w:r w:rsidR="00B528D0">
          <w:rPr>
            <w:noProof/>
            <w:webHidden/>
          </w:rPr>
          <w:fldChar w:fldCharType="separate"/>
        </w:r>
        <w:r w:rsidR="00C47A81">
          <w:rPr>
            <w:noProof/>
            <w:webHidden/>
          </w:rPr>
          <w:t>19</w:t>
        </w:r>
        <w:r w:rsidR="00B528D0">
          <w:rPr>
            <w:noProof/>
            <w:webHidden/>
          </w:rPr>
          <w:fldChar w:fldCharType="end"/>
        </w:r>
      </w:hyperlink>
    </w:p>
    <w:p w14:paraId="0D16A01F" w14:textId="5A8EFA77"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11" w:history="1">
        <w:r w:rsidR="00B528D0" w:rsidRPr="00C64A73">
          <w:rPr>
            <w:rStyle w:val="Hyperlink"/>
            <w:noProof/>
          </w:rPr>
          <w:t>Figure 9: Employment rate for people living in households with reported disability and no reported disability</w:t>
        </w:r>
        <w:r w:rsidR="00B528D0">
          <w:rPr>
            <w:noProof/>
            <w:webHidden/>
          </w:rPr>
          <w:tab/>
        </w:r>
        <w:r w:rsidR="00B528D0">
          <w:rPr>
            <w:noProof/>
            <w:webHidden/>
          </w:rPr>
          <w:fldChar w:fldCharType="begin"/>
        </w:r>
        <w:r w:rsidR="00B528D0">
          <w:rPr>
            <w:noProof/>
            <w:webHidden/>
          </w:rPr>
          <w:instrText xml:space="preserve"> PAGEREF _Toc181370311 \h </w:instrText>
        </w:r>
        <w:r w:rsidR="00B528D0">
          <w:rPr>
            <w:noProof/>
            <w:webHidden/>
          </w:rPr>
        </w:r>
        <w:r w:rsidR="00B528D0">
          <w:rPr>
            <w:noProof/>
            <w:webHidden/>
          </w:rPr>
          <w:fldChar w:fldCharType="separate"/>
        </w:r>
        <w:r w:rsidR="00C47A81">
          <w:rPr>
            <w:noProof/>
            <w:webHidden/>
          </w:rPr>
          <w:t>20</w:t>
        </w:r>
        <w:r w:rsidR="00B528D0">
          <w:rPr>
            <w:noProof/>
            <w:webHidden/>
          </w:rPr>
          <w:fldChar w:fldCharType="end"/>
        </w:r>
      </w:hyperlink>
    </w:p>
    <w:p w14:paraId="38097AC3" w14:textId="31AD2518"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12" w:history="1">
        <w:r w:rsidR="00B528D0" w:rsidRPr="00C64A73">
          <w:rPr>
            <w:rStyle w:val="Hyperlink"/>
            <w:noProof/>
          </w:rPr>
          <w:t>Figure 10: Employment rates of Aboriginal and Torres Strait Islander people and non-Indigenous people</w:t>
        </w:r>
        <w:r w:rsidR="00B528D0">
          <w:rPr>
            <w:noProof/>
            <w:webHidden/>
          </w:rPr>
          <w:tab/>
        </w:r>
        <w:r w:rsidR="00B528D0">
          <w:rPr>
            <w:noProof/>
            <w:webHidden/>
          </w:rPr>
          <w:fldChar w:fldCharType="begin"/>
        </w:r>
        <w:r w:rsidR="00B528D0">
          <w:rPr>
            <w:noProof/>
            <w:webHidden/>
          </w:rPr>
          <w:instrText xml:space="preserve"> PAGEREF _Toc181370312 \h </w:instrText>
        </w:r>
        <w:r w:rsidR="00B528D0">
          <w:rPr>
            <w:noProof/>
            <w:webHidden/>
          </w:rPr>
        </w:r>
        <w:r w:rsidR="00B528D0">
          <w:rPr>
            <w:noProof/>
            <w:webHidden/>
          </w:rPr>
          <w:fldChar w:fldCharType="separate"/>
        </w:r>
        <w:r w:rsidR="00C47A81">
          <w:rPr>
            <w:noProof/>
            <w:webHidden/>
          </w:rPr>
          <w:t>20</w:t>
        </w:r>
        <w:r w:rsidR="00B528D0">
          <w:rPr>
            <w:noProof/>
            <w:webHidden/>
          </w:rPr>
          <w:fldChar w:fldCharType="end"/>
        </w:r>
      </w:hyperlink>
    </w:p>
    <w:p w14:paraId="5EB758D7" w14:textId="4CC16ADE"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13" w:history="1">
        <w:r w:rsidR="00B528D0" w:rsidRPr="00C64A73">
          <w:rPr>
            <w:rStyle w:val="Hyperlink"/>
            <w:noProof/>
          </w:rPr>
          <w:t>Figure 11: Regional differences in the unemployment rate</w:t>
        </w:r>
        <w:r w:rsidR="00B528D0">
          <w:rPr>
            <w:noProof/>
            <w:webHidden/>
          </w:rPr>
          <w:tab/>
        </w:r>
        <w:r w:rsidR="00B528D0">
          <w:rPr>
            <w:noProof/>
            <w:webHidden/>
          </w:rPr>
          <w:fldChar w:fldCharType="begin"/>
        </w:r>
        <w:r w:rsidR="00B528D0">
          <w:rPr>
            <w:noProof/>
            <w:webHidden/>
          </w:rPr>
          <w:instrText xml:space="preserve"> PAGEREF _Toc181370313 \h </w:instrText>
        </w:r>
        <w:r w:rsidR="00B528D0">
          <w:rPr>
            <w:noProof/>
            <w:webHidden/>
          </w:rPr>
        </w:r>
        <w:r w:rsidR="00B528D0">
          <w:rPr>
            <w:noProof/>
            <w:webHidden/>
          </w:rPr>
          <w:fldChar w:fldCharType="separate"/>
        </w:r>
        <w:r w:rsidR="00C47A81">
          <w:rPr>
            <w:noProof/>
            <w:webHidden/>
          </w:rPr>
          <w:t>21</w:t>
        </w:r>
        <w:r w:rsidR="00B528D0">
          <w:rPr>
            <w:noProof/>
            <w:webHidden/>
          </w:rPr>
          <w:fldChar w:fldCharType="end"/>
        </w:r>
      </w:hyperlink>
    </w:p>
    <w:p w14:paraId="3AD80D51" w14:textId="7AABD379"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14" w:history="1">
        <w:r w:rsidR="00B528D0" w:rsidRPr="00C64A73">
          <w:rPr>
            <w:rStyle w:val="Hyperlink"/>
            <w:noProof/>
          </w:rPr>
          <w:t>Figure 12: Share of First Nations employment by skill level</w:t>
        </w:r>
        <w:r w:rsidR="00B528D0">
          <w:rPr>
            <w:noProof/>
            <w:webHidden/>
          </w:rPr>
          <w:tab/>
        </w:r>
        <w:r w:rsidR="00B528D0">
          <w:rPr>
            <w:noProof/>
            <w:webHidden/>
          </w:rPr>
          <w:fldChar w:fldCharType="begin"/>
        </w:r>
        <w:r w:rsidR="00B528D0">
          <w:rPr>
            <w:noProof/>
            <w:webHidden/>
          </w:rPr>
          <w:instrText xml:space="preserve"> PAGEREF _Toc181370314 \h </w:instrText>
        </w:r>
        <w:r w:rsidR="00B528D0">
          <w:rPr>
            <w:noProof/>
            <w:webHidden/>
          </w:rPr>
        </w:r>
        <w:r w:rsidR="00B528D0">
          <w:rPr>
            <w:noProof/>
            <w:webHidden/>
          </w:rPr>
          <w:fldChar w:fldCharType="separate"/>
        </w:r>
        <w:r w:rsidR="00C47A81">
          <w:rPr>
            <w:noProof/>
            <w:webHidden/>
          </w:rPr>
          <w:t>23</w:t>
        </w:r>
        <w:r w:rsidR="00B528D0">
          <w:rPr>
            <w:noProof/>
            <w:webHidden/>
          </w:rPr>
          <w:fldChar w:fldCharType="end"/>
        </w:r>
      </w:hyperlink>
    </w:p>
    <w:p w14:paraId="0D83B4C5" w14:textId="2B800E44"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15" w:history="1">
        <w:r w:rsidR="00B528D0" w:rsidRPr="00C64A73">
          <w:rPr>
            <w:rStyle w:val="Hyperlink"/>
            <w:noProof/>
          </w:rPr>
          <w:t>Figure 13: First Nations average income gap for selected critical occupations in the clean energy workforce</w:t>
        </w:r>
        <w:r w:rsidR="00B528D0">
          <w:rPr>
            <w:noProof/>
            <w:webHidden/>
          </w:rPr>
          <w:tab/>
        </w:r>
        <w:r w:rsidR="00B528D0">
          <w:rPr>
            <w:noProof/>
            <w:webHidden/>
          </w:rPr>
          <w:fldChar w:fldCharType="begin"/>
        </w:r>
        <w:r w:rsidR="00B528D0">
          <w:rPr>
            <w:noProof/>
            <w:webHidden/>
          </w:rPr>
          <w:instrText xml:space="preserve"> PAGEREF _Toc181370315 \h </w:instrText>
        </w:r>
        <w:r w:rsidR="00B528D0">
          <w:rPr>
            <w:noProof/>
            <w:webHidden/>
          </w:rPr>
        </w:r>
        <w:r w:rsidR="00B528D0">
          <w:rPr>
            <w:noProof/>
            <w:webHidden/>
          </w:rPr>
          <w:fldChar w:fldCharType="separate"/>
        </w:r>
        <w:r w:rsidR="00C47A81">
          <w:rPr>
            <w:noProof/>
            <w:webHidden/>
          </w:rPr>
          <w:t>24</w:t>
        </w:r>
        <w:r w:rsidR="00B528D0">
          <w:rPr>
            <w:noProof/>
            <w:webHidden/>
          </w:rPr>
          <w:fldChar w:fldCharType="end"/>
        </w:r>
      </w:hyperlink>
    </w:p>
    <w:p w14:paraId="10BAA2F7" w14:textId="7FC97E17"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16" w:history="1">
        <w:r w:rsidR="00B528D0" w:rsidRPr="00C64A73">
          <w:rPr>
            <w:rStyle w:val="Hyperlink"/>
            <w:noProof/>
          </w:rPr>
          <w:t>Figure 14: Female part-time employment</w:t>
        </w:r>
        <w:r w:rsidR="00B528D0">
          <w:rPr>
            <w:noProof/>
            <w:webHidden/>
          </w:rPr>
          <w:tab/>
        </w:r>
        <w:r w:rsidR="00B528D0">
          <w:rPr>
            <w:noProof/>
            <w:webHidden/>
          </w:rPr>
          <w:fldChar w:fldCharType="begin"/>
        </w:r>
        <w:r w:rsidR="00B528D0">
          <w:rPr>
            <w:noProof/>
            <w:webHidden/>
          </w:rPr>
          <w:instrText xml:space="preserve"> PAGEREF _Toc181370316 \h </w:instrText>
        </w:r>
        <w:r w:rsidR="00B528D0">
          <w:rPr>
            <w:noProof/>
            <w:webHidden/>
          </w:rPr>
        </w:r>
        <w:r w:rsidR="00B528D0">
          <w:rPr>
            <w:noProof/>
            <w:webHidden/>
          </w:rPr>
          <w:fldChar w:fldCharType="separate"/>
        </w:r>
        <w:r w:rsidR="00C47A81">
          <w:rPr>
            <w:noProof/>
            <w:webHidden/>
          </w:rPr>
          <w:t>26</w:t>
        </w:r>
        <w:r w:rsidR="00B528D0">
          <w:rPr>
            <w:noProof/>
            <w:webHidden/>
          </w:rPr>
          <w:fldChar w:fldCharType="end"/>
        </w:r>
      </w:hyperlink>
    </w:p>
    <w:p w14:paraId="630A9673" w14:textId="797580CD"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17" w:history="1">
        <w:r w:rsidR="00B528D0" w:rsidRPr="00C64A73">
          <w:rPr>
            <w:rStyle w:val="Hyperlink"/>
            <w:noProof/>
          </w:rPr>
          <w:t>Figure 15: Percentage of gender-imbalanced occupations that were in shortage (%), 2021-2024 OSL</w:t>
        </w:r>
        <w:r w:rsidR="00B528D0">
          <w:rPr>
            <w:noProof/>
            <w:webHidden/>
          </w:rPr>
          <w:tab/>
        </w:r>
        <w:r w:rsidR="00B528D0">
          <w:rPr>
            <w:noProof/>
            <w:webHidden/>
          </w:rPr>
          <w:fldChar w:fldCharType="begin"/>
        </w:r>
        <w:r w:rsidR="00B528D0">
          <w:rPr>
            <w:noProof/>
            <w:webHidden/>
          </w:rPr>
          <w:instrText xml:space="preserve"> PAGEREF _Toc181370317 \h </w:instrText>
        </w:r>
        <w:r w:rsidR="00B528D0">
          <w:rPr>
            <w:noProof/>
            <w:webHidden/>
          </w:rPr>
        </w:r>
        <w:r w:rsidR="00B528D0">
          <w:rPr>
            <w:noProof/>
            <w:webHidden/>
          </w:rPr>
          <w:fldChar w:fldCharType="separate"/>
        </w:r>
        <w:r w:rsidR="00C47A81">
          <w:rPr>
            <w:noProof/>
            <w:webHidden/>
          </w:rPr>
          <w:t>27</w:t>
        </w:r>
        <w:r w:rsidR="00B528D0">
          <w:rPr>
            <w:noProof/>
            <w:webHidden/>
          </w:rPr>
          <w:fldChar w:fldCharType="end"/>
        </w:r>
      </w:hyperlink>
    </w:p>
    <w:p w14:paraId="283AA6E0" w14:textId="11E6AFF2"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18" w:history="1">
        <w:r w:rsidR="00B528D0" w:rsidRPr="00C64A73">
          <w:rPr>
            <w:rStyle w:val="Hyperlink"/>
            <w:noProof/>
          </w:rPr>
          <w:t>Figure 16: Female electrotechnology apprenticeship commencements</w:t>
        </w:r>
        <w:r w:rsidR="00B528D0">
          <w:rPr>
            <w:noProof/>
            <w:webHidden/>
          </w:rPr>
          <w:tab/>
        </w:r>
        <w:r w:rsidR="00B528D0">
          <w:rPr>
            <w:noProof/>
            <w:webHidden/>
          </w:rPr>
          <w:fldChar w:fldCharType="begin"/>
        </w:r>
        <w:r w:rsidR="00B528D0">
          <w:rPr>
            <w:noProof/>
            <w:webHidden/>
          </w:rPr>
          <w:instrText xml:space="preserve"> PAGEREF _Toc181370318 \h </w:instrText>
        </w:r>
        <w:r w:rsidR="00B528D0">
          <w:rPr>
            <w:noProof/>
            <w:webHidden/>
          </w:rPr>
        </w:r>
        <w:r w:rsidR="00B528D0">
          <w:rPr>
            <w:noProof/>
            <w:webHidden/>
          </w:rPr>
          <w:fldChar w:fldCharType="separate"/>
        </w:r>
        <w:r w:rsidR="00C47A81">
          <w:rPr>
            <w:noProof/>
            <w:webHidden/>
          </w:rPr>
          <w:t>28</w:t>
        </w:r>
        <w:r w:rsidR="00B528D0">
          <w:rPr>
            <w:noProof/>
            <w:webHidden/>
          </w:rPr>
          <w:fldChar w:fldCharType="end"/>
        </w:r>
      </w:hyperlink>
    </w:p>
    <w:p w14:paraId="6D20A4D5" w14:textId="302C8121"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19" w:history="1">
        <w:r w:rsidR="00B528D0" w:rsidRPr="00C64A73">
          <w:rPr>
            <w:rStyle w:val="Hyperlink"/>
            <w:noProof/>
          </w:rPr>
          <w:t>Figure 17: Relative change in the proportion of international student enrolments since 2012, by level of qualification</w:t>
        </w:r>
        <w:r w:rsidR="00B528D0">
          <w:rPr>
            <w:noProof/>
            <w:webHidden/>
          </w:rPr>
          <w:tab/>
        </w:r>
        <w:r w:rsidR="00B528D0">
          <w:rPr>
            <w:noProof/>
            <w:webHidden/>
          </w:rPr>
          <w:fldChar w:fldCharType="begin"/>
        </w:r>
        <w:r w:rsidR="00B528D0">
          <w:rPr>
            <w:noProof/>
            <w:webHidden/>
          </w:rPr>
          <w:instrText xml:space="preserve"> PAGEREF _Toc181370319 \h </w:instrText>
        </w:r>
        <w:r w:rsidR="00B528D0">
          <w:rPr>
            <w:noProof/>
            <w:webHidden/>
          </w:rPr>
        </w:r>
        <w:r w:rsidR="00B528D0">
          <w:rPr>
            <w:noProof/>
            <w:webHidden/>
          </w:rPr>
          <w:fldChar w:fldCharType="separate"/>
        </w:r>
        <w:r w:rsidR="00C47A81">
          <w:rPr>
            <w:noProof/>
            <w:webHidden/>
          </w:rPr>
          <w:t>31</w:t>
        </w:r>
        <w:r w:rsidR="00B528D0">
          <w:rPr>
            <w:noProof/>
            <w:webHidden/>
          </w:rPr>
          <w:fldChar w:fldCharType="end"/>
        </w:r>
      </w:hyperlink>
    </w:p>
    <w:p w14:paraId="186067D5" w14:textId="7FDA16DE"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20" w:history="1">
        <w:r w:rsidR="00B528D0" w:rsidRPr="00C64A73">
          <w:rPr>
            <w:rStyle w:val="Hyperlink"/>
            <w:noProof/>
          </w:rPr>
          <w:t>Figure 18: Median annual income of fulltime employed domestic graduates and Temporary Graduate visa holders, aged between 20-34 years, by VET and HE in 2021</w:t>
        </w:r>
        <w:r w:rsidR="00B528D0">
          <w:rPr>
            <w:noProof/>
            <w:webHidden/>
          </w:rPr>
          <w:tab/>
        </w:r>
        <w:r w:rsidR="00B528D0">
          <w:rPr>
            <w:noProof/>
            <w:webHidden/>
          </w:rPr>
          <w:fldChar w:fldCharType="begin"/>
        </w:r>
        <w:r w:rsidR="00B528D0">
          <w:rPr>
            <w:noProof/>
            <w:webHidden/>
          </w:rPr>
          <w:instrText xml:space="preserve"> PAGEREF _Toc181370320 \h </w:instrText>
        </w:r>
        <w:r w:rsidR="00B528D0">
          <w:rPr>
            <w:noProof/>
            <w:webHidden/>
          </w:rPr>
        </w:r>
        <w:r w:rsidR="00B528D0">
          <w:rPr>
            <w:noProof/>
            <w:webHidden/>
          </w:rPr>
          <w:fldChar w:fldCharType="separate"/>
        </w:r>
        <w:r w:rsidR="00C47A81">
          <w:rPr>
            <w:noProof/>
            <w:webHidden/>
          </w:rPr>
          <w:t>33</w:t>
        </w:r>
        <w:r w:rsidR="00B528D0">
          <w:rPr>
            <w:noProof/>
            <w:webHidden/>
          </w:rPr>
          <w:fldChar w:fldCharType="end"/>
        </w:r>
      </w:hyperlink>
    </w:p>
    <w:p w14:paraId="457C11F2" w14:textId="27FD91FA"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21" w:history="1">
        <w:r w:rsidR="00B528D0" w:rsidRPr="00C64A73">
          <w:rPr>
            <w:rStyle w:val="Hyperlink"/>
            <w:noProof/>
          </w:rPr>
          <w:t>Figure 19: Inflation</w:t>
        </w:r>
        <w:r w:rsidR="00B528D0">
          <w:rPr>
            <w:noProof/>
            <w:webHidden/>
          </w:rPr>
          <w:tab/>
        </w:r>
        <w:r w:rsidR="00B528D0">
          <w:rPr>
            <w:noProof/>
            <w:webHidden/>
          </w:rPr>
          <w:fldChar w:fldCharType="begin"/>
        </w:r>
        <w:r w:rsidR="00B528D0">
          <w:rPr>
            <w:noProof/>
            <w:webHidden/>
          </w:rPr>
          <w:instrText xml:space="preserve"> PAGEREF _Toc181370321 \h </w:instrText>
        </w:r>
        <w:r w:rsidR="00B528D0">
          <w:rPr>
            <w:noProof/>
            <w:webHidden/>
          </w:rPr>
        </w:r>
        <w:r w:rsidR="00B528D0">
          <w:rPr>
            <w:noProof/>
            <w:webHidden/>
          </w:rPr>
          <w:fldChar w:fldCharType="separate"/>
        </w:r>
        <w:r w:rsidR="00C47A81">
          <w:rPr>
            <w:noProof/>
            <w:webHidden/>
          </w:rPr>
          <w:t>39</w:t>
        </w:r>
        <w:r w:rsidR="00B528D0">
          <w:rPr>
            <w:noProof/>
            <w:webHidden/>
          </w:rPr>
          <w:fldChar w:fldCharType="end"/>
        </w:r>
      </w:hyperlink>
    </w:p>
    <w:p w14:paraId="43C95A43" w14:textId="38A2C56B"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22" w:history="1">
        <w:r w:rsidR="00B528D0" w:rsidRPr="00C64A73">
          <w:rPr>
            <w:rStyle w:val="Hyperlink"/>
            <w:noProof/>
          </w:rPr>
          <w:t>Figure 20: Wages</w:t>
        </w:r>
        <w:r w:rsidR="00B528D0">
          <w:rPr>
            <w:noProof/>
            <w:webHidden/>
          </w:rPr>
          <w:tab/>
        </w:r>
        <w:r w:rsidR="00B528D0">
          <w:rPr>
            <w:noProof/>
            <w:webHidden/>
          </w:rPr>
          <w:fldChar w:fldCharType="begin"/>
        </w:r>
        <w:r w:rsidR="00B528D0">
          <w:rPr>
            <w:noProof/>
            <w:webHidden/>
          </w:rPr>
          <w:instrText xml:space="preserve"> PAGEREF _Toc181370322 \h </w:instrText>
        </w:r>
        <w:r w:rsidR="00B528D0">
          <w:rPr>
            <w:noProof/>
            <w:webHidden/>
          </w:rPr>
        </w:r>
        <w:r w:rsidR="00B528D0">
          <w:rPr>
            <w:noProof/>
            <w:webHidden/>
          </w:rPr>
          <w:fldChar w:fldCharType="separate"/>
        </w:r>
        <w:r w:rsidR="00C47A81">
          <w:rPr>
            <w:noProof/>
            <w:webHidden/>
          </w:rPr>
          <w:t>39</w:t>
        </w:r>
        <w:r w:rsidR="00B528D0">
          <w:rPr>
            <w:noProof/>
            <w:webHidden/>
          </w:rPr>
          <w:fldChar w:fldCharType="end"/>
        </w:r>
      </w:hyperlink>
    </w:p>
    <w:p w14:paraId="1E98A504" w14:textId="5C3C211E"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23" w:history="1">
        <w:r w:rsidR="00B528D0" w:rsidRPr="00C64A73">
          <w:rPr>
            <w:rStyle w:val="Hyperlink"/>
            <w:noProof/>
          </w:rPr>
          <w:t>Figure 21: Annual change in employment and aggregate hours worked (%), August 2019 to August 2024</w:t>
        </w:r>
        <w:r w:rsidR="00B528D0">
          <w:rPr>
            <w:noProof/>
            <w:webHidden/>
          </w:rPr>
          <w:tab/>
        </w:r>
        <w:r w:rsidR="00B528D0">
          <w:rPr>
            <w:noProof/>
            <w:webHidden/>
          </w:rPr>
          <w:fldChar w:fldCharType="begin"/>
        </w:r>
        <w:r w:rsidR="00B528D0">
          <w:rPr>
            <w:noProof/>
            <w:webHidden/>
          </w:rPr>
          <w:instrText xml:space="preserve"> PAGEREF _Toc181370323 \h </w:instrText>
        </w:r>
        <w:r w:rsidR="00B528D0">
          <w:rPr>
            <w:noProof/>
            <w:webHidden/>
          </w:rPr>
        </w:r>
        <w:r w:rsidR="00B528D0">
          <w:rPr>
            <w:noProof/>
            <w:webHidden/>
          </w:rPr>
          <w:fldChar w:fldCharType="separate"/>
        </w:r>
        <w:r w:rsidR="00C47A81">
          <w:rPr>
            <w:noProof/>
            <w:webHidden/>
          </w:rPr>
          <w:t>40</w:t>
        </w:r>
        <w:r w:rsidR="00B528D0">
          <w:rPr>
            <w:noProof/>
            <w:webHidden/>
          </w:rPr>
          <w:fldChar w:fldCharType="end"/>
        </w:r>
      </w:hyperlink>
    </w:p>
    <w:p w14:paraId="60FF5AC6" w14:textId="71A60A81"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24" w:history="1">
        <w:r w:rsidR="00B528D0" w:rsidRPr="00C64A73">
          <w:rPr>
            <w:rStyle w:val="Hyperlink"/>
            <w:noProof/>
          </w:rPr>
          <w:t>Figure 22: Industry share of total employment 1994 and 2024, grouped by ‘Service Industries’ and ‘Producing Industries’</w:t>
        </w:r>
        <w:r w:rsidR="00B528D0">
          <w:rPr>
            <w:noProof/>
            <w:webHidden/>
          </w:rPr>
          <w:tab/>
        </w:r>
        <w:r w:rsidR="00B528D0">
          <w:rPr>
            <w:noProof/>
            <w:webHidden/>
          </w:rPr>
          <w:fldChar w:fldCharType="begin"/>
        </w:r>
        <w:r w:rsidR="00B528D0">
          <w:rPr>
            <w:noProof/>
            <w:webHidden/>
          </w:rPr>
          <w:instrText xml:space="preserve"> PAGEREF _Toc181370324 \h </w:instrText>
        </w:r>
        <w:r w:rsidR="00B528D0">
          <w:rPr>
            <w:noProof/>
            <w:webHidden/>
          </w:rPr>
        </w:r>
        <w:r w:rsidR="00B528D0">
          <w:rPr>
            <w:noProof/>
            <w:webHidden/>
          </w:rPr>
          <w:fldChar w:fldCharType="separate"/>
        </w:r>
        <w:r w:rsidR="00C47A81">
          <w:rPr>
            <w:noProof/>
            <w:webHidden/>
          </w:rPr>
          <w:t>42</w:t>
        </w:r>
        <w:r w:rsidR="00B528D0">
          <w:rPr>
            <w:noProof/>
            <w:webHidden/>
          </w:rPr>
          <w:fldChar w:fldCharType="end"/>
        </w:r>
      </w:hyperlink>
    </w:p>
    <w:p w14:paraId="3F4A5358" w14:textId="05100842"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25" w:history="1">
        <w:r w:rsidR="00B528D0" w:rsidRPr="00C64A73">
          <w:rPr>
            <w:rStyle w:val="Hyperlink"/>
            <w:noProof/>
          </w:rPr>
          <w:t>Figure 23: Change in share of employment 1994 and 2024 (skill level)</w:t>
        </w:r>
        <w:r w:rsidR="00B528D0">
          <w:rPr>
            <w:noProof/>
            <w:webHidden/>
          </w:rPr>
          <w:tab/>
        </w:r>
        <w:r w:rsidR="00B528D0">
          <w:rPr>
            <w:noProof/>
            <w:webHidden/>
          </w:rPr>
          <w:fldChar w:fldCharType="begin"/>
        </w:r>
        <w:r w:rsidR="00B528D0">
          <w:rPr>
            <w:noProof/>
            <w:webHidden/>
          </w:rPr>
          <w:instrText xml:space="preserve"> PAGEREF _Toc181370325 \h </w:instrText>
        </w:r>
        <w:r w:rsidR="00B528D0">
          <w:rPr>
            <w:noProof/>
            <w:webHidden/>
          </w:rPr>
        </w:r>
        <w:r w:rsidR="00B528D0">
          <w:rPr>
            <w:noProof/>
            <w:webHidden/>
          </w:rPr>
          <w:fldChar w:fldCharType="separate"/>
        </w:r>
        <w:r w:rsidR="00C47A81">
          <w:rPr>
            <w:noProof/>
            <w:webHidden/>
          </w:rPr>
          <w:t>43</w:t>
        </w:r>
        <w:r w:rsidR="00B528D0">
          <w:rPr>
            <w:noProof/>
            <w:webHidden/>
          </w:rPr>
          <w:fldChar w:fldCharType="end"/>
        </w:r>
      </w:hyperlink>
    </w:p>
    <w:p w14:paraId="216C22A6" w14:textId="1707169D"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26" w:history="1">
        <w:r w:rsidR="00B528D0" w:rsidRPr="00C64A73">
          <w:rPr>
            <w:rStyle w:val="Hyperlink"/>
            <w:noProof/>
          </w:rPr>
          <w:t>Figure 24: Percentage of occupations in shortage (%) in 2021 to 2024 OSL</w:t>
        </w:r>
        <w:r w:rsidR="00B528D0">
          <w:rPr>
            <w:noProof/>
            <w:webHidden/>
          </w:rPr>
          <w:tab/>
        </w:r>
        <w:r w:rsidR="00B528D0">
          <w:rPr>
            <w:noProof/>
            <w:webHidden/>
          </w:rPr>
          <w:fldChar w:fldCharType="begin"/>
        </w:r>
        <w:r w:rsidR="00B528D0">
          <w:rPr>
            <w:noProof/>
            <w:webHidden/>
          </w:rPr>
          <w:instrText xml:space="preserve"> PAGEREF _Toc181370326 \h </w:instrText>
        </w:r>
        <w:r w:rsidR="00B528D0">
          <w:rPr>
            <w:noProof/>
            <w:webHidden/>
          </w:rPr>
        </w:r>
        <w:r w:rsidR="00B528D0">
          <w:rPr>
            <w:noProof/>
            <w:webHidden/>
          </w:rPr>
          <w:fldChar w:fldCharType="separate"/>
        </w:r>
        <w:r w:rsidR="00C47A81">
          <w:rPr>
            <w:noProof/>
            <w:webHidden/>
          </w:rPr>
          <w:t>44</w:t>
        </w:r>
        <w:r w:rsidR="00B528D0">
          <w:rPr>
            <w:noProof/>
            <w:webHidden/>
          </w:rPr>
          <w:fldChar w:fldCharType="end"/>
        </w:r>
      </w:hyperlink>
    </w:p>
    <w:p w14:paraId="4C79FF50" w14:textId="13155B5C"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27" w:history="1">
        <w:r w:rsidR="00B528D0" w:rsidRPr="00C64A73">
          <w:rPr>
            <w:rStyle w:val="Hyperlink"/>
            <w:noProof/>
          </w:rPr>
          <w:t>Figure 25: Percentage of occupations in shortage (%), by Skill Level, 2021–24</w:t>
        </w:r>
        <w:r w:rsidR="00B528D0">
          <w:rPr>
            <w:noProof/>
            <w:webHidden/>
          </w:rPr>
          <w:tab/>
        </w:r>
        <w:r w:rsidR="00B528D0">
          <w:rPr>
            <w:noProof/>
            <w:webHidden/>
          </w:rPr>
          <w:fldChar w:fldCharType="begin"/>
        </w:r>
        <w:r w:rsidR="00B528D0">
          <w:rPr>
            <w:noProof/>
            <w:webHidden/>
          </w:rPr>
          <w:instrText xml:space="preserve"> PAGEREF _Toc181370327 \h </w:instrText>
        </w:r>
        <w:r w:rsidR="00B528D0">
          <w:rPr>
            <w:noProof/>
            <w:webHidden/>
          </w:rPr>
        </w:r>
        <w:r w:rsidR="00B528D0">
          <w:rPr>
            <w:noProof/>
            <w:webHidden/>
          </w:rPr>
          <w:fldChar w:fldCharType="separate"/>
        </w:r>
        <w:r w:rsidR="00C47A81">
          <w:rPr>
            <w:noProof/>
            <w:webHidden/>
          </w:rPr>
          <w:t>44</w:t>
        </w:r>
        <w:r w:rsidR="00B528D0">
          <w:rPr>
            <w:noProof/>
            <w:webHidden/>
          </w:rPr>
          <w:fldChar w:fldCharType="end"/>
        </w:r>
      </w:hyperlink>
    </w:p>
    <w:p w14:paraId="7F448510" w14:textId="05DF371A"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28" w:history="1">
        <w:r w:rsidR="00B528D0" w:rsidRPr="00C64A73">
          <w:rPr>
            <w:rStyle w:val="Hyperlink"/>
            <w:noProof/>
          </w:rPr>
          <w:t>Figure 26: Percentage of occupations in national shortage (%), 2021-24 OSL, without and with employment size and growth thresholds.</w:t>
        </w:r>
        <w:r w:rsidR="00B528D0">
          <w:rPr>
            <w:noProof/>
            <w:webHidden/>
          </w:rPr>
          <w:tab/>
        </w:r>
        <w:r w:rsidR="00B528D0">
          <w:rPr>
            <w:noProof/>
            <w:webHidden/>
          </w:rPr>
          <w:fldChar w:fldCharType="begin"/>
        </w:r>
        <w:r w:rsidR="00B528D0">
          <w:rPr>
            <w:noProof/>
            <w:webHidden/>
          </w:rPr>
          <w:instrText xml:space="preserve"> PAGEREF _Toc181370328 \h </w:instrText>
        </w:r>
        <w:r w:rsidR="00B528D0">
          <w:rPr>
            <w:noProof/>
            <w:webHidden/>
          </w:rPr>
        </w:r>
        <w:r w:rsidR="00B528D0">
          <w:rPr>
            <w:noProof/>
            <w:webHidden/>
          </w:rPr>
          <w:fldChar w:fldCharType="separate"/>
        </w:r>
        <w:r w:rsidR="00C47A81">
          <w:rPr>
            <w:noProof/>
            <w:webHidden/>
          </w:rPr>
          <w:t>46</w:t>
        </w:r>
        <w:r w:rsidR="00B528D0">
          <w:rPr>
            <w:noProof/>
            <w:webHidden/>
          </w:rPr>
          <w:fldChar w:fldCharType="end"/>
        </w:r>
      </w:hyperlink>
    </w:p>
    <w:p w14:paraId="02B1B153" w14:textId="599B9FC6"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29" w:history="1">
        <w:r w:rsidR="00B528D0" w:rsidRPr="00C64A73">
          <w:rPr>
            <w:rStyle w:val="Hyperlink"/>
            <w:noProof/>
          </w:rPr>
          <w:t>Figure 27: Workforce shortage pressures (%), by industry, 2021–24</w:t>
        </w:r>
        <w:r w:rsidR="00B528D0">
          <w:rPr>
            <w:noProof/>
            <w:webHidden/>
          </w:rPr>
          <w:tab/>
        </w:r>
        <w:r w:rsidR="00B528D0">
          <w:rPr>
            <w:noProof/>
            <w:webHidden/>
          </w:rPr>
          <w:fldChar w:fldCharType="begin"/>
        </w:r>
        <w:r w:rsidR="00B528D0">
          <w:rPr>
            <w:noProof/>
            <w:webHidden/>
          </w:rPr>
          <w:instrText xml:space="preserve"> PAGEREF _Toc181370329 \h </w:instrText>
        </w:r>
        <w:r w:rsidR="00B528D0">
          <w:rPr>
            <w:noProof/>
            <w:webHidden/>
          </w:rPr>
        </w:r>
        <w:r w:rsidR="00B528D0">
          <w:rPr>
            <w:noProof/>
            <w:webHidden/>
          </w:rPr>
          <w:fldChar w:fldCharType="separate"/>
        </w:r>
        <w:r w:rsidR="00C47A81">
          <w:rPr>
            <w:noProof/>
            <w:webHidden/>
          </w:rPr>
          <w:t>47</w:t>
        </w:r>
        <w:r w:rsidR="00B528D0">
          <w:rPr>
            <w:noProof/>
            <w:webHidden/>
          </w:rPr>
          <w:fldChar w:fldCharType="end"/>
        </w:r>
      </w:hyperlink>
    </w:p>
    <w:p w14:paraId="75EC7007" w14:textId="2B0452B2"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30" w:history="1">
        <w:r w:rsidR="00B528D0" w:rsidRPr="00C64A73">
          <w:rPr>
            <w:rStyle w:val="Hyperlink"/>
            <w:noProof/>
          </w:rPr>
          <w:t>Figure 28: Percentage of occupations in shortage (%), by mature age worker composition, 2021-2024</w:t>
        </w:r>
        <w:r w:rsidR="00B528D0">
          <w:rPr>
            <w:noProof/>
            <w:webHidden/>
          </w:rPr>
          <w:tab/>
        </w:r>
        <w:r w:rsidR="00B528D0">
          <w:rPr>
            <w:noProof/>
            <w:webHidden/>
          </w:rPr>
          <w:fldChar w:fldCharType="begin"/>
        </w:r>
        <w:r w:rsidR="00B528D0">
          <w:rPr>
            <w:noProof/>
            <w:webHidden/>
          </w:rPr>
          <w:instrText xml:space="preserve"> PAGEREF _Toc181370330 \h </w:instrText>
        </w:r>
        <w:r w:rsidR="00B528D0">
          <w:rPr>
            <w:noProof/>
            <w:webHidden/>
          </w:rPr>
        </w:r>
        <w:r w:rsidR="00B528D0">
          <w:rPr>
            <w:noProof/>
            <w:webHidden/>
          </w:rPr>
          <w:fldChar w:fldCharType="separate"/>
        </w:r>
        <w:r w:rsidR="00C47A81">
          <w:rPr>
            <w:noProof/>
            <w:webHidden/>
          </w:rPr>
          <w:t>49</w:t>
        </w:r>
        <w:r w:rsidR="00B528D0">
          <w:rPr>
            <w:noProof/>
            <w:webHidden/>
          </w:rPr>
          <w:fldChar w:fldCharType="end"/>
        </w:r>
      </w:hyperlink>
    </w:p>
    <w:p w14:paraId="0A92A333" w14:textId="78D2F31D"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31" w:history="1">
        <w:r w:rsidR="00B528D0" w:rsidRPr="00C64A73">
          <w:rPr>
            <w:rStyle w:val="Hyperlink"/>
            <w:noProof/>
          </w:rPr>
          <w:t>Figure 29: Employer responses to unfilled vacancies in the 2021-2024 OSL</w:t>
        </w:r>
        <w:r w:rsidR="00B528D0">
          <w:rPr>
            <w:noProof/>
            <w:webHidden/>
          </w:rPr>
          <w:tab/>
        </w:r>
        <w:r w:rsidR="00B528D0">
          <w:rPr>
            <w:noProof/>
            <w:webHidden/>
          </w:rPr>
          <w:fldChar w:fldCharType="begin"/>
        </w:r>
        <w:r w:rsidR="00B528D0">
          <w:rPr>
            <w:noProof/>
            <w:webHidden/>
          </w:rPr>
          <w:instrText xml:space="preserve"> PAGEREF _Toc181370331 \h </w:instrText>
        </w:r>
        <w:r w:rsidR="00B528D0">
          <w:rPr>
            <w:noProof/>
            <w:webHidden/>
          </w:rPr>
        </w:r>
        <w:r w:rsidR="00B528D0">
          <w:rPr>
            <w:noProof/>
            <w:webHidden/>
          </w:rPr>
          <w:fldChar w:fldCharType="separate"/>
        </w:r>
        <w:r w:rsidR="00C47A81">
          <w:rPr>
            <w:noProof/>
            <w:webHidden/>
          </w:rPr>
          <w:t>57</w:t>
        </w:r>
        <w:r w:rsidR="00B528D0">
          <w:rPr>
            <w:noProof/>
            <w:webHidden/>
          </w:rPr>
          <w:fldChar w:fldCharType="end"/>
        </w:r>
      </w:hyperlink>
    </w:p>
    <w:p w14:paraId="368BA03D" w14:textId="69FE594E"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32" w:history="1">
        <w:r w:rsidR="00B528D0" w:rsidRPr="00C64A73">
          <w:rPr>
            <w:rStyle w:val="Hyperlink"/>
            <w:noProof/>
          </w:rPr>
          <w:t>Figure 30: RLMI ratings of relative labour market performance, June 2024</w:t>
        </w:r>
        <w:r w:rsidR="00B528D0">
          <w:rPr>
            <w:noProof/>
            <w:webHidden/>
          </w:rPr>
          <w:tab/>
        </w:r>
        <w:r w:rsidR="00B528D0">
          <w:rPr>
            <w:noProof/>
            <w:webHidden/>
          </w:rPr>
          <w:fldChar w:fldCharType="begin"/>
        </w:r>
        <w:r w:rsidR="00B528D0">
          <w:rPr>
            <w:noProof/>
            <w:webHidden/>
          </w:rPr>
          <w:instrText xml:space="preserve"> PAGEREF _Toc181370332 \h </w:instrText>
        </w:r>
        <w:r w:rsidR="00B528D0">
          <w:rPr>
            <w:noProof/>
            <w:webHidden/>
          </w:rPr>
        </w:r>
        <w:r w:rsidR="00B528D0">
          <w:rPr>
            <w:noProof/>
            <w:webHidden/>
          </w:rPr>
          <w:fldChar w:fldCharType="separate"/>
        </w:r>
        <w:r w:rsidR="00C47A81">
          <w:rPr>
            <w:noProof/>
            <w:webHidden/>
          </w:rPr>
          <w:t>58</w:t>
        </w:r>
        <w:r w:rsidR="00B528D0">
          <w:rPr>
            <w:noProof/>
            <w:webHidden/>
          </w:rPr>
          <w:fldChar w:fldCharType="end"/>
        </w:r>
      </w:hyperlink>
    </w:p>
    <w:p w14:paraId="258F0D4B" w14:textId="042C761C"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33" w:history="1">
        <w:r w:rsidR="00B528D0" w:rsidRPr="00C64A73">
          <w:rPr>
            <w:rStyle w:val="Hyperlink"/>
            <w:noProof/>
          </w:rPr>
          <w:t>Figure 31: Employment rate (15-64 years) by remoteness category, June 2014 to June 2024</w:t>
        </w:r>
        <w:r w:rsidR="00B528D0">
          <w:rPr>
            <w:noProof/>
            <w:webHidden/>
          </w:rPr>
          <w:tab/>
        </w:r>
        <w:r w:rsidR="00B528D0">
          <w:rPr>
            <w:noProof/>
            <w:webHidden/>
          </w:rPr>
          <w:fldChar w:fldCharType="begin"/>
        </w:r>
        <w:r w:rsidR="00B528D0">
          <w:rPr>
            <w:noProof/>
            <w:webHidden/>
          </w:rPr>
          <w:instrText xml:space="preserve"> PAGEREF _Toc181370333 \h </w:instrText>
        </w:r>
        <w:r w:rsidR="00B528D0">
          <w:rPr>
            <w:noProof/>
            <w:webHidden/>
          </w:rPr>
        </w:r>
        <w:r w:rsidR="00B528D0">
          <w:rPr>
            <w:noProof/>
            <w:webHidden/>
          </w:rPr>
          <w:fldChar w:fldCharType="separate"/>
        </w:r>
        <w:r w:rsidR="00C47A81">
          <w:rPr>
            <w:noProof/>
            <w:webHidden/>
          </w:rPr>
          <w:t>59</w:t>
        </w:r>
        <w:r w:rsidR="00B528D0">
          <w:rPr>
            <w:noProof/>
            <w:webHidden/>
          </w:rPr>
          <w:fldChar w:fldCharType="end"/>
        </w:r>
      </w:hyperlink>
    </w:p>
    <w:p w14:paraId="7BFDB482" w14:textId="188F4EFC"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34" w:history="1">
        <w:r w:rsidR="00B528D0" w:rsidRPr="00C64A73">
          <w:rPr>
            <w:rStyle w:val="Hyperlink"/>
            <w:noProof/>
          </w:rPr>
          <w:t>Figure 32: Unemployment rate by remoteness, June 2014 to June 2024</w:t>
        </w:r>
        <w:r w:rsidR="00B528D0">
          <w:rPr>
            <w:noProof/>
            <w:webHidden/>
          </w:rPr>
          <w:tab/>
        </w:r>
        <w:r w:rsidR="00B528D0">
          <w:rPr>
            <w:noProof/>
            <w:webHidden/>
          </w:rPr>
          <w:fldChar w:fldCharType="begin"/>
        </w:r>
        <w:r w:rsidR="00B528D0">
          <w:rPr>
            <w:noProof/>
            <w:webHidden/>
          </w:rPr>
          <w:instrText xml:space="preserve"> PAGEREF _Toc181370334 \h </w:instrText>
        </w:r>
        <w:r w:rsidR="00B528D0">
          <w:rPr>
            <w:noProof/>
            <w:webHidden/>
          </w:rPr>
        </w:r>
        <w:r w:rsidR="00B528D0">
          <w:rPr>
            <w:noProof/>
            <w:webHidden/>
          </w:rPr>
          <w:fldChar w:fldCharType="separate"/>
        </w:r>
        <w:r w:rsidR="00C47A81">
          <w:rPr>
            <w:noProof/>
            <w:webHidden/>
          </w:rPr>
          <w:t>60</w:t>
        </w:r>
        <w:r w:rsidR="00B528D0">
          <w:rPr>
            <w:noProof/>
            <w:webHidden/>
          </w:rPr>
          <w:fldChar w:fldCharType="end"/>
        </w:r>
      </w:hyperlink>
    </w:p>
    <w:p w14:paraId="4F02DD41" w14:textId="436EB699"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35" w:history="1">
        <w:r w:rsidR="00B528D0" w:rsidRPr="00C64A73">
          <w:rPr>
            <w:rStyle w:val="Hyperlink"/>
            <w:noProof/>
          </w:rPr>
          <w:t>Figure 33: RLMI ratings of relative labour market performance – Inner Metropolitan Brisbane</w:t>
        </w:r>
        <w:r w:rsidR="00B528D0">
          <w:rPr>
            <w:noProof/>
            <w:webHidden/>
          </w:rPr>
          <w:tab/>
        </w:r>
        <w:r w:rsidR="00B528D0">
          <w:rPr>
            <w:noProof/>
            <w:webHidden/>
          </w:rPr>
          <w:fldChar w:fldCharType="begin"/>
        </w:r>
        <w:r w:rsidR="00B528D0">
          <w:rPr>
            <w:noProof/>
            <w:webHidden/>
          </w:rPr>
          <w:instrText xml:space="preserve"> PAGEREF _Toc181370335 \h </w:instrText>
        </w:r>
        <w:r w:rsidR="00B528D0">
          <w:rPr>
            <w:noProof/>
            <w:webHidden/>
          </w:rPr>
        </w:r>
        <w:r w:rsidR="00B528D0">
          <w:rPr>
            <w:noProof/>
            <w:webHidden/>
          </w:rPr>
          <w:fldChar w:fldCharType="separate"/>
        </w:r>
        <w:r w:rsidR="00C47A81">
          <w:rPr>
            <w:noProof/>
            <w:webHidden/>
          </w:rPr>
          <w:t>60</w:t>
        </w:r>
        <w:r w:rsidR="00B528D0">
          <w:rPr>
            <w:noProof/>
            <w:webHidden/>
          </w:rPr>
          <w:fldChar w:fldCharType="end"/>
        </w:r>
      </w:hyperlink>
    </w:p>
    <w:p w14:paraId="3BEEF489" w14:textId="3FFC85E1"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36" w:history="1">
        <w:r w:rsidR="00B528D0" w:rsidRPr="00C64A73">
          <w:rPr>
            <w:rStyle w:val="Hyperlink"/>
            <w:noProof/>
          </w:rPr>
          <w:t>Figure 34: RLMI ratings of relative labour market performance – NSW/Victoria border regions</w:t>
        </w:r>
        <w:r w:rsidR="00B528D0">
          <w:rPr>
            <w:noProof/>
            <w:webHidden/>
          </w:rPr>
          <w:tab/>
        </w:r>
        <w:r w:rsidR="00B528D0">
          <w:rPr>
            <w:noProof/>
            <w:webHidden/>
          </w:rPr>
          <w:fldChar w:fldCharType="begin"/>
        </w:r>
        <w:r w:rsidR="00B528D0">
          <w:rPr>
            <w:noProof/>
            <w:webHidden/>
          </w:rPr>
          <w:instrText xml:space="preserve"> PAGEREF _Toc181370336 \h </w:instrText>
        </w:r>
        <w:r w:rsidR="00B528D0">
          <w:rPr>
            <w:noProof/>
            <w:webHidden/>
          </w:rPr>
        </w:r>
        <w:r w:rsidR="00B528D0">
          <w:rPr>
            <w:noProof/>
            <w:webHidden/>
          </w:rPr>
          <w:fldChar w:fldCharType="separate"/>
        </w:r>
        <w:r w:rsidR="00C47A81">
          <w:rPr>
            <w:noProof/>
            <w:webHidden/>
          </w:rPr>
          <w:t>61</w:t>
        </w:r>
        <w:r w:rsidR="00B528D0">
          <w:rPr>
            <w:noProof/>
            <w:webHidden/>
          </w:rPr>
          <w:fldChar w:fldCharType="end"/>
        </w:r>
      </w:hyperlink>
    </w:p>
    <w:p w14:paraId="5927F127" w14:textId="4B063991"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37" w:history="1">
        <w:r w:rsidR="00B528D0" w:rsidRPr="00C64A73">
          <w:rPr>
            <w:rStyle w:val="Hyperlink"/>
            <w:noProof/>
          </w:rPr>
          <w:t>Figure 35: Average RLMI rating for the Murray, Shepparton and Hume SA4 regions, June 2009 to June 2024</w:t>
        </w:r>
        <w:r w:rsidR="00B528D0">
          <w:rPr>
            <w:noProof/>
            <w:webHidden/>
          </w:rPr>
          <w:tab/>
        </w:r>
        <w:r w:rsidR="00B528D0">
          <w:rPr>
            <w:noProof/>
            <w:webHidden/>
          </w:rPr>
          <w:fldChar w:fldCharType="begin"/>
        </w:r>
        <w:r w:rsidR="00B528D0">
          <w:rPr>
            <w:noProof/>
            <w:webHidden/>
          </w:rPr>
          <w:instrText xml:space="preserve"> PAGEREF _Toc181370337 \h </w:instrText>
        </w:r>
        <w:r w:rsidR="00B528D0">
          <w:rPr>
            <w:noProof/>
            <w:webHidden/>
          </w:rPr>
        </w:r>
        <w:r w:rsidR="00B528D0">
          <w:rPr>
            <w:noProof/>
            <w:webHidden/>
          </w:rPr>
          <w:fldChar w:fldCharType="separate"/>
        </w:r>
        <w:r w:rsidR="00C47A81">
          <w:rPr>
            <w:noProof/>
            <w:webHidden/>
          </w:rPr>
          <w:t>61</w:t>
        </w:r>
        <w:r w:rsidR="00B528D0">
          <w:rPr>
            <w:noProof/>
            <w:webHidden/>
          </w:rPr>
          <w:fldChar w:fldCharType="end"/>
        </w:r>
      </w:hyperlink>
    </w:p>
    <w:p w14:paraId="6C5B46A6" w14:textId="202CF84A"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38" w:history="1">
        <w:r w:rsidR="00B528D0" w:rsidRPr="00C64A73">
          <w:rPr>
            <w:rStyle w:val="Hyperlink"/>
            <w:noProof/>
          </w:rPr>
          <w:t>Figure 36: Online job advertisements regional Australia, August 2014 to August 2024</w:t>
        </w:r>
        <w:r w:rsidR="00B528D0">
          <w:rPr>
            <w:noProof/>
            <w:webHidden/>
          </w:rPr>
          <w:tab/>
        </w:r>
        <w:r w:rsidR="00B528D0">
          <w:rPr>
            <w:noProof/>
            <w:webHidden/>
          </w:rPr>
          <w:fldChar w:fldCharType="begin"/>
        </w:r>
        <w:r w:rsidR="00B528D0">
          <w:rPr>
            <w:noProof/>
            <w:webHidden/>
          </w:rPr>
          <w:instrText xml:space="preserve"> PAGEREF _Toc181370338 \h </w:instrText>
        </w:r>
        <w:r w:rsidR="00B528D0">
          <w:rPr>
            <w:noProof/>
            <w:webHidden/>
          </w:rPr>
        </w:r>
        <w:r w:rsidR="00B528D0">
          <w:rPr>
            <w:noProof/>
            <w:webHidden/>
          </w:rPr>
          <w:fldChar w:fldCharType="separate"/>
        </w:r>
        <w:r w:rsidR="00C47A81">
          <w:rPr>
            <w:noProof/>
            <w:webHidden/>
          </w:rPr>
          <w:t>62</w:t>
        </w:r>
        <w:r w:rsidR="00B528D0">
          <w:rPr>
            <w:noProof/>
            <w:webHidden/>
          </w:rPr>
          <w:fldChar w:fldCharType="end"/>
        </w:r>
      </w:hyperlink>
    </w:p>
    <w:p w14:paraId="04B23436" w14:textId="7D4C251C"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39" w:history="1">
        <w:r w:rsidR="00B528D0" w:rsidRPr="00C64A73">
          <w:rPr>
            <w:rStyle w:val="Hyperlink"/>
            <w:noProof/>
          </w:rPr>
          <w:t>Figure 37: Online job advertisements for Major Occupation groups in regional Australia, August 2014 to August 2024</w:t>
        </w:r>
        <w:r w:rsidR="00B528D0">
          <w:rPr>
            <w:noProof/>
            <w:webHidden/>
          </w:rPr>
          <w:tab/>
        </w:r>
        <w:r w:rsidR="00B528D0">
          <w:rPr>
            <w:noProof/>
            <w:webHidden/>
          </w:rPr>
          <w:fldChar w:fldCharType="begin"/>
        </w:r>
        <w:r w:rsidR="00B528D0">
          <w:rPr>
            <w:noProof/>
            <w:webHidden/>
          </w:rPr>
          <w:instrText xml:space="preserve"> PAGEREF _Toc181370339 \h </w:instrText>
        </w:r>
        <w:r w:rsidR="00B528D0">
          <w:rPr>
            <w:noProof/>
            <w:webHidden/>
          </w:rPr>
        </w:r>
        <w:r w:rsidR="00B528D0">
          <w:rPr>
            <w:noProof/>
            <w:webHidden/>
          </w:rPr>
          <w:fldChar w:fldCharType="separate"/>
        </w:r>
        <w:r w:rsidR="00C47A81">
          <w:rPr>
            <w:noProof/>
            <w:webHidden/>
          </w:rPr>
          <w:t>63</w:t>
        </w:r>
        <w:r w:rsidR="00B528D0">
          <w:rPr>
            <w:noProof/>
            <w:webHidden/>
          </w:rPr>
          <w:fldChar w:fldCharType="end"/>
        </w:r>
      </w:hyperlink>
    </w:p>
    <w:p w14:paraId="4389B04B" w14:textId="31A9A292"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40" w:history="1">
        <w:r w:rsidR="00B528D0" w:rsidRPr="00C64A73">
          <w:rPr>
            <w:rStyle w:val="Hyperlink"/>
            <w:noProof/>
          </w:rPr>
          <w:t>Figure 38: Skill level employment share, change (% pts) between 2019 and 2024</w:t>
        </w:r>
        <w:r w:rsidR="00B528D0">
          <w:rPr>
            <w:noProof/>
            <w:webHidden/>
          </w:rPr>
          <w:tab/>
        </w:r>
        <w:r w:rsidR="00B528D0">
          <w:rPr>
            <w:noProof/>
            <w:webHidden/>
          </w:rPr>
          <w:fldChar w:fldCharType="begin"/>
        </w:r>
        <w:r w:rsidR="00B528D0">
          <w:rPr>
            <w:noProof/>
            <w:webHidden/>
          </w:rPr>
          <w:instrText xml:space="preserve"> PAGEREF _Toc181370340 \h </w:instrText>
        </w:r>
        <w:r w:rsidR="00B528D0">
          <w:rPr>
            <w:noProof/>
            <w:webHidden/>
          </w:rPr>
        </w:r>
        <w:r w:rsidR="00B528D0">
          <w:rPr>
            <w:noProof/>
            <w:webHidden/>
          </w:rPr>
          <w:fldChar w:fldCharType="separate"/>
        </w:r>
        <w:r w:rsidR="00C47A81">
          <w:rPr>
            <w:noProof/>
            <w:webHidden/>
          </w:rPr>
          <w:t>64</w:t>
        </w:r>
        <w:r w:rsidR="00B528D0">
          <w:rPr>
            <w:noProof/>
            <w:webHidden/>
          </w:rPr>
          <w:fldChar w:fldCharType="end"/>
        </w:r>
      </w:hyperlink>
    </w:p>
    <w:p w14:paraId="143CFB53" w14:textId="3532A46E"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41" w:history="1">
        <w:r w:rsidR="00B528D0" w:rsidRPr="00C64A73">
          <w:rPr>
            <w:rStyle w:val="Hyperlink"/>
            <w:noProof/>
          </w:rPr>
          <w:t>Figure 39: Online job advertisement growth rate August 2019 to August 2024 for three regions in focus</w:t>
        </w:r>
        <w:r w:rsidR="00B528D0">
          <w:rPr>
            <w:noProof/>
            <w:webHidden/>
          </w:rPr>
          <w:tab/>
        </w:r>
        <w:r w:rsidR="00B528D0">
          <w:rPr>
            <w:noProof/>
            <w:webHidden/>
          </w:rPr>
          <w:fldChar w:fldCharType="begin"/>
        </w:r>
        <w:r w:rsidR="00B528D0">
          <w:rPr>
            <w:noProof/>
            <w:webHidden/>
          </w:rPr>
          <w:instrText xml:space="preserve"> PAGEREF _Toc181370341 \h </w:instrText>
        </w:r>
        <w:r w:rsidR="00B528D0">
          <w:rPr>
            <w:noProof/>
            <w:webHidden/>
          </w:rPr>
        </w:r>
        <w:r w:rsidR="00B528D0">
          <w:rPr>
            <w:noProof/>
            <w:webHidden/>
          </w:rPr>
          <w:fldChar w:fldCharType="separate"/>
        </w:r>
        <w:r w:rsidR="00C47A81">
          <w:rPr>
            <w:noProof/>
            <w:webHidden/>
          </w:rPr>
          <w:t>65</w:t>
        </w:r>
        <w:r w:rsidR="00B528D0">
          <w:rPr>
            <w:noProof/>
            <w:webHidden/>
          </w:rPr>
          <w:fldChar w:fldCharType="end"/>
        </w:r>
      </w:hyperlink>
    </w:p>
    <w:p w14:paraId="02825CF9" w14:textId="53E927E7"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42" w:history="1">
        <w:r w:rsidR="00B528D0" w:rsidRPr="00C64A73">
          <w:rPr>
            <w:rStyle w:val="Hyperlink"/>
            <w:noProof/>
          </w:rPr>
          <w:t>Figure 40: 5 and 10-year employment outlook, by industry, persons, Australia</w:t>
        </w:r>
        <w:r w:rsidR="00B528D0">
          <w:rPr>
            <w:noProof/>
            <w:webHidden/>
          </w:rPr>
          <w:tab/>
        </w:r>
        <w:r w:rsidR="00B528D0">
          <w:rPr>
            <w:noProof/>
            <w:webHidden/>
          </w:rPr>
          <w:fldChar w:fldCharType="begin"/>
        </w:r>
        <w:r w:rsidR="00B528D0">
          <w:rPr>
            <w:noProof/>
            <w:webHidden/>
          </w:rPr>
          <w:instrText xml:space="preserve"> PAGEREF _Toc181370342 \h </w:instrText>
        </w:r>
        <w:r w:rsidR="00B528D0">
          <w:rPr>
            <w:noProof/>
            <w:webHidden/>
          </w:rPr>
        </w:r>
        <w:r w:rsidR="00B528D0">
          <w:rPr>
            <w:noProof/>
            <w:webHidden/>
          </w:rPr>
          <w:fldChar w:fldCharType="separate"/>
        </w:r>
        <w:r w:rsidR="00C47A81">
          <w:rPr>
            <w:noProof/>
            <w:webHidden/>
          </w:rPr>
          <w:t>72</w:t>
        </w:r>
        <w:r w:rsidR="00B528D0">
          <w:rPr>
            <w:noProof/>
            <w:webHidden/>
          </w:rPr>
          <w:fldChar w:fldCharType="end"/>
        </w:r>
      </w:hyperlink>
    </w:p>
    <w:p w14:paraId="5E356A50" w14:textId="23CA3FB4"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43" w:history="1">
        <w:r w:rsidR="00B528D0" w:rsidRPr="00C64A73">
          <w:rPr>
            <w:rStyle w:val="Hyperlink"/>
            <w:noProof/>
          </w:rPr>
          <w:t>Figure 41: 5 and 10-year employment outlook, by major occupation group, persons, Australia</w:t>
        </w:r>
        <w:r w:rsidR="00B528D0">
          <w:rPr>
            <w:noProof/>
            <w:webHidden/>
          </w:rPr>
          <w:tab/>
        </w:r>
        <w:r w:rsidR="00B528D0">
          <w:rPr>
            <w:noProof/>
            <w:webHidden/>
          </w:rPr>
          <w:fldChar w:fldCharType="begin"/>
        </w:r>
        <w:r w:rsidR="00B528D0">
          <w:rPr>
            <w:noProof/>
            <w:webHidden/>
          </w:rPr>
          <w:instrText xml:space="preserve"> PAGEREF _Toc181370343 \h </w:instrText>
        </w:r>
        <w:r w:rsidR="00B528D0">
          <w:rPr>
            <w:noProof/>
            <w:webHidden/>
          </w:rPr>
        </w:r>
        <w:r w:rsidR="00B528D0">
          <w:rPr>
            <w:noProof/>
            <w:webHidden/>
          </w:rPr>
          <w:fldChar w:fldCharType="separate"/>
        </w:r>
        <w:r w:rsidR="00C47A81">
          <w:rPr>
            <w:noProof/>
            <w:webHidden/>
          </w:rPr>
          <w:t>75</w:t>
        </w:r>
        <w:r w:rsidR="00B528D0">
          <w:rPr>
            <w:noProof/>
            <w:webHidden/>
          </w:rPr>
          <w:fldChar w:fldCharType="end"/>
        </w:r>
      </w:hyperlink>
    </w:p>
    <w:p w14:paraId="423C5F33" w14:textId="490636F5"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44" w:history="1">
        <w:r w:rsidR="00B528D0" w:rsidRPr="00C64A73">
          <w:rPr>
            <w:rStyle w:val="Hyperlink"/>
            <w:noProof/>
          </w:rPr>
          <w:t>Figure 42: 5 and 10-year employment outlook, by state and territory, persons</w:t>
        </w:r>
        <w:r w:rsidR="00B528D0">
          <w:rPr>
            <w:noProof/>
            <w:webHidden/>
          </w:rPr>
          <w:tab/>
        </w:r>
        <w:r w:rsidR="00B528D0">
          <w:rPr>
            <w:noProof/>
            <w:webHidden/>
          </w:rPr>
          <w:fldChar w:fldCharType="begin"/>
        </w:r>
        <w:r w:rsidR="00B528D0">
          <w:rPr>
            <w:noProof/>
            <w:webHidden/>
          </w:rPr>
          <w:instrText xml:space="preserve"> PAGEREF _Toc181370344 \h </w:instrText>
        </w:r>
        <w:r w:rsidR="00B528D0">
          <w:rPr>
            <w:noProof/>
            <w:webHidden/>
          </w:rPr>
        </w:r>
        <w:r w:rsidR="00B528D0">
          <w:rPr>
            <w:noProof/>
            <w:webHidden/>
          </w:rPr>
          <w:fldChar w:fldCharType="separate"/>
        </w:r>
        <w:r w:rsidR="00C47A81">
          <w:rPr>
            <w:noProof/>
            <w:webHidden/>
          </w:rPr>
          <w:t>77</w:t>
        </w:r>
        <w:r w:rsidR="00B528D0">
          <w:rPr>
            <w:noProof/>
            <w:webHidden/>
          </w:rPr>
          <w:fldChar w:fldCharType="end"/>
        </w:r>
      </w:hyperlink>
    </w:p>
    <w:p w14:paraId="211CF3BB" w14:textId="0BC5F7BB"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45" w:history="1">
        <w:r w:rsidR="00B528D0" w:rsidRPr="00C64A73">
          <w:rPr>
            <w:rStyle w:val="Hyperlink"/>
            <w:noProof/>
          </w:rPr>
          <w:t>Figure 43: Change in industry employment for each state and territory over the 10 years to May 2034</w:t>
        </w:r>
        <w:r w:rsidR="00B528D0">
          <w:rPr>
            <w:noProof/>
            <w:webHidden/>
          </w:rPr>
          <w:tab/>
        </w:r>
        <w:r w:rsidR="00B528D0">
          <w:rPr>
            <w:noProof/>
            <w:webHidden/>
          </w:rPr>
          <w:fldChar w:fldCharType="begin"/>
        </w:r>
        <w:r w:rsidR="00B528D0">
          <w:rPr>
            <w:noProof/>
            <w:webHidden/>
          </w:rPr>
          <w:instrText xml:space="preserve"> PAGEREF _Toc181370345 \h </w:instrText>
        </w:r>
        <w:r w:rsidR="00B528D0">
          <w:rPr>
            <w:noProof/>
            <w:webHidden/>
          </w:rPr>
        </w:r>
        <w:r w:rsidR="00B528D0">
          <w:rPr>
            <w:noProof/>
            <w:webHidden/>
          </w:rPr>
          <w:fldChar w:fldCharType="separate"/>
        </w:r>
        <w:r w:rsidR="00C47A81">
          <w:rPr>
            <w:noProof/>
            <w:webHidden/>
          </w:rPr>
          <w:t>79</w:t>
        </w:r>
        <w:r w:rsidR="00B528D0">
          <w:rPr>
            <w:noProof/>
            <w:webHidden/>
          </w:rPr>
          <w:fldChar w:fldCharType="end"/>
        </w:r>
      </w:hyperlink>
    </w:p>
    <w:p w14:paraId="6EBF1C5B" w14:textId="36974A3E"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46" w:history="1">
        <w:r w:rsidR="00B528D0" w:rsidRPr="00C64A73">
          <w:rPr>
            <w:rStyle w:val="Hyperlink"/>
            <w:noProof/>
          </w:rPr>
          <w:t>Figure 44: 5 and 10-year employment outlook, by skill level of occupation, persons, Australia</w:t>
        </w:r>
        <w:r w:rsidR="00B528D0">
          <w:rPr>
            <w:noProof/>
            <w:webHidden/>
          </w:rPr>
          <w:tab/>
        </w:r>
        <w:r w:rsidR="00B528D0">
          <w:rPr>
            <w:noProof/>
            <w:webHidden/>
          </w:rPr>
          <w:fldChar w:fldCharType="begin"/>
        </w:r>
        <w:r w:rsidR="00B528D0">
          <w:rPr>
            <w:noProof/>
            <w:webHidden/>
          </w:rPr>
          <w:instrText xml:space="preserve"> PAGEREF _Toc181370346 \h </w:instrText>
        </w:r>
        <w:r w:rsidR="00B528D0">
          <w:rPr>
            <w:noProof/>
            <w:webHidden/>
          </w:rPr>
        </w:r>
        <w:r w:rsidR="00B528D0">
          <w:rPr>
            <w:noProof/>
            <w:webHidden/>
          </w:rPr>
          <w:fldChar w:fldCharType="separate"/>
        </w:r>
        <w:r w:rsidR="00C47A81">
          <w:rPr>
            <w:noProof/>
            <w:webHidden/>
          </w:rPr>
          <w:t>81</w:t>
        </w:r>
        <w:r w:rsidR="00B528D0">
          <w:rPr>
            <w:noProof/>
            <w:webHidden/>
          </w:rPr>
          <w:fldChar w:fldCharType="end"/>
        </w:r>
      </w:hyperlink>
    </w:p>
    <w:p w14:paraId="34AFBD94" w14:textId="009567B4"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47" w:history="1">
        <w:r w:rsidR="00B528D0" w:rsidRPr="00C64A73">
          <w:rPr>
            <w:rStyle w:val="Hyperlink"/>
            <w:noProof/>
          </w:rPr>
          <w:t>Figure 45: ‘Unconstrained skill supply’ scenario – deviation from baseline employment projections for May 2034, by major occupation group, persons, Australia</w:t>
        </w:r>
        <w:r w:rsidR="00B528D0">
          <w:rPr>
            <w:noProof/>
            <w:webHidden/>
          </w:rPr>
          <w:tab/>
        </w:r>
        <w:r w:rsidR="00B528D0">
          <w:rPr>
            <w:noProof/>
            <w:webHidden/>
          </w:rPr>
          <w:fldChar w:fldCharType="begin"/>
        </w:r>
        <w:r w:rsidR="00B528D0">
          <w:rPr>
            <w:noProof/>
            <w:webHidden/>
          </w:rPr>
          <w:instrText xml:space="preserve"> PAGEREF _Toc181370347 \h </w:instrText>
        </w:r>
        <w:r w:rsidR="00B528D0">
          <w:rPr>
            <w:noProof/>
            <w:webHidden/>
          </w:rPr>
        </w:r>
        <w:r w:rsidR="00B528D0">
          <w:rPr>
            <w:noProof/>
            <w:webHidden/>
          </w:rPr>
          <w:fldChar w:fldCharType="separate"/>
        </w:r>
        <w:r w:rsidR="00C47A81">
          <w:rPr>
            <w:noProof/>
            <w:webHidden/>
          </w:rPr>
          <w:t>83</w:t>
        </w:r>
        <w:r w:rsidR="00B528D0">
          <w:rPr>
            <w:noProof/>
            <w:webHidden/>
          </w:rPr>
          <w:fldChar w:fldCharType="end"/>
        </w:r>
      </w:hyperlink>
    </w:p>
    <w:p w14:paraId="5508AD9B" w14:textId="74D7CF95"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48" w:history="1">
        <w:r w:rsidR="00B528D0" w:rsidRPr="00C64A73">
          <w:rPr>
            <w:rStyle w:val="Hyperlink"/>
            <w:noProof/>
          </w:rPr>
          <w:t>Figure 46: ‘Unconstrained skill supply’ scenario – deviation from baseline employment projections for May 2034, by skill level, persons, Australia</w:t>
        </w:r>
        <w:r w:rsidR="00B528D0">
          <w:rPr>
            <w:noProof/>
            <w:webHidden/>
          </w:rPr>
          <w:tab/>
        </w:r>
        <w:r w:rsidR="00B528D0">
          <w:rPr>
            <w:noProof/>
            <w:webHidden/>
          </w:rPr>
          <w:fldChar w:fldCharType="begin"/>
        </w:r>
        <w:r w:rsidR="00B528D0">
          <w:rPr>
            <w:noProof/>
            <w:webHidden/>
          </w:rPr>
          <w:instrText xml:space="preserve"> PAGEREF _Toc181370348 \h </w:instrText>
        </w:r>
        <w:r w:rsidR="00B528D0">
          <w:rPr>
            <w:noProof/>
            <w:webHidden/>
          </w:rPr>
        </w:r>
        <w:r w:rsidR="00B528D0">
          <w:rPr>
            <w:noProof/>
            <w:webHidden/>
          </w:rPr>
          <w:fldChar w:fldCharType="separate"/>
        </w:r>
        <w:r w:rsidR="00C47A81">
          <w:rPr>
            <w:noProof/>
            <w:webHidden/>
          </w:rPr>
          <w:t>85</w:t>
        </w:r>
        <w:r w:rsidR="00B528D0">
          <w:rPr>
            <w:noProof/>
            <w:webHidden/>
          </w:rPr>
          <w:fldChar w:fldCharType="end"/>
        </w:r>
      </w:hyperlink>
    </w:p>
    <w:p w14:paraId="48F90127" w14:textId="345E7FA6"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49" w:history="1">
        <w:r w:rsidR="00B528D0" w:rsidRPr="00C64A73">
          <w:rPr>
            <w:rStyle w:val="Hyperlink"/>
            <w:noProof/>
          </w:rPr>
          <w:t>Figure 47: Principles for validation</w:t>
        </w:r>
        <w:r w:rsidR="00B528D0">
          <w:rPr>
            <w:noProof/>
            <w:webHidden/>
          </w:rPr>
          <w:tab/>
        </w:r>
        <w:r w:rsidR="00B528D0">
          <w:rPr>
            <w:noProof/>
            <w:webHidden/>
          </w:rPr>
          <w:fldChar w:fldCharType="begin"/>
        </w:r>
        <w:r w:rsidR="00B528D0">
          <w:rPr>
            <w:noProof/>
            <w:webHidden/>
          </w:rPr>
          <w:instrText xml:space="preserve"> PAGEREF _Toc181370349 \h </w:instrText>
        </w:r>
        <w:r w:rsidR="00B528D0">
          <w:rPr>
            <w:noProof/>
            <w:webHidden/>
          </w:rPr>
        </w:r>
        <w:r w:rsidR="00B528D0">
          <w:rPr>
            <w:noProof/>
            <w:webHidden/>
          </w:rPr>
          <w:fldChar w:fldCharType="separate"/>
        </w:r>
        <w:r w:rsidR="00C47A81">
          <w:rPr>
            <w:noProof/>
            <w:webHidden/>
          </w:rPr>
          <w:t>87</w:t>
        </w:r>
        <w:r w:rsidR="00B528D0">
          <w:rPr>
            <w:noProof/>
            <w:webHidden/>
          </w:rPr>
          <w:fldChar w:fldCharType="end"/>
        </w:r>
      </w:hyperlink>
    </w:p>
    <w:p w14:paraId="13AE19F3" w14:textId="32EA968A"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50" w:history="1">
        <w:r w:rsidR="00B528D0" w:rsidRPr="00C64A73">
          <w:rPr>
            <w:rStyle w:val="Hyperlink"/>
            <w:noProof/>
          </w:rPr>
          <w:t>Figure 48: Emerging roles in the Australian labour market with online job ad counts in 2022 – Health, care and medical</w:t>
        </w:r>
        <w:r w:rsidR="00B528D0">
          <w:rPr>
            <w:noProof/>
            <w:webHidden/>
          </w:rPr>
          <w:tab/>
        </w:r>
        <w:r w:rsidR="00B528D0">
          <w:rPr>
            <w:noProof/>
            <w:webHidden/>
          </w:rPr>
          <w:fldChar w:fldCharType="begin"/>
        </w:r>
        <w:r w:rsidR="00B528D0">
          <w:rPr>
            <w:noProof/>
            <w:webHidden/>
          </w:rPr>
          <w:instrText xml:space="preserve"> PAGEREF _Toc181370350 \h </w:instrText>
        </w:r>
        <w:r w:rsidR="00B528D0">
          <w:rPr>
            <w:noProof/>
            <w:webHidden/>
          </w:rPr>
        </w:r>
        <w:r w:rsidR="00B528D0">
          <w:rPr>
            <w:noProof/>
            <w:webHidden/>
          </w:rPr>
          <w:fldChar w:fldCharType="separate"/>
        </w:r>
        <w:r w:rsidR="00C47A81">
          <w:rPr>
            <w:noProof/>
            <w:webHidden/>
          </w:rPr>
          <w:t>87</w:t>
        </w:r>
        <w:r w:rsidR="00B528D0">
          <w:rPr>
            <w:noProof/>
            <w:webHidden/>
          </w:rPr>
          <w:fldChar w:fldCharType="end"/>
        </w:r>
      </w:hyperlink>
    </w:p>
    <w:p w14:paraId="19263E85" w14:textId="0338AB93"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51" w:history="1">
        <w:r w:rsidR="00B528D0" w:rsidRPr="00C64A73">
          <w:rPr>
            <w:rStyle w:val="Hyperlink"/>
            <w:noProof/>
          </w:rPr>
          <w:t>Figure 49: Emerging roles in the Australian labour market with online job ad counts in 2022 – Data and technologies</w:t>
        </w:r>
        <w:r w:rsidR="00B528D0">
          <w:rPr>
            <w:noProof/>
            <w:webHidden/>
          </w:rPr>
          <w:tab/>
        </w:r>
        <w:r w:rsidR="00B528D0">
          <w:rPr>
            <w:noProof/>
            <w:webHidden/>
          </w:rPr>
          <w:fldChar w:fldCharType="begin"/>
        </w:r>
        <w:r w:rsidR="00B528D0">
          <w:rPr>
            <w:noProof/>
            <w:webHidden/>
          </w:rPr>
          <w:instrText xml:space="preserve"> PAGEREF _Toc181370351 \h </w:instrText>
        </w:r>
        <w:r w:rsidR="00B528D0">
          <w:rPr>
            <w:noProof/>
            <w:webHidden/>
          </w:rPr>
        </w:r>
        <w:r w:rsidR="00B528D0">
          <w:rPr>
            <w:noProof/>
            <w:webHidden/>
          </w:rPr>
          <w:fldChar w:fldCharType="separate"/>
        </w:r>
        <w:r w:rsidR="00C47A81">
          <w:rPr>
            <w:noProof/>
            <w:webHidden/>
          </w:rPr>
          <w:t>88</w:t>
        </w:r>
        <w:r w:rsidR="00B528D0">
          <w:rPr>
            <w:noProof/>
            <w:webHidden/>
          </w:rPr>
          <w:fldChar w:fldCharType="end"/>
        </w:r>
      </w:hyperlink>
    </w:p>
    <w:p w14:paraId="6B39337B" w14:textId="12D48B04"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52" w:history="1">
        <w:r w:rsidR="00B528D0" w:rsidRPr="00C64A73">
          <w:rPr>
            <w:rStyle w:val="Hyperlink"/>
            <w:noProof/>
          </w:rPr>
          <w:t>Figure 50: Emerging roles in the Australian labour market with online job ad counts in 2022 – Net zero</w:t>
        </w:r>
        <w:r w:rsidR="00B528D0">
          <w:rPr>
            <w:noProof/>
            <w:webHidden/>
          </w:rPr>
          <w:tab/>
        </w:r>
        <w:r w:rsidR="00B528D0">
          <w:rPr>
            <w:noProof/>
            <w:webHidden/>
          </w:rPr>
          <w:fldChar w:fldCharType="begin"/>
        </w:r>
        <w:r w:rsidR="00B528D0">
          <w:rPr>
            <w:noProof/>
            <w:webHidden/>
          </w:rPr>
          <w:instrText xml:space="preserve"> PAGEREF _Toc181370352 \h </w:instrText>
        </w:r>
        <w:r w:rsidR="00B528D0">
          <w:rPr>
            <w:noProof/>
            <w:webHidden/>
          </w:rPr>
        </w:r>
        <w:r w:rsidR="00B528D0">
          <w:rPr>
            <w:noProof/>
            <w:webHidden/>
          </w:rPr>
          <w:fldChar w:fldCharType="separate"/>
        </w:r>
        <w:r w:rsidR="00C47A81">
          <w:rPr>
            <w:noProof/>
            <w:webHidden/>
          </w:rPr>
          <w:t>88</w:t>
        </w:r>
        <w:r w:rsidR="00B528D0">
          <w:rPr>
            <w:noProof/>
            <w:webHidden/>
          </w:rPr>
          <w:fldChar w:fldCharType="end"/>
        </w:r>
      </w:hyperlink>
    </w:p>
    <w:p w14:paraId="0C78D43F" w14:textId="5387BBB5"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53" w:history="1">
        <w:r w:rsidR="00B528D0" w:rsidRPr="00C64A73">
          <w:rPr>
            <w:rStyle w:val="Hyperlink"/>
            <w:noProof/>
          </w:rPr>
          <w:t>Figure 51: Emerging roles in the Australian labour market with online job ad counts in 2022 – Science and engineering</w:t>
        </w:r>
        <w:r w:rsidR="00B528D0">
          <w:rPr>
            <w:noProof/>
            <w:webHidden/>
          </w:rPr>
          <w:tab/>
        </w:r>
        <w:r w:rsidR="00B528D0">
          <w:rPr>
            <w:noProof/>
            <w:webHidden/>
          </w:rPr>
          <w:fldChar w:fldCharType="begin"/>
        </w:r>
        <w:r w:rsidR="00B528D0">
          <w:rPr>
            <w:noProof/>
            <w:webHidden/>
          </w:rPr>
          <w:instrText xml:space="preserve"> PAGEREF _Toc181370353 \h </w:instrText>
        </w:r>
        <w:r w:rsidR="00B528D0">
          <w:rPr>
            <w:noProof/>
            <w:webHidden/>
          </w:rPr>
        </w:r>
        <w:r w:rsidR="00B528D0">
          <w:rPr>
            <w:noProof/>
            <w:webHidden/>
          </w:rPr>
          <w:fldChar w:fldCharType="separate"/>
        </w:r>
        <w:r w:rsidR="00C47A81">
          <w:rPr>
            <w:noProof/>
            <w:webHidden/>
          </w:rPr>
          <w:t>89</w:t>
        </w:r>
        <w:r w:rsidR="00B528D0">
          <w:rPr>
            <w:noProof/>
            <w:webHidden/>
          </w:rPr>
          <w:fldChar w:fldCharType="end"/>
        </w:r>
      </w:hyperlink>
    </w:p>
    <w:p w14:paraId="1273315B" w14:textId="36992864"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54" w:history="1">
        <w:r w:rsidR="00B528D0" w:rsidRPr="00C64A73">
          <w:rPr>
            <w:rStyle w:val="Hyperlink"/>
            <w:noProof/>
          </w:rPr>
          <w:t>Figure 52: Top 10 AI skills-related job titles</w:t>
        </w:r>
        <w:r w:rsidR="00B528D0">
          <w:rPr>
            <w:noProof/>
            <w:webHidden/>
          </w:rPr>
          <w:tab/>
        </w:r>
        <w:r w:rsidR="00B528D0">
          <w:rPr>
            <w:noProof/>
            <w:webHidden/>
          </w:rPr>
          <w:fldChar w:fldCharType="begin"/>
        </w:r>
        <w:r w:rsidR="00B528D0">
          <w:rPr>
            <w:noProof/>
            <w:webHidden/>
          </w:rPr>
          <w:instrText xml:space="preserve"> PAGEREF _Toc181370354 \h </w:instrText>
        </w:r>
        <w:r w:rsidR="00B528D0">
          <w:rPr>
            <w:noProof/>
            <w:webHidden/>
          </w:rPr>
        </w:r>
        <w:r w:rsidR="00B528D0">
          <w:rPr>
            <w:noProof/>
            <w:webHidden/>
          </w:rPr>
          <w:fldChar w:fldCharType="separate"/>
        </w:r>
        <w:r w:rsidR="00C47A81">
          <w:rPr>
            <w:noProof/>
            <w:webHidden/>
          </w:rPr>
          <w:t>90</w:t>
        </w:r>
        <w:r w:rsidR="00B528D0">
          <w:rPr>
            <w:noProof/>
            <w:webHidden/>
          </w:rPr>
          <w:fldChar w:fldCharType="end"/>
        </w:r>
      </w:hyperlink>
    </w:p>
    <w:p w14:paraId="683939F0" w14:textId="5FFE5ACF"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55" w:history="1">
        <w:r w:rsidR="00B528D0" w:rsidRPr="00C64A73">
          <w:rPr>
            <w:rStyle w:val="Hyperlink"/>
            <w:noProof/>
          </w:rPr>
          <w:t>Figure 53: Workforce profile – AI Engineer</w:t>
        </w:r>
        <w:r w:rsidR="00B528D0">
          <w:rPr>
            <w:noProof/>
            <w:webHidden/>
          </w:rPr>
          <w:tab/>
        </w:r>
        <w:r w:rsidR="00B528D0">
          <w:rPr>
            <w:noProof/>
            <w:webHidden/>
          </w:rPr>
          <w:fldChar w:fldCharType="begin"/>
        </w:r>
        <w:r w:rsidR="00B528D0">
          <w:rPr>
            <w:noProof/>
            <w:webHidden/>
          </w:rPr>
          <w:instrText xml:space="preserve"> PAGEREF _Toc181370355 \h </w:instrText>
        </w:r>
        <w:r w:rsidR="00B528D0">
          <w:rPr>
            <w:noProof/>
            <w:webHidden/>
          </w:rPr>
        </w:r>
        <w:r w:rsidR="00B528D0">
          <w:rPr>
            <w:noProof/>
            <w:webHidden/>
          </w:rPr>
          <w:fldChar w:fldCharType="separate"/>
        </w:r>
        <w:r w:rsidR="00C47A81">
          <w:rPr>
            <w:noProof/>
            <w:webHidden/>
          </w:rPr>
          <w:t>91</w:t>
        </w:r>
        <w:r w:rsidR="00B528D0">
          <w:rPr>
            <w:noProof/>
            <w:webHidden/>
          </w:rPr>
          <w:fldChar w:fldCharType="end"/>
        </w:r>
      </w:hyperlink>
    </w:p>
    <w:p w14:paraId="767089C5" w14:textId="49FFC126"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56" w:history="1">
        <w:r w:rsidR="00B528D0" w:rsidRPr="00C64A73">
          <w:rPr>
            <w:rStyle w:val="Hyperlink"/>
            <w:noProof/>
          </w:rPr>
          <w:t>Figure 54: Weekly income – AI Engineer</w:t>
        </w:r>
        <w:r w:rsidR="00B528D0">
          <w:rPr>
            <w:noProof/>
            <w:webHidden/>
          </w:rPr>
          <w:tab/>
        </w:r>
        <w:r w:rsidR="00B528D0">
          <w:rPr>
            <w:noProof/>
            <w:webHidden/>
          </w:rPr>
          <w:fldChar w:fldCharType="begin"/>
        </w:r>
        <w:r w:rsidR="00B528D0">
          <w:rPr>
            <w:noProof/>
            <w:webHidden/>
          </w:rPr>
          <w:instrText xml:space="preserve"> PAGEREF _Toc181370356 \h </w:instrText>
        </w:r>
        <w:r w:rsidR="00B528D0">
          <w:rPr>
            <w:noProof/>
            <w:webHidden/>
          </w:rPr>
        </w:r>
        <w:r w:rsidR="00B528D0">
          <w:rPr>
            <w:noProof/>
            <w:webHidden/>
          </w:rPr>
          <w:fldChar w:fldCharType="separate"/>
        </w:r>
        <w:r w:rsidR="00C47A81">
          <w:rPr>
            <w:noProof/>
            <w:webHidden/>
          </w:rPr>
          <w:t>91</w:t>
        </w:r>
        <w:r w:rsidR="00B528D0">
          <w:rPr>
            <w:noProof/>
            <w:webHidden/>
          </w:rPr>
          <w:fldChar w:fldCharType="end"/>
        </w:r>
      </w:hyperlink>
    </w:p>
    <w:p w14:paraId="566245BF" w14:textId="1DD4FC56"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57" w:history="1">
        <w:r w:rsidR="00B528D0" w:rsidRPr="00C64A73">
          <w:rPr>
            <w:rStyle w:val="Hyperlink"/>
            <w:noProof/>
          </w:rPr>
          <w:t>Figure 55: Highest qualification attainment – AI Engineer</w:t>
        </w:r>
        <w:r w:rsidR="00B528D0">
          <w:rPr>
            <w:noProof/>
            <w:webHidden/>
          </w:rPr>
          <w:tab/>
        </w:r>
        <w:r w:rsidR="00B528D0">
          <w:rPr>
            <w:noProof/>
            <w:webHidden/>
          </w:rPr>
          <w:fldChar w:fldCharType="begin"/>
        </w:r>
        <w:r w:rsidR="00B528D0">
          <w:rPr>
            <w:noProof/>
            <w:webHidden/>
          </w:rPr>
          <w:instrText xml:space="preserve"> PAGEREF _Toc181370357 \h </w:instrText>
        </w:r>
        <w:r w:rsidR="00B528D0">
          <w:rPr>
            <w:noProof/>
            <w:webHidden/>
          </w:rPr>
        </w:r>
        <w:r w:rsidR="00B528D0">
          <w:rPr>
            <w:noProof/>
            <w:webHidden/>
          </w:rPr>
          <w:fldChar w:fldCharType="separate"/>
        </w:r>
        <w:r w:rsidR="00C47A81">
          <w:rPr>
            <w:noProof/>
            <w:webHidden/>
          </w:rPr>
          <w:t>92</w:t>
        </w:r>
        <w:r w:rsidR="00B528D0">
          <w:rPr>
            <w:noProof/>
            <w:webHidden/>
          </w:rPr>
          <w:fldChar w:fldCharType="end"/>
        </w:r>
      </w:hyperlink>
    </w:p>
    <w:p w14:paraId="131AA1E8" w14:textId="71C3930F"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58" w:history="1">
        <w:r w:rsidR="00B528D0" w:rsidRPr="00C64A73">
          <w:rPr>
            <w:rStyle w:val="Hyperlink"/>
            <w:noProof/>
          </w:rPr>
          <w:t>Figure 56: Number of online job ads – AI Engineer</w:t>
        </w:r>
        <w:r w:rsidR="00B528D0">
          <w:rPr>
            <w:noProof/>
            <w:webHidden/>
          </w:rPr>
          <w:tab/>
        </w:r>
        <w:r w:rsidR="00B528D0">
          <w:rPr>
            <w:noProof/>
            <w:webHidden/>
          </w:rPr>
          <w:fldChar w:fldCharType="begin"/>
        </w:r>
        <w:r w:rsidR="00B528D0">
          <w:rPr>
            <w:noProof/>
            <w:webHidden/>
          </w:rPr>
          <w:instrText xml:space="preserve"> PAGEREF _Toc181370358 \h </w:instrText>
        </w:r>
        <w:r w:rsidR="00B528D0">
          <w:rPr>
            <w:noProof/>
            <w:webHidden/>
          </w:rPr>
        </w:r>
        <w:r w:rsidR="00B528D0">
          <w:rPr>
            <w:noProof/>
            <w:webHidden/>
          </w:rPr>
          <w:fldChar w:fldCharType="separate"/>
        </w:r>
        <w:r w:rsidR="00C47A81">
          <w:rPr>
            <w:noProof/>
            <w:webHidden/>
          </w:rPr>
          <w:t>92</w:t>
        </w:r>
        <w:r w:rsidR="00B528D0">
          <w:rPr>
            <w:noProof/>
            <w:webHidden/>
          </w:rPr>
          <w:fldChar w:fldCharType="end"/>
        </w:r>
      </w:hyperlink>
    </w:p>
    <w:p w14:paraId="7FC1FBDF" w14:textId="1583ED67"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59" w:history="1">
        <w:r w:rsidR="00B528D0" w:rsidRPr="00C64A73">
          <w:rPr>
            <w:rStyle w:val="Hyperlink"/>
            <w:noProof/>
          </w:rPr>
          <w:t>Figure 57: Top ten skills required for AI Engineer</w:t>
        </w:r>
        <w:r w:rsidR="00B528D0">
          <w:rPr>
            <w:noProof/>
            <w:webHidden/>
          </w:rPr>
          <w:tab/>
        </w:r>
        <w:r w:rsidR="00B528D0">
          <w:rPr>
            <w:noProof/>
            <w:webHidden/>
          </w:rPr>
          <w:fldChar w:fldCharType="begin"/>
        </w:r>
        <w:r w:rsidR="00B528D0">
          <w:rPr>
            <w:noProof/>
            <w:webHidden/>
          </w:rPr>
          <w:instrText xml:space="preserve"> PAGEREF _Toc181370359 \h </w:instrText>
        </w:r>
        <w:r w:rsidR="00B528D0">
          <w:rPr>
            <w:noProof/>
            <w:webHidden/>
          </w:rPr>
        </w:r>
        <w:r w:rsidR="00B528D0">
          <w:rPr>
            <w:noProof/>
            <w:webHidden/>
          </w:rPr>
          <w:fldChar w:fldCharType="separate"/>
        </w:r>
        <w:r w:rsidR="00C47A81">
          <w:rPr>
            <w:noProof/>
            <w:webHidden/>
          </w:rPr>
          <w:t>93</w:t>
        </w:r>
        <w:r w:rsidR="00B528D0">
          <w:rPr>
            <w:noProof/>
            <w:webHidden/>
          </w:rPr>
          <w:fldChar w:fldCharType="end"/>
        </w:r>
      </w:hyperlink>
    </w:p>
    <w:p w14:paraId="4FE89BDD" w14:textId="3ED953AD"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60" w:history="1">
        <w:r w:rsidR="00B528D0" w:rsidRPr="00C64A73">
          <w:rPr>
            <w:rStyle w:val="Hyperlink"/>
            <w:noProof/>
          </w:rPr>
          <w:t>Figure 58: Our food supply chain workforce</w:t>
        </w:r>
        <w:r w:rsidR="00B528D0">
          <w:rPr>
            <w:noProof/>
            <w:webHidden/>
          </w:rPr>
          <w:tab/>
        </w:r>
        <w:r w:rsidR="00B528D0">
          <w:rPr>
            <w:noProof/>
            <w:webHidden/>
          </w:rPr>
          <w:fldChar w:fldCharType="begin"/>
        </w:r>
        <w:r w:rsidR="00B528D0">
          <w:rPr>
            <w:noProof/>
            <w:webHidden/>
          </w:rPr>
          <w:instrText xml:space="preserve"> PAGEREF _Toc181370360 \h </w:instrText>
        </w:r>
        <w:r w:rsidR="00B528D0">
          <w:rPr>
            <w:noProof/>
            <w:webHidden/>
          </w:rPr>
        </w:r>
        <w:r w:rsidR="00B528D0">
          <w:rPr>
            <w:noProof/>
            <w:webHidden/>
          </w:rPr>
          <w:fldChar w:fldCharType="separate"/>
        </w:r>
        <w:r w:rsidR="00C47A81">
          <w:rPr>
            <w:noProof/>
            <w:webHidden/>
          </w:rPr>
          <w:t>95</w:t>
        </w:r>
        <w:r w:rsidR="00B528D0">
          <w:rPr>
            <w:noProof/>
            <w:webHidden/>
          </w:rPr>
          <w:fldChar w:fldCharType="end"/>
        </w:r>
      </w:hyperlink>
    </w:p>
    <w:p w14:paraId="29B03EE2" w14:textId="6E9EF7B2"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61" w:history="1">
        <w:r w:rsidR="00B528D0" w:rsidRPr="00C64A73">
          <w:rPr>
            <w:rStyle w:val="Hyperlink"/>
            <w:noProof/>
          </w:rPr>
          <w:t>Figure 59: Proportion of VET student completions in food production by provider type in 2022</w:t>
        </w:r>
        <w:r w:rsidR="00B528D0">
          <w:rPr>
            <w:noProof/>
            <w:webHidden/>
          </w:rPr>
          <w:tab/>
        </w:r>
        <w:r w:rsidR="00B528D0">
          <w:rPr>
            <w:noProof/>
            <w:webHidden/>
          </w:rPr>
          <w:fldChar w:fldCharType="begin"/>
        </w:r>
        <w:r w:rsidR="00B528D0">
          <w:rPr>
            <w:noProof/>
            <w:webHidden/>
          </w:rPr>
          <w:instrText xml:space="preserve"> PAGEREF _Toc181370361 \h </w:instrText>
        </w:r>
        <w:r w:rsidR="00B528D0">
          <w:rPr>
            <w:noProof/>
            <w:webHidden/>
          </w:rPr>
        </w:r>
        <w:r w:rsidR="00B528D0">
          <w:rPr>
            <w:noProof/>
            <w:webHidden/>
          </w:rPr>
          <w:fldChar w:fldCharType="separate"/>
        </w:r>
        <w:r w:rsidR="00C47A81">
          <w:rPr>
            <w:noProof/>
            <w:webHidden/>
          </w:rPr>
          <w:t>96</w:t>
        </w:r>
        <w:r w:rsidR="00B528D0">
          <w:rPr>
            <w:noProof/>
            <w:webHidden/>
          </w:rPr>
          <w:fldChar w:fldCharType="end"/>
        </w:r>
      </w:hyperlink>
    </w:p>
    <w:p w14:paraId="69693685" w14:textId="5A9E34BD"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62" w:history="1">
        <w:r w:rsidR="00B528D0" w:rsidRPr="00C64A73">
          <w:rPr>
            <w:rStyle w:val="Hyperlink"/>
            <w:noProof/>
          </w:rPr>
          <w:t>Figure 60: Weekly payroll jobs in select Horticulture industries</w:t>
        </w:r>
        <w:r w:rsidR="00B528D0">
          <w:rPr>
            <w:noProof/>
            <w:webHidden/>
          </w:rPr>
          <w:tab/>
        </w:r>
        <w:r w:rsidR="00B528D0">
          <w:rPr>
            <w:noProof/>
            <w:webHidden/>
          </w:rPr>
          <w:fldChar w:fldCharType="begin"/>
        </w:r>
        <w:r w:rsidR="00B528D0">
          <w:rPr>
            <w:noProof/>
            <w:webHidden/>
          </w:rPr>
          <w:instrText xml:space="preserve"> PAGEREF _Toc181370362 \h </w:instrText>
        </w:r>
        <w:r w:rsidR="00B528D0">
          <w:rPr>
            <w:noProof/>
            <w:webHidden/>
          </w:rPr>
        </w:r>
        <w:r w:rsidR="00B528D0">
          <w:rPr>
            <w:noProof/>
            <w:webHidden/>
          </w:rPr>
          <w:fldChar w:fldCharType="separate"/>
        </w:r>
        <w:r w:rsidR="00C47A81">
          <w:rPr>
            <w:noProof/>
            <w:webHidden/>
          </w:rPr>
          <w:t>97</w:t>
        </w:r>
        <w:r w:rsidR="00B528D0">
          <w:rPr>
            <w:noProof/>
            <w:webHidden/>
          </w:rPr>
          <w:fldChar w:fldCharType="end"/>
        </w:r>
      </w:hyperlink>
    </w:p>
    <w:p w14:paraId="045D8508" w14:textId="5645D881"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63" w:history="1">
        <w:r w:rsidR="00B528D0" w:rsidRPr="00C64A73">
          <w:rPr>
            <w:rStyle w:val="Hyperlink"/>
            <w:noProof/>
          </w:rPr>
          <w:t>Figure 61: Median weekly wages, ECEC and comparative occupations</w:t>
        </w:r>
        <w:r w:rsidR="00B528D0">
          <w:rPr>
            <w:noProof/>
            <w:webHidden/>
          </w:rPr>
          <w:tab/>
        </w:r>
        <w:r w:rsidR="00B528D0">
          <w:rPr>
            <w:noProof/>
            <w:webHidden/>
          </w:rPr>
          <w:fldChar w:fldCharType="begin"/>
        </w:r>
        <w:r w:rsidR="00B528D0">
          <w:rPr>
            <w:noProof/>
            <w:webHidden/>
          </w:rPr>
          <w:instrText xml:space="preserve"> PAGEREF _Toc181370363 \h </w:instrText>
        </w:r>
        <w:r w:rsidR="00B528D0">
          <w:rPr>
            <w:noProof/>
            <w:webHidden/>
          </w:rPr>
        </w:r>
        <w:r w:rsidR="00B528D0">
          <w:rPr>
            <w:noProof/>
            <w:webHidden/>
          </w:rPr>
          <w:fldChar w:fldCharType="separate"/>
        </w:r>
        <w:r w:rsidR="00C47A81">
          <w:rPr>
            <w:noProof/>
            <w:webHidden/>
          </w:rPr>
          <w:t>99</w:t>
        </w:r>
        <w:r w:rsidR="00B528D0">
          <w:rPr>
            <w:noProof/>
            <w:webHidden/>
          </w:rPr>
          <w:fldChar w:fldCharType="end"/>
        </w:r>
      </w:hyperlink>
    </w:p>
    <w:p w14:paraId="12C528ED" w14:textId="33E0FA36"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64" w:history="1">
        <w:r w:rsidR="00B528D0" w:rsidRPr="00C64A73">
          <w:rPr>
            <w:rStyle w:val="Hyperlink"/>
            <w:noProof/>
          </w:rPr>
          <w:t>Figure 62: Nature of workforce shortfalls by component by workforce demand, 2024</w:t>
        </w:r>
        <w:r w:rsidR="00B528D0">
          <w:rPr>
            <w:noProof/>
            <w:webHidden/>
          </w:rPr>
          <w:tab/>
        </w:r>
        <w:r w:rsidR="00B528D0">
          <w:rPr>
            <w:noProof/>
            <w:webHidden/>
          </w:rPr>
          <w:fldChar w:fldCharType="begin"/>
        </w:r>
        <w:r w:rsidR="00B528D0">
          <w:rPr>
            <w:noProof/>
            <w:webHidden/>
          </w:rPr>
          <w:instrText xml:space="preserve"> PAGEREF _Toc181370364 \h </w:instrText>
        </w:r>
        <w:r w:rsidR="00B528D0">
          <w:rPr>
            <w:noProof/>
            <w:webHidden/>
          </w:rPr>
        </w:r>
        <w:r w:rsidR="00B528D0">
          <w:rPr>
            <w:noProof/>
            <w:webHidden/>
          </w:rPr>
          <w:fldChar w:fldCharType="separate"/>
        </w:r>
        <w:r w:rsidR="00C47A81">
          <w:rPr>
            <w:noProof/>
            <w:webHidden/>
          </w:rPr>
          <w:t>100</w:t>
        </w:r>
        <w:r w:rsidR="00B528D0">
          <w:rPr>
            <w:noProof/>
            <w:webHidden/>
          </w:rPr>
          <w:fldChar w:fldCharType="end"/>
        </w:r>
      </w:hyperlink>
    </w:p>
    <w:p w14:paraId="30BFB53C" w14:textId="65660BD1"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65" w:history="1">
        <w:r w:rsidR="00B528D0" w:rsidRPr="00C64A73">
          <w:rPr>
            <w:rStyle w:val="Hyperlink"/>
            <w:noProof/>
          </w:rPr>
          <w:t>Figure 63: Nature of workforce shortfalls by component by projected workforce demand, 2034</w:t>
        </w:r>
        <w:r w:rsidR="00B528D0">
          <w:rPr>
            <w:noProof/>
            <w:webHidden/>
          </w:rPr>
          <w:tab/>
        </w:r>
        <w:r w:rsidR="00B528D0">
          <w:rPr>
            <w:noProof/>
            <w:webHidden/>
          </w:rPr>
          <w:fldChar w:fldCharType="begin"/>
        </w:r>
        <w:r w:rsidR="00B528D0">
          <w:rPr>
            <w:noProof/>
            <w:webHidden/>
          </w:rPr>
          <w:instrText xml:space="preserve"> PAGEREF _Toc181370365 \h </w:instrText>
        </w:r>
        <w:r w:rsidR="00B528D0">
          <w:rPr>
            <w:noProof/>
            <w:webHidden/>
          </w:rPr>
        </w:r>
        <w:r w:rsidR="00B528D0">
          <w:rPr>
            <w:noProof/>
            <w:webHidden/>
          </w:rPr>
          <w:fldChar w:fldCharType="separate"/>
        </w:r>
        <w:r w:rsidR="00C47A81">
          <w:rPr>
            <w:noProof/>
            <w:webHidden/>
          </w:rPr>
          <w:t>101</w:t>
        </w:r>
        <w:r w:rsidR="00B528D0">
          <w:rPr>
            <w:noProof/>
            <w:webHidden/>
          </w:rPr>
          <w:fldChar w:fldCharType="end"/>
        </w:r>
      </w:hyperlink>
    </w:p>
    <w:p w14:paraId="45988DEC" w14:textId="3181EB1E"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66" w:history="1">
        <w:r w:rsidR="00B528D0" w:rsidRPr="00C64A73">
          <w:rPr>
            <w:rStyle w:val="Hyperlink"/>
            <w:noProof/>
          </w:rPr>
          <w:t>Figure 64: Median weekly full-time earnings by highest level of educational attainment August 2023</w:t>
        </w:r>
        <w:r w:rsidR="00B528D0">
          <w:rPr>
            <w:noProof/>
            <w:webHidden/>
          </w:rPr>
          <w:tab/>
        </w:r>
        <w:r w:rsidR="00B528D0">
          <w:rPr>
            <w:noProof/>
            <w:webHidden/>
          </w:rPr>
          <w:fldChar w:fldCharType="begin"/>
        </w:r>
        <w:r w:rsidR="00B528D0">
          <w:rPr>
            <w:noProof/>
            <w:webHidden/>
          </w:rPr>
          <w:instrText xml:space="preserve"> PAGEREF _Toc181370366 \h </w:instrText>
        </w:r>
        <w:r w:rsidR="00B528D0">
          <w:rPr>
            <w:noProof/>
            <w:webHidden/>
          </w:rPr>
        </w:r>
        <w:r w:rsidR="00B528D0">
          <w:rPr>
            <w:noProof/>
            <w:webHidden/>
          </w:rPr>
          <w:fldChar w:fldCharType="separate"/>
        </w:r>
        <w:r w:rsidR="00C47A81">
          <w:rPr>
            <w:noProof/>
            <w:webHidden/>
          </w:rPr>
          <w:t>107</w:t>
        </w:r>
        <w:r w:rsidR="00B528D0">
          <w:rPr>
            <w:noProof/>
            <w:webHidden/>
          </w:rPr>
          <w:fldChar w:fldCharType="end"/>
        </w:r>
      </w:hyperlink>
    </w:p>
    <w:p w14:paraId="08896962" w14:textId="1F65FD99"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67" w:history="1">
        <w:r w:rsidR="00B528D0" w:rsidRPr="00C64A73">
          <w:rPr>
            <w:rStyle w:val="Hyperlink"/>
            <w:noProof/>
          </w:rPr>
          <w:t>Figure 65: Median income after training for those with an apprenticeship pathway and non-apprenticeship pathway, for the top field of education courses (by completions) and at the overall level</w:t>
        </w:r>
        <w:r w:rsidR="00B528D0">
          <w:rPr>
            <w:noProof/>
            <w:webHidden/>
          </w:rPr>
          <w:tab/>
        </w:r>
        <w:r w:rsidR="00B528D0">
          <w:rPr>
            <w:noProof/>
            <w:webHidden/>
          </w:rPr>
          <w:fldChar w:fldCharType="begin"/>
        </w:r>
        <w:r w:rsidR="00B528D0">
          <w:rPr>
            <w:noProof/>
            <w:webHidden/>
          </w:rPr>
          <w:instrText xml:space="preserve"> PAGEREF _Toc181370367 \h </w:instrText>
        </w:r>
        <w:r w:rsidR="00B528D0">
          <w:rPr>
            <w:noProof/>
            <w:webHidden/>
          </w:rPr>
        </w:r>
        <w:r w:rsidR="00B528D0">
          <w:rPr>
            <w:noProof/>
            <w:webHidden/>
          </w:rPr>
          <w:fldChar w:fldCharType="separate"/>
        </w:r>
        <w:r w:rsidR="00C47A81">
          <w:rPr>
            <w:noProof/>
            <w:webHidden/>
          </w:rPr>
          <w:t>116</w:t>
        </w:r>
        <w:r w:rsidR="00B528D0">
          <w:rPr>
            <w:noProof/>
            <w:webHidden/>
          </w:rPr>
          <w:fldChar w:fldCharType="end"/>
        </w:r>
      </w:hyperlink>
    </w:p>
    <w:p w14:paraId="1A9C957E" w14:textId="777B2AD7"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68" w:history="1">
        <w:r w:rsidR="00B528D0" w:rsidRPr="00C64A73">
          <w:rPr>
            <w:rStyle w:val="Hyperlink"/>
            <w:noProof/>
          </w:rPr>
          <w:t>Figure 66: Median income uplift after training for those with an apprenticeship pathway and non-apprenticeship pathway, for the top field of education courses (by completions)</w:t>
        </w:r>
        <w:r w:rsidR="00B528D0">
          <w:rPr>
            <w:noProof/>
            <w:webHidden/>
          </w:rPr>
          <w:tab/>
        </w:r>
        <w:r w:rsidR="00B528D0">
          <w:rPr>
            <w:noProof/>
            <w:webHidden/>
          </w:rPr>
          <w:fldChar w:fldCharType="begin"/>
        </w:r>
        <w:r w:rsidR="00B528D0">
          <w:rPr>
            <w:noProof/>
            <w:webHidden/>
          </w:rPr>
          <w:instrText xml:space="preserve"> PAGEREF _Toc181370368 \h </w:instrText>
        </w:r>
        <w:r w:rsidR="00B528D0">
          <w:rPr>
            <w:noProof/>
            <w:webHidden/>
          </w:rPr>
        </w:r>
        <w:r w:rsidR="00B528D0">
          <w:rPr>
            <w:noProof/>
            <w:webHidden/>
          </w:rPr>
          <w:fldChar w:fldCharType="separate"/>
        </w:r>
        <w:r w:rsidR="00C47A81">
          <w:rPr>
            <w:noProof/>
            <w:webHidden/>
          </w:rPr>
          <w:t>117</w:t>
        </w:r>
        <w:r w:rsidR="00B528D0">
          <w:rPr>
            <w:noProof/>
            <w:webHidden/>
          </w:rPr>
          <w:fldChar w:fldCharType="end"/>
        </w:r>
      </w:hyperlink>
    </w:p>
    <w:p w14:paraId="041FC1CB" w14:textId="4532B2F2"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69" w:history="1">
        <w:r w:rsidR="00B528D0" w:rsidRPr="00C64A73">
          <w:rPr>
            <w:rStyle w:val="Hyperlink"/>
            <w:noProof/>
          </w:rPr>
          <w:t>Figure 67: Median income in the base year and two years after commencing an occupation, for those with an apprenticeship pathway and non-apprenticeship pathway, by ANZSCO Major Group</w:t>
        </w:r>
        <w:r w:rsidR="00B528D0">
          <w:rPr>
            <w:noProof/>
            <w:webHidden/>
          </w:rPr>
          <w:tab/>
        </w:r>
        <w:r w:rsidR="00B528D0">
          <w:rPr>
            <w:noProof/>
            <w:webHidden/>
          </w:rPr>
          <w:fldChar w:fldCharType="begin"/>
        </w:r>
        <w:r w:rsidR="00B528D0">
          <w:rPr>
            <w:noProof/>
            <w:webHidden/>
          </w:rPr>
          <w:instrText xml:space="preserve"> PAGEREF _Toc181370369 \h </w:instrText>
        </w:r>
        <w:r w:rsidR="00B528D0">
          <w:rPr>
            <w:noProof/>
            <w:webHidden/>
          </w:rPr>
        </w:r>
        <w:r w:rsidR="00B528D0">
          <w:rPr>
            <w:noProof/>
            <w:webHidden/>
          </w:rPr>
          <w:fldChar w:fldCharType="separate"/>
        </w:r>
        <w:r w:rsidR="00C47A81">
          <w:rPr>
            <w:noProof/>
            <w:webHidden/>
          </w:rPr>
          <w:t>118</w:t>
        </w:r>
        <w:r w:rsidR="00B528D0">
          <w:rPr>
            <w:noProof/>
            <w:webHidden/>
          </w:rPr>
          <w:fldChar w:fldCharType="end"/>
        </w:r>
      </w:hyperlink>
    </w:p>
    <w:p w14:paraId="515A3301" w14:textId="562DECCB"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70" w:history="1">
        <w:r w:rsidR="00B528D0" w:rsidRPr="00C64A73">
          <w:rPr>
            <w:rStyle w:val="Hyperlink"/>
            <w:noProof/>
          </w:rPr>
          <w:t>Figure 68: Proportion of occupation entrants who are employed three years after entering an occupation, and in a similar occupation after 3 years, by occupation (unit group) and apprentice pathway</w:t>
        </w:r>
        <w:r w:rsidR="00B528D0">
          <w:rPr>
            <w:noProof/>
            <w:webHidden/>
          </w:rPr>
          <w:tab/>
        </w:r>
        <w:r w:rsidR="00B528D0">
          <w:rPr>
            <w:noProof/>
            <w:webHidden/>
          </w:rPr>
          <w:fldChar w:fldCharType="begin"/>
        </w:r>
        <w:r w:rsidR="00B528D0">
          <w:rPr>
            <w:noProof/>
            <w:webHidden/>
          </w:rPr>
          <w:instrText xml:space="preserve"> PAGEREF _Toc181370370 \h </w:instrText>
        </w:r>
        <w:r w:rsidR="00B528D0">
          <w:rPr>
            <w:noProof/>
            <w:webHidden/>
          </w:rPr>
        </w:r>
        <w:r w:rsidR="00B528D0">
          <w:rPr>
            <w:noProof/>
            <w:webHidden/>
          </w:rPr>
          <w:fldChar w:fldCharType="separate"/>
        </w:r>
        <w:r w:rsidR="00C47A81">
          <w:rPr>
            <w:noProof/>
            <w:webHidden/>
          </w:rPr>
          <w:t>119</w:t>
        </w:r>
        <w:r w:rsidR="00B528D0">
          <w:rPr>
            <w:noProof/>
            <w:webHidden/>
          </w:rPr>
          <w:fldChar w:fldCharType="end"/>
        </w:r>
      </w:hyperlink>
    </w:p>
    <w:p w14:paraId="0C63984A" w14:textId="0D383416"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71" w:history="1">
        <w:r w:rsidR="00B528D0" w:rsidRPr="00C64A73">
          <w:rPr>
            <w:rStyle w:val="Hyperlink"/>
            <w:noProof/>
          </w:rPr>
          <w:t>Figure 69: JSA VET workforce taxonomy</w:t>
        </w:r>
        <w:r w:rsidR="00B528D0">
          <w:rPr>
            <w:noProof/>
            <w:webHidden/>
          </w:rPr>
          <w:tab/>
        </w:r>
        <w:r w:rsidR="00B528D0">
          <w:rPr>
            <w:noProof/>
            <w:webHidden/>
          </w:rPr>
          <w:fldChar w:fldCharType="begin"/>
        </w:r>
        <w:r w:rsidR="00B528D0">
          <w:rPr>
            <w:noProof/>
            <w:webHidden/>
          </w:rPr>
          <w:instrText xml:space="preserve"> PAGEREF _Toc181370371 \h </w:instrText>
        </w:r>
        <w:r w:rsidR="00B528D0">
          <w:rPr>
            <w:noProof/>
            <w:webHidden/>
          </w:rPr>
        </w:r>
        <w:r w:rsidR="00B528D0">
          <w:rPr>
            <w:noProof/>
            <w:webHidden/>
          </w:rPr>
          <w:fldChar w:fldCharType="separate"/>
        </w:r>
        <w:r w:rsidR="00C47A81">
          <w:rPr>
            <w:noProof/>
            <w:webHidden/>
          </w:rPr>
          <w:t>121</w:t>
        </w:r>
        <w:r w:rsidR="00B528D0">
          <w:rPr>
            <w:noProof/>
            <w:webHidden/>
          </w:rPr>
          <w:fldChar w:fldCharType="end"/>
        </w:r>
      </w:hyperlink>
    </w:p>
    <w:p w14:paraId="63D60A13" w14:textId="7E0D8494"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72" w:history="1">
        <w:r w:rsidR="00B528D0" w:rsidRPr="00C64A73">
          <w:rPr>
            <w:rStyle w:val="Hyperlink"/>
            <w:noProof/>
          </w:rPr>
          <w:t>Figure 70: Role of DEWR, JSA and the JSCs</w:t>
        </w:r>
        <w:r w:rsidR="00B528D0">
          <w:rPr>
            <w:noProof/>
            <w:webHidden/>
          </w:rPr>
          <w:tab/>
        </w:r>
        <w:r w:rsidR="00B528D0">
          <w:rPr>
            <w:noProof/>
            <w:webHidden/>
          </w:rPr>
          <w:fldChar w:fldCharType="begin"/>
        </w:r>
        <w:r w:rsidR="00B528D0">
          <w:rPr>
            <w:noProof/>
            <w:webHidden/>
          </w:rPr>
          <w:instrText xml:space="preserve"> PAGEREF _Toc181370372 \h </w:instrText>
        </w:r>
        <w:r w:rsidR="00B528D0">
          <w:rPr>
            <w:noProof/>
            <w:webHidden/>
          </w:rPr>
        </w:r>
        <w:r w:rsidR="00B528D0">
          <w:rPr>
            <w:noProof/>
            <w:webHidden/>
          </w:rPr>
          <w:fldChar w:fldCharType="separate"/>
        </w:r>
        <w:r w:rsidR="00C47A81">
          <w:rPr>
            <w:noProof/>
            <w:webHidden/>
          </w:rPr>
          <w:t>128</w:t>
        </w:r>
        <w:r w:rsidR="00B528D0">
          <w:rPr>
            <w:noProof/>
            <w:webHidden/>
          </w:rPr>
          <w:fldChar w:fldCharType="end"/>
        </w:r>
      </w:hyperlink>
    </w:p>
    <w:p w14:paraId="254D67C6" w14:textId="1CD22EC6"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73" w:history="1">
        <w:r w:rsidR="00B528D0" w:rsidRPr="00C64A73">
          <w:rPr>
            <w:rStyle w:val="Hyperlink"/>
            <w:noProof/>
          </w:rPr>
          <w:t>Figure 71: JSC workforce planning</w:t>
        </w:r>
        <w:r w:rsidR="00B528D0">
          <w:rPr>
            <w:noProof/>
            <w:webHidden/>
          </w:rPr>
          <w:tab/>
        </w:r>
        <w:r w:rsidR="00B528D0">
          <w:rPr>
            <w:noProof/>
            <w:webHidden/>
          </w:rPr>
          <w:fldChar w:fldCharType="begin"/>
        </w:r>
        <w:r w:rsidR="00B528D0">
          <w:rPr>
            <w:noProof/>
            <w:webHidden/>
          </w:rPr>
          <w:instrText xml:space="preserve"> PAGEREF _Toc181370373 \h </w:instrText>
        </w:r>
        <w:r w:rsidR="00B528D0">
          <w:rPr>
            <w:noProof/>
            <w:webHidden/>
          </w:rPr>
        </w:r>
        <w:r w:rsidR="00B528D0">
          <w:rPr>
            <w:noProof/>
            <w:webHidden/>
          </w:rPr>
          <w:fldChar w:fldCharType="separate"/>
        </w:r>
        <w:r w:rsidR="00C47A81">
          <w:rPr>
            <w:noProof/>
            <w:webHidden/>
          </w:rPr>
          <w:t>129</w:t>
        </w:r>
        <w:r w:rsidR="00B528D0">
          <w:rPr>
            <w:noProof/>
            <w:webHidden/>
          </w:rPr>
          <w:fldChar w:fldCharType="end"/>
        </w:r>
      </w:hyperlink>
    </w:p>
    <w:p w14:paraId="2592EDD9" w14:textId="657F86F5"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74" w:history="1">
        <w:r w:rsidR="00B528D0" w:rsidRPr="00C64A73">
          <w:rPr>
            <w:rStyle w:val="Hyperlink"/>
            <w:noProof/>
          </w:rPr>
          <w:t>Figure 72: Our engagement principles</w:t>
        </w:r>
        <w:r w:rsidR="00B528D0">
          <w:rPr>
            <w:noProof/>
            <w:webHidden/>
          </w:rPr>
          <w:tab/>
        </w:r>
        <w:r w:rsidR="00B528D0">
          <w:rPr>
            <w:noProof/>
            <w:webHidden/>
          </w:rPr>
          <w:fldChar w:fldCharType="begin"/>
        </w:r>
        <w:r w:rsidR="00B528D0">
          <w:rPr>
            <w:noProof/>
            <w:webHidden/>
          </w:rPr>
          <w:instrText xml:space="preserve"> PAGEREF _Toc181370374 \h </w:instrText>
        </w:r>
        <w:r w:rsidR="00B528D0">
          <w:rPr>
            <w:noProof/>
            <w:webHidden/>
          </w:rPr>
        </w:r>
        <w:r w:rsidR="00B528D0">
          <w:rPr>
            <w:noProof/>
            <w:webHidden/>
          </w:rPr>
          <w:fldChar w:fldCharType="separate"/>
        </w:r>
        <w:r w:rsidR="00C47A81">
          <w:rPr>
            <w:noProof/>
            <w:webHidden/>
          </w:rPr>
          <w:t>131</w:t>
        </w:r>
        <w:r w:rsidR="00B528D0">
          <w:rPr>
            <w:noProof/>
            <w:webHidden/>
          </w:rPr>
          <w:fldChar w:fldCharType="end"/>
        </w:r>
      </w:hyperlink>
    </w:p>
    <w:p w14:paraId="10BB6C49" w14:textId="29910B26"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75" w:history="1">
        <w:r w:rsidR="00B528D0" w:rsidRPr="00C64A73">
          <w:rPr>
            <w:rStyle w:val="Hyperlink"/>
            <w:noProof/>
          </w:rPr>
          <w:t>Figure 73: Key consultation figures</w:t>
        </w:r>
        <w:r w:rsidR="00B528D0">
          <w:rPr>
            <w:noProof/>
            <w:webHidden/>
          </w:rPr>
          <w:tab/>
        </w:r>
        <w:r w:rsidR="00B528D0">
          <w:rPr>
            <w:noProof/>
            <w:webHidden/>
          </w:rPr>
          <w:fldChar w:fldCharType="begin"/>
        </w:r>
        <w:r w:rsidR="00B528D0">
          <w:rPr>
            <w:noProof/>
            <w:webHidden/>
          </w:rPr>
          <w:instrText xml:space="preserve"> PAGEREF _Toc181370375 \h </w:instrText>
        </w:r>
        <w:r w:rsidR="00B528D0">
          <w:rPr>
            <w:noProof/>
            <w:webHidden/>
          </w:rPr>
        </w:r>
        <w:r w:rsidR="00B528D0">
          <w:rPr>
            <w:noProof/>
            <w:webHidden/>
          </w:rPr>
          <w:fldChar w:fldCharType="separate"/>
        </w:r>
        <w:r w:rsidR="00C47A81">
          <w:rPr>
            <w:noProof/>
            <w:webHidden/>
          </w:rPr>
          <w:t>132</w:t>
        </w:r>
        <w:r w:rsidR="00B528D0">
          <w:rPr>
            <w:noProof/>
            <w:webHidden/>
          </w:rPr>
          <w:fldChar w:fldCharType="end"/>
        </w:r>
      </w:hyperlink>
    </w:p>
    <w:p w14:paraId="0135E6D1" w14:textId="1DB2D70E"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76" w:history="1">
        <w:r w:rsidR="00B528D0" w:rsidRPr="00C64A73">
          <w:rPr>
            <w:rStyle w:val="Hyperlink"/>
            <w:noProof/>
          </w:rPr>
          <w:t>Figure 74: Clean Energy Capacity Study impacts</w:t>
        </w:r>
        <w:r w:rsidR="00B528D0">
          <w:rPr>
            <w:noProof/>
            <w:webHidden/>
          </w:rPr>
          <w:tab/>
        </w:r>
        <w:r w:rsidR="00B528D0">
          <w:rPr>
            <w:noProof/>
            <w:webHidden/>
          </w:rPr>
          <w:fldChar w:fldCharType="begin"/>
        </w:r>
        <w:r w:rsidR="00B528D0">
          <w:rPr>
            <w:noProof/>
            <w:webHidden/>
          </w:rPr>
          <w:instrText xml:space="preserve"> PAGEREF _Toc181370376 \h </w:instrText>
        </w:r>
        <w:r w:rsidR="00B528D0">
          <w:rPr>
            <w:noProof/>
            <w:webHidden/>
          </w:rPr>
        </w:r>
        <w:r w:rsidR="00B528D0">
          <w:rPr>
            <w:noProof/>
            <w:webHidden/>
          </w:rPr>
          <w:fldChar w:fldCharType="separate"/>
        </w:r>
        <w:r w:rsidR="00C47A81">
          <w:rPr>
            <w:noProof/>
            <w:webHidden/>
          </w:rPr>
          <w:t>135</w:t>
        </w:r>
        <w:r w:rsidR="00B528D0">
          <w:rPr>
            <w:noProof/>
            <w:webHidden/>
          </w:rPr>
          <w:fldChar w:fldCharType="end"/>
        </w:r>
      </w:hyperlink>
    </w:p>
    <w:p w14:paraId="0BE49F8B" w14:textId="69B5FA05"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77" w:history="1">
        <w:r w:rsidR="00B528D0" w:rsidRPr="00C64A73">
          <w:rPr>
            <w:rStyle w:val="Hyperlink"/>
            <w:noProof/>
          </w:rPr>
          <w:t>Figure 75: Jobs and Skills Australia reach and engagement</w:t>
        </w:r>
        <w:r w:rsidR="00B528D0">
          <w:rPr>
            <w:noProof/>
            <w:webHidden/>
          </w:rPr>
          <w:tab/>
        </w:r>
        <w:r w:rsidR="00B528D0">
          <w:rPr>
            <w:noProof/>
            <w:webHidden/>
          </w:rPr>
          <w:fldChar w:fldCharType="begin"/>
        </w:r>
        <w:r w:rsidR="00B528D0">
          <w:rPr>
            <w:noProof/>
            <w:webHidden/>
          </w:rPr>
          <w:instrText xml:space="preserve"> PAGEREF _Toc181370377 \h </w:instrText>
        </w:r>
        <w:r w:rsidR="00B528D0">
          <w:rPr>
            <w:noProof/>
            <w:webHidden/>
          </w:rPr>
        </w:r>
        <w:r w:rsidR="00B528D0">
          <w:rPr>
            <w:noProof/>
            <w:webHidden/>
          </w:rPr>
          <w:fldChar w:fldCharType="separate"/>
        </w:r>
        <w:r w:rsidR="00C47A81">
          <w:rPr>
            <w:noProof/>
            <w:webHidden/>
          </w:rPr>
          <w:t>136</w:t>
        </w:r>
        <w:r w:rsidR="00B528D0">
          <w:rPr>
            <w:noProof/>
            <w:webHidden/>
          </w:rPr>
          <w:fldChar w:fldCharType="end"/>
        </w:r>
      </w:hyperlink>
    </w:p>
    <w:p w14:paraId="5CC95324" w14:textId="552E4775"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78" w:history="1">
        <w:r w:rsidR="00B528D0" w:rsidRPr="00C64A73">
          <w:rPr>
            <w:rStyle w:val="Hyperlink"/>
            <w:noProof/>
          </w:rPr>
          <w:t>Figure 76: Percentage of users access to IVI via mobile device</w:t>
        </w:r>
        <w:r w:rsidR="00B528D0">
          <w:rPr>
            <w:noProof/>
            <w:webHidden/>
          </w:rPr>
          <w:tab/>
        </w:r>
        <w:r w:rsidR="00B528D0">
          <w:rPr>
            <w:noProof/>
            <w:webHidden/>
          </w:rPr>
          <w:fldChar w:fldCharType="begin"/>
        </w:r>
        <w:r w:rsidR="00B528D0">
          <w:rPr>
            <w:noProof/>
            <w:webHidden/>
          </w:rPr>
          <w:instrText xml:space="preserve"> PAGEREF _Toc181370378 \h </w:instrText>
        </w:r>
        <w:r w:rsidR="00B528D0">
          <w:rPr>
            <w:noProof/>
            <w:webHidden/>
          </w:rPr>
        </w:r>
        <w:r w:rsidR="00B528D0">
          <w:rPr>
            <w:noProof/>
            <w:webHidden/>
          </w:rPr>
          <w:fldChar w:fldCharType="separate"/>
        </w:r>
        <w:r w:rsidR="00C47A81">
          <w:rPr>
            <w:noProof/>
            <w:webHidden/>
          </w:rPr>
          <w:t>137</w:t>
        </w:r>
        <w:r w:rsidR="00B528D0">
          <w:rPr>
            <w:noProof/>
            <w:webHidden/>
          </w:rPr>
          <w:fldChar w:fldCharType="end"/>
        </w:r>
      </w:hyperlink>
    </w:p>
    <w:p w14:paraId="32876189" w14:textId="7F6178C1" w:rsidR="00B528D0" w:rsidRDefault="00834566">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181370379" w:history="1">
        <w:r w:rsidR="00B528D0" w:rsidRPr="00C64A73">
          <w:rPr>
            <w:rStyle w:val="Hyperlink"/>
            <w:noProof/>
          </w:rPr>
          <w:t>Figure 77: Jobs and Skills Atlas Interface</w:t>
        </w:r>
        <w:r w:rsidR="00B528D0">
          <w:rPr>
            <w:noProof/>
            <w:webHidden/>
          </w:rPr>
          <w:tab/>
        </w:r>
        <w:r w:rsidR="00B528D0">
          <w:rPr>
            <w:noProof/>
            <w:webHidden/>
          </w:rPr>
          <w:fldChar w:fldCharType="begin"/>
        </w:r>
        <w:r w:rsidR="00B528D0">
          <w:rPr>
            <w:noProof/>
            <w:webHidden/>
          </w:rPr>
          <w:instrText xml:space="preserve"> PAGEREF _Toc181370379 \h </w:instrText>
        </w:r>
        <w:r w:rsidR="00B528D0">
          <w:rPr>
            <w:noProof/>
            <w:webHidden/>
          </w:rPr>
        </w:r>
        <w:r w:rsidR="00B528D0">
          <w:rPr>
            <w:noProof/>
            <w:webHidden/>
          </w:rPr>
          <w:fldChar w:fldCharType="separate"/>
        </w:r>
        <w:r w:rsidR="00C47A81">
          <w:rPr>
            <w:noProof/>
            <w:webHidden/>
          </w:rPr>
          <w:t>138</w:t>
        </w:r>
        <w:r w:rsidR="00B528D0">
          <w:rPr>
            <w:noProof/>
            <w:webHidden/>
          </w:rPr>
          <w:fldChar w:fldCharType="end"/>
        </w:r>
      </w:hyperlink>
    </w:p>
    <w:p w14:paraId="7F0CEEFB" w14:textId="0EB591A6" w:rsidR="00100010" w:rsidRDefault="00100010">
      <w:pPr>
        <w:spacing w:after="160" w:line="259" w:lineRule="auto"/>
        <w:rPr>
          <w:rFonts w:eastAsiaTheme="majorEastAsia" w:cstheme="majorBidi"/>
          <w:b/>
          <w:color w:val="4B0885" w:themeColor="text2"/>
          <w:sz w:val="56"/>
          <w:szCs w:val="32"/>
        </w:rPr>
      </w:pPr>
      <w:r>
        <w:rPr>
          <w:rFonts w:eastAsiaTheme="majorEastAsia" w:cstheme="majorBidi"/>
          <w:b/>
          <w:color w:val="4B0885" w:themeColor="text2"/>
          <w:sz w:val="56"/>
          <w:szCs w:val="32"/>
        </w:rPr>
        <w:fldChar w:fldCharType="end"/>
      </w:r>
    </w:p>
    <w:sectPr w:rsidR="00100010" w:rsidSect="00934658">
      <w:pgSz w:w="11906" w:h="16838" w:code="9"/>
      <w:pgMar w:top="1276"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955CBA" w14:textId="77777777" w:rsidR="00842975" w:rsidRDefault="00842975" w:rsidP="008C0056">
      <w:r>
        <w:separator/>
      </w:r>
    </w:p>
  </w:endnote>
  <w:endnote w:type="continuationSeparator" w:id="0">
    <w:p w14:paraId="700B1BC8" w14:textId="77777777" w:rsidR="00842975" w:rsidRDefault="00842975" w:rsidP="008C0056">
      <w:r>
        <w:continuationSeparator/>
      </w:r>
    </w:p>
  </w:endnote>
  <w:endnote w:type="continuationNotice" w:id="1">
    <w:p w14:paraId="2B8BD14F" w14:textId="77777777" w:rsidR="00842975" w:rsidRDefault="00842975" w:rsidP="008C00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3982445"/>
      <w:docPartObj>
        <w:docPartGallery w:val="Page Numbers (Bottom of Page)"/>
        <w:docPartUnique/>
      </w:docPartObj>
    </w:sdtPr>
    <w:sdtEndPr>
      <w:rPr>
        <w:noProof/>
      </w:rPr>
    </w:sdtEndPr>
    <w:sdtContent>
      <w:p w14:paraId="65E934FD" w14:textId="4BD297A0" w:rsidR="00F50DAF" w:rsidRDefault="00CB060C">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409202"/>
      <w:docPartObj>
        <w:docPartGallery w:val="Page Numbers (Bottom of Page)"/>
        <w:docPartUnique/>
      </w:docPartObj>
    </w:sdtPr>
    <w:sdtEndPr>
      <w:rPr>
        <w:noProof/>
      </w:rPr>
    </w:sdtEndPr>
    <w:sdtContent>
      <w:p w14:paraId="73DC1FAF" w14:textId="4E50D9D6" w:rsidR="009D6A0C" w:rsidRDefault="009D6A0C">
        <w:pPr>
          <w:pStyle w:val="Footer"/>
        </w:pPr>
        <w:r>
          <w:fldChar w:fldCharType="begin"/>
        </w:r>
        <w:r>
          <w:instrText xml:space="preserve"> PAGE   \* MERGEFORMAT </w:instrText>
        </w:r>
        <w:r>
          <w:fldChar w:fldCharType="separate"/>
        </w:r>
        <w:r>
          <w:rPr>
            <w:noProof/>
          </w:rPr>
          <w:t>2</w:t>
        </w:r>
        <w:r>
          <w:rPr>
            <w:noProof/>
          </w:rPr>
          <w:fldChar w:fldCharType="end"/>
        </w:r>
        <w:r>
          <w:rPr>
            <w:noProof/>
          </w:rPr>
          <w:t xml:space="preserve"> | </w:t>
        </w:r>
        <w:r>
          <w:rPr>
            <w:noProof/>
          </w:rPr>
          <w:fldChar w:fldCharType="begin"/>
        </w:r>
        <w:r>
          <w:rPr>
            <w:noProof/>
          </w:rPr>
          <w:instrText xml:space="preserve"> STYLEREF  "Heading 1"  \* MERGEFORMAT </w:instrText>
        </w:r>
        <w:r>
          <w:rPr>
            <w:noProof/>
          </w:rPr>
          <w:fldChar w:fldCharType="separate"/>
        </w:r>
        <w:r w:rsidR="00834566">
          <w:rPr>
            <w:noProof/>
          </w:rPr>
          <w:t>Chapter 1: Fostering inclusive participation</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79950157"/>
      <w:docPartObj>
        <w:docPartGallery w:val="Page Numbers (Bottom of Page)"/>
        <w:docPartUnique/>
      </w:docPartObj>
    </w:sdtPr>
    <w:sdtEndPr>
      <w:rPr>
        <w:noProof/>
      </w:rPr>
    </w:sdtEndPr>
    <w:sdtContent>
      <w:p w14:paraId="3C02DEE6" w14:textId="6D12F7F2" w:rsidR="009D6A0C" w:rsidRDefault="00834566" w:rsidP="00C140F5">
        <w:pPr>
          <w:pStyle w:val="Footer"/>
          <w:jc w:val="right"/>
        </w:pPr>
        <w:r>
          <w:fldChar w:fldCharType="begin"/>
        </w:r>
        <w:r>
          <w:instrText xml:space="preserve"> SUBJECT   \* MERGEFORMAT </w:instrText>
        </w:r>
        <w:r>
          <w:fldChar w:fldCharType="separate"/>
        </w:r>
        <w:r w:rsidR="00C47A81">
          <w:t>The Jobs and Skills Report 2024</w:t>
        </w:r>
        <w:r>
          <w:fldChar w:fldCharType="end"/>
        </w:r>
        <w:r w:rsidR="009D6A0C">
          <w:t xml:space="preserve"> | </w:t>
        </w:r>
        <w:r w:rsidR="009D6A0C">
          <w:fldChar w:fldCharType="begin"/>
        </w:r>
        <w:r w:rsidR="009D6A0C">
          <w:instrText xml:space="preserve"> PAGE   \* MERGEFORMAT </w:instrText>
        </w:r>
        <w:r w:rsidR="009D6A0C">
          <w:fldChar w:fldCharType="separate"/>
        </w:r>
        <w:r w:rsidR="009D6A0C">
          <w:rPr>
            <w:noProof/>
          </w:rPr>
          <w:t>2</w:t>
        </w:r>
        <w:r w:rsidR="009D6A0C">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0873864"/>
      <w:docPartObj>
        <w:docPartGallery w:val="Page Numbers (Bottom of Page)"/>
        <w:docPartUnique/>
      </w:docPartObj>
    </w:sdtPr>
    <w:sdtEndPr>
      <w:rPr>
        <w:noProof/>
      </w:rPr>
    </w:sdtEndPr>
    <w:sdtContent>
      <w:p w14:paraId="30AC7217" w14:textId="0294A7A6" w:rsidR="00A06692" w:rsidRDefault="00FF7743">
        <w:pPr>
          <w:pStyle w:val="Footer"/>
        </w:pPr>
        <w:r>
          <w:fldChar w:fldCharType="begin"/>
        </w:r>
        <w:r>
          <w:instrText xml:space="preserve"> PAGE   \* MERGEFORMAT </w:instrText>
        </w:r>
        <w:r>
          <w:fldChar w:fldCharType="separate"/>
        </w:r>
        <w:r>
          <w:t>46</w:t>
        </w:r>
        <w:r>
          <w:rPr>
            <w:noProof/>
          </w:rPr>
          <w:fldChar w:fldCharType="end"/>
        </w:r>
        <w:r>
          <w:rPr>
            <w:noProof/>
          </w:rPr>
          <w:t xml:space="preserve"> | </w:t>
        </w:r>
        <w:r>
          <w:rPr>
            <w:noProof/>
          </w:rPr>
          <w:fldChar w:fldCharType="begin"/>
        </w:r>
        <w:r>
          <w:rPr>
            <w:noProof/>
          </w:rPr>
          <w:instrText xml:space="preserve"> STYLEREF  "Heading 1"  \* MERGEFORMAT </w:instrText>
        </w:r>
        <w:r>
          <w:rPr>
            <w:noProof/>
          </w:rPr>
          <w:fldChar w:fldCharType="separate"/>
        </w:r>
        <w:r w:rsidR="00834566">
          <w:rPr>
            <w:noProof/>
          </w:rPr>
          <w:t>Chapter 2: Understanding today’s workforce</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510328"/>
      <w:docPartObj>
        <w:docPartGallery w:val="Page Numbers (Bottom of Page)"/>
        <w:docPartUnique/>
      </w:docPartObj>
    </w:sdtPr>
    <w:sdtEndPr>
      <w:rPr>
        <w:noProof/>
      </w:rPr>
    </w:sdtEndPr>
    <w:sdtContent>
      <w:p w14:paraId="7A020657" w14:textId="7B5FBA8F" w:rsidR="00A06692" w:rsidRDefault="00834566" w:rsidP="00C140F5">
        <w:pPr>
          <w:pStyle w:val="Footer"/>
          <w:jc w:val="right"/>
        </w:pPr>
        <w:r>
          <w:fldChar w:fldCharType="begin"/>
        </w:r>
        <w:r>
          <w:instrText xml:space="preserve"> SUBJECT   \* MERGEFORMAT </w:instrText>
        </w:r>
        <w:r>
          <w:fldChar w:fldCharType="separate"/>
        </w:r>
        <w:r w:rsidR="00C47A81">
          <w:t>The Jobs and Skills Report 2024</w:t>
        </w:r>
        <w:r>
          <w:fldChar w:fldCharType="end"/>
        </w:r>
        <w:r w:rsidR="00A06692">
          <w:t xml:space="preserve"> | </w:t>
        </w:r>
        <w:r w:rsidR="00A06692">
          <w:fldChar w:fldCharType="begin"/>
        </w:r>
        <w:r w:rsidR="00A06692">
          <w:instrText xml:space="preserve"> PAGE   \* MERGEFORMAT </w:instrText>
        </w:r>
        <w:r w:rsidR="00A06692">
          <w:fldChar w:fldCharType="separate"/>
        </w:r>
        <w:r w:rsidR="00A06692">
          <w:rPr>
            <w:noProof/>
          </w:rPr>
          <w:t>2</w:t>
        </w:r>
        <w:r w:rsidR="00A06692">
          <w:rPr>
            <w:noProof/>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76AB269" w14:paraId="3F5213CB" w14:textId="77777777" w:rsidTr="576AB269">
      <w:trPr>
        <w:trHeight w:val="300"/>
      </w:trPr>
      <w:tc>
        <w:tcPr>
          <w:tcW w:w="3005" w:type="dxa"/>
        </w:tcPr>
        <w:p w14:paraId="2C9F4CE5" w14:textId="62444DE3" w:rsidR="576AB269" w:rsidRDefault="576AB269" w:rsidP="576AB269">
          <w:pPr>
            <w:pStyle w:val="Header"/>
            <w:ind w:left="-115"/>
          </w:pPr>
        </w:p>
      </w:tc>
      <w:tc>
        <w:tcPr>
          <w:tcW w:w="3005" w:type="dxa"/>
        </w:tcPr>
        <w:p w14:paraId="1A847802" w14:textId="6513400F" w:rsidR="576AB269" w:rsidRDefault="576AB269" w:rsidP="576AB269">
          <w:pPr>
            <w:pStyle w:val="Header"/>
            <w:jc w:val="center"/>
          </w:pPr>
        </w:p>
      </w:tc>
      <w:tc>
        <w:tcPr>
          <w:tcW w:w="3005" w:type="dxa"/>
        </w:tcPr>
        <w:p w14:paraId="270D7629" w14:textId="6637942F" w:rsidR="576AB269" w:rsidRDefault="576AB269" w:rsidP="576AB269">
          <w:pPr>
            <w:pStyle w:val="Header"/>
            <w:ind w:right="-115"/>
            <w:jc w:val="right"/>
          </w:pPr>
        </w:p>
      </w:tc>
    </w:tr>
  </w:tbl>
  <w:p w14:paraId="111650F1" w14:textId="3D663947" w:rsidR="576AB269" w:rsidRDefault="576AB269" w:rsidP="576AB269">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50233" w14:textId="4ACC8185" w:rsidR="00A06692" w:rsidRDefault="00A0669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7726623"/>
      <w:docPartObj>
        <w:docPartGallery w:val="Page Numbers (Bottom of Page)"/>
        <w:docPartUnique/>
      </w:docPartObj>
    </w:sdtPr>
    <w:sdtEndPr>
      <w:rPr>
        <w:noProof/>
      </w:rPr>
    </w:sdtEndPr>
    <w:sdtContent>
      <w:p w14:paraId="4A2BD341" w14:textId="08D48FD9" w:rsidR="00A06692" w:rsidRDefault="00834566" w:rsidP="00C140F5">
        <w:pPr>
          <w:pStyle w:val="Footer"/>
          <w:jc w:val="right"/>
        </w:pPr>
        <w:r>
          <w:fldChar w:fldCharType="begin"/>
        </w:r>
        <w:r>
          <w:instrText xml:space="preserve"> SUBJECT   \* MERGEFORMAT </w:instrText>
        </w:r>
        <w:r>
          <w:fldChar w:fldCharType="separate"/>
        </w:r>
        <w:r w:rsidR="00C47A81">
          <w:t>The Jobs and Skills Report 2024</w:t>
        </w:r>
        <w:r>
          <w:fldChar w:fldCharType="end"/>
        </w:r>
        <w:r w:rsidR="00A06692">
          <w:t xml:space="preserve"> | </w:t>
        </w:r>
        <w:r w:rsidR="00A06692">
          <w:fldChar w:fldCharType="begin"/>
        </w:r>
        <w:r w:rsidR="00A06692">
          <w:instrText xml:space="preserve"> PAGE   \* MERGEFORMAT </w:instrText>
        </w:r>
        <w:r w:rsidR="00A06692">
          <w:fldChar w:fldCharType="separate"/>
        </w:r>
        <w:r w:rsidR="00A06692">
          <w:rPr>
            <w:noProof/>
          </w:rPr>
          <w:t>2</w:t>
        </w:r>
        <w:r w:rsidR="00A06692">
          <w:rPr>
            <w:noProof/>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3764097"/>
      <w:docPartObj>
        <w:docPartGallery w:val="Page Numbers (Bottom of Page)"/>
        <w:docPartUnique/>
      </w:docPartObj>
    </w:sdtPr>
    <w:sdtEndPr>
      <w:rPr>
        <w:noProof/>
      </w:rPr>
    </w:sdtEndPr>
    <w:sdtContent>
      <w:p w14:paraId="2B1FC3E6" w14:textId="12C2FD62" w:rsidR="00A06692" w:rsidRDefault="00A06692">
        <w:pPr>
          <w:pStyle w:val="Footer"/>
        </w:pPr>
        <w:r>
          <w:fldChar w:fldCharType="begin"/>
        </w:r>
        <w:r>
          <w:instrText xml:space="preserve"> PAGE   \* MERGEFORMAT </w:instrText>
        </w:r>
        <w:r>
          <w:fldChar w:fldCharType="separate"/>
        </w:r>
        <w:r>
          <w:rPr>
            <w:noProof/>
          </w:rPr>
          <w:t>2</w:t>
        </w:r>
        <w:r>
          <w:rPr>
            <w:noProof/>
          </w:rPr>
          <w:fldChar w:fldCharType="end"/>
        </w:r>
        <w:r>
          <w:rPr>
            <w:noProof/>
          </w:rPr>
          <w:t xml:space="preserve"> | </w:t>
        </w:r>
        <w:r>
          <w:rPr>
            <w:noProof/>
          </w:rPr>
          <w:fldChar w:fldCharType="begin"/>
        </w:r>
        <w:r>
          <w:rPr>
            <w:noProof/>
          </w:rPr>
          <w:instrText xml:space="preserve"> STYLEREF  "Heading 1"  \* MERGEFORMAT </w:instrText>
        </w:r>
        <w:r>
          <w:rPr>
            <w:noProof/>
          </w:rPr>
          <w:fldChar w:fldCharType="separate"/>
        </w:r>
        <w:r w:rsidR="00834566">
          <w:rPr>
            <w:noProof/>
          </w:rPr>
          <w:t>Chapter 3: Shaping Australia’s future workforce</w:t>
        </w:r>
        <w:r>
          <w:rPr>
            <w:noProof/>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0957729"/>
      <w:docPartObj>
        <w:docPartGallery w:val="Page Numbers (Bottom of Page)"/>
        <w:docPartUnique/>
      </w:docPartObj>
    </w:sdtPr>
    <w:sdtEndPr>
      <w:rPr>
        <w:noProof/>
      </w:rPr>
    </w:sdtEndPr>
    <w:sdtContent>
      <w:p w14:paraId="3049950C" w14:textId="07B80CBF" w:rsidR="00A06692" w:rsidRDefault="00834566" w:rsidP="00C140F5">
        <w:pPr>
          <w:pStyle w:val="Footer"/>
          <w:jc w:val="right"/>
        </w:pPr>
        <w:r>
          <w:fldChar w:fldCharType="begin"/>
        </w:r>
        <w:r>
          <w:instrText xml:space="preserve"> SUBJECT   \* MERGEFORMAT </w:instrText>
        </w:r>
        <w:r>
          <w:fldChar w:fldCharType="separate"/>
        </w:r>
        <w:r w:rsidR="00C47A81">
          <w:t>The Jobs and Skills Report 2024</w:t>
        </w:r>
        <w:r>
          <w:fldChar w:fldCharType="end"/>
        </w:r>
        <w:r w:rsidR="00A06692">
          <w:t xml:space="preserve"> | </w:t>
        </w:r>
        <w:r w:rsidR="00A06692">
          <w:fldChar w:fldCharType="begin"/>
        </w:r>
        <w:r w:rsidR="00A06692">
          <w:instrText xml:space="preserve"> PAGE   \* MERGEFORMAT </w:instrText>
        </w:r>
        <w:r w:rsidR="00A06692">
          <w:fldChar w:fldCharType="separate"/>
        </w:r>
        <w:r w:rsidR="00A06692">
          <w:rPr>
            <w:noProof/>
          </w:rPr>
          <w:t>2</w:t>
        </w:r>
        <w:r w:rsidR="00A06692">
          <w:rPr>
            <w:noProof/>
          </w:rP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7447775"/>
      <w:docPartObj>
        <w:docPartGallery w:val="Page Numbers (Bottom of Page)"/>
        <w:docPartUnique/>
      </w:docPartObj>
    </w:sdtPr>
    <w:sdtEndPr>
      <w:rPr>
        <w:noProof/>
      </w:rPr>
    </w:sdtEndPr>
    <w:sdtContent>
      <w:p w14:paraId="6693AEFB" w14:textId="13CAC850" w:rsidR="00A06692" w:rsidRDefault="00A06692">
        <w:pPr>
          <w:pStyle w:val="Footer"/>
        </w:pPr>
        <w:r>
          <w:fldChar w:fldCharType="begin"/>
        </w:r>
        <w:r>
          <w:instrText xml:space="preserve"> PAGE   \* MERGEFORMAT </w:instrText>
        </w:r>
        <w:r>
          <w:fldChar w:fldCharType="separate"/>
        </w:r>
        <w:r>
          <w:rPr>
            <w:noProof/>
          </w:rPr>
          <w:t>2</w:t>
        </w:r>
        <w:r>
          <w:rPr>
            <w:noProof/>
          </w:rPr>
          <w:fldChar w:fldCharType="end"/>
        </w:r>
        <w:r>
          <w:rPr>
            <w:noProof/>
          </w:rPr>
          <w:t xml:space="preserve"> | </w:t>
        </w:r>
        <w:r>
          <w:rPr>
            <w:noProof/>
          </w:rPr>
          <w:fldChar w:fldCharType="begin"/>
        </w:r>
        <w:r>
          <w:rPr>
            <w:noProof/>
          </w:rPr>
          <w:instrText xml:space="preserve"> STYLEREF  "Heading 1"  \* MERGEFORMAT </w:instrText>
        </w:r>
        <w:r>
          <w:rPr>
            <w:noProof/>
          </w:rPr>
          <w:fldChar w:fldCharType="separate"/>
        </w:r>
        <w:r w:rsidR="00834566">
          <w:rPr>
            <w:noProof/>
          </w:rPr>
          <w:t>Glossary</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9333898"/>
      <w:docPartObj>
        <w:docPartGallery w:val="Page Numbers (Bottom of Page)"/>
        <w:docPartUnique/>
      </w:docPartObj>
    </w:sdtPr>
    <w:sdtEndPr>
      <w:rPr>
        <w:noProof/>
      </w:rPr>
    </w:sdtEndPr>
    <w:sdtContent>
      <w:p w14:paraId="0A6EE625" w14:textId="00F79D5A" w:rsidR="00AC2606" w:rsidRDefault="00834566" w:rsidP="00C140F5">
        <w:pPr>
          <w:pStyle w:val="Footer"/>
          <w:jc w:val="right"/>
        </w:pPr>
        <w:r>
          <w:fldChar w:fldCharType="begin"/>
        </w:r>
        <w:r>
          <w:instrText xml:space="preserve"> SUBJECT   \* MERGEFORMAT </w:instrText>
        </w:r>
        <w:r>
          <w:fldChar w:fldCharType="separate"/>
        </w:r>
        <w:r w:rsidR="00C47A81">
          <w:t>The Jobs and Skills Report 2024</w:t>
        </w:r>
        <w:r>
          <w:fldChar w:fldCharType="end"/>
        </w:r>
        <w:r w:rsidR="00F50DAF">
          <w:t xml:space="preserve"> | </w:t>
        </w:r>
        <w:r w:rsidR="00AC2606">
          <w:fldChar w:fldCharType="begin"/>
        </w:r>
        <w:r w:rsidR="00AC2606">
          <w:instrText xml:space="preserve"> PAGE   \* MERGEFORMAT </w:instrText>
        </w:r>
        <w:r w:rsidR="00AC2606">
          <w:fldChar w:fldCharType="separate"/>
        </w:r>
        <w:r w:rsidR="00AC2606">
          <w:rPr>
            <w:noProof/>
          </w:rPr>
          <w:t>2</w:t>
        </w:r>
        <w:r w:rsidR="00AC2606">
          <w:rPr>
            <w:noProof/>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571908"/>
      <w:docPartObj>
        <w:docPartGallery w:val="Page Numbers (Bottom of Page)"/>
        <w:docPartUnique/>
      </w:docPartObj>
    </w:sdtPr>
    <w:sdtEndPr>
      <w:rPr>
        <w:noProof/>
      </w:rPr>
    </w:sdtEndPr>
    <w:sdtContent>
      <w:p w14:paraId="16C3A927" w14:textId="67CB007F" w:rsidR="00A06692" w:rsidRDefault="00834566" w:rsidP="00C140F5">
        <w:pPr>
          <w:pStyle w:val="Footer"/>
          <w:jc w:val="right"/>
        </w:pPr>
        <w:r>
          <w:fldChar w:fldCharType="begin"/>
        </w:r>
        <w:r>
          <w:instrText xml:space="preserve"> SUBJECT   \* MERGEFORMAT </w:instrText>
        </w:r>
        <w:r>
          <w:fldChar w:fldCharType="separate"/>
        </w:r>
        <w:r w:rsidR="00C47A81">
          <w:t>The Jobs and Skills Report 2024</w:t>
        </w:r>
        <w:r>
          <w:fldChar w:fldCharType="end"/>
        </w:r>
        <w:r w:rsidR="00A06692">
          <w:t xml:space="preserve"> | </w:t>
        </w:r>
        <w:r w:rsidR="00A06692">
          <w:fldChar w:fldCharType="begin"/>
        </w:r>
        <w:r w:rsidR="00A06692">
          <w:instrText xml:space="preserve"> PAGE   \* MERGEFORMAT </w:instrText>
        </w:r>
        <w:r w:rsidR="00A06692">
          <w:fldChar w:fldCharType="separate"/>
        </w:r>
        <w:r w:rsidR="00A06692">
          <w:rPr>
            <w:noProof/>
          </w:rPr>
          <w:t>2</w:t>
        </w:r>
        <w:r w:rsidR="00A06692">
          <w:rPr>
            <w:noProof/>
          </w:rPr>
          <w:fldChar w:fldCharType="end"/>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4102433"/>
      <w:docPartObj>
        <w:docPartGallery w:val="Page Numbers (Bottom of Page)"/>
        <w:docPartUnique/>
      </w:docPartObj>
    </w:sdtPr>
    <w:sdtEndPr>
      <w:rPr>
        <w:noProof/>
      </w:rPr>
    </w:sdtEndPr>
    <w:sdtContent>
      <w:p w14:paraId="4F727AA4" w14:textId="05AFF356" w:rsidR="00A06692" w:rsidRDefault="00834566" w:rsidP="00A06692">
        <w:pPr>
          <w:pStyle w:val="Footer"/>
          <w:jc w:val="right"/>
        </w:pP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1305587"/>
      <w:docPartObj>
        <w:docPartGallery w:val="Page Numbers (Bottom of Page)"/>
        <w:docPartUnique/>
      </w:docPartObj>
    </w:sdtPr>
    <w:sdtEndPr>
      <w:rPr>
        <w:noProof/>
      </w:rPr>
    </w:sdtEndPr>
    <w:sdtContent>
      <w:p w14:paraId="3DCBA8DA" w14:textId="0F0B1A51" w:rsidR="00A06692" w:rsidRDefault="00834566" w:rsidP="00C140F5">
        <w:pPr>
          <w:pStyle w:val="Footer"/>
          <w:jc w:val="right"/>
        </w:pPr>
        <w:r>
          <w:fldChar w:fldCharType="begin"/>
        </w:r>
        <w:r>
          <w:instrText xml:space="preserve"> SUBJECT   \* MERGEFORMAT </w:instrText>
        </w:r>
        <w:r>
          <w:fldChar w:fldCharType="separate"/>
        </w:r>
        <w:r w:rsidR="00C47A81">
          <w:t>The Jobs and Skills Report 2024</w:t>
        </w:r>
        <w:r>
          <w:fldChar w:fldCharType="end"/>
        </w:r>
        <w:r w:rsidR="00A06692">
          <w:t xml:space="preserve"> | </w:t>
        </w:r>
        <w:r w:rsidR="00A06692">
          <w:fldChar w:fldCharType="begin"/>
        </w:r>
        <w:r w:rsidR="00A06692">
          <w:instrText xml:space="preserve"> PAGE   \* MERGEFORMAT </w:instrText>
        </w:r>
        <w:r w:rsidR="00A06692">
          <w:fldChar w:fldCharType="separate"/>
        </w:r>
        <w:r w:rsidR="00A06692">
          <w:rPr>
            <w:noProof/>
          </w:rPr>
          <w:t>2</w:t>
        </w:r>
        <w:r w:rsidR="00A06692">
          <w:rPr>
            <w:noProof/>
          </w:rPr>
          <w:fldChar w:fldCharType="end"/>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6707541"/>
      <w:docPartObj>
        <w:docPartGallery w:val="Page Numbers (Bottom of Page)"/>
        <w:docPartUnique/>
      </w:docPartObj>
    </w:sdtPr>
    <w:sdtEndPr>
      <w:rPr>
        <w:noProof/>
      </w:rPr>
    </w:sdtEndPr>
    <w:sdtContent>
      <w:p w14:paraId="4BA80020" w14:textId="2303269A" w:rsidR="00FF7743" w:rsidRDefault="00834566" w:rsidP="00FF7743">
        <w:pPr>
          <w:pStyle w:val="Footer"/>
          <w:jc w:val="right"/>
        </w:pPr>
        <w:r>
          <w:fldChar w:fldCharType="begin"/>
        </w:r>
        <w:r>
          <w:instrText xml:space="preserve"> SUBJECT   \* MERGEFORMAT </w:instrText>
        </w:r>
        <w:r>
          <w:fldChar w:fldCharType="separate"/>
        </w:r>
        <w:r w:rsidR="00C47A81">
          <w:t>The Jobs and Skills Report 2024</w:t>
        </w:r>
        <w:r>
          <w:fldChar w:fldCharType="end"/>
        </w:r>
        <w:r w:rsidR="00FF7743">
          <w:t xml:space="preserve"> | </w:t>
        </w:r>
        <w:r w:rsidR="00FF7743">
          <w:fldChar w:fldCharType="begin"/>
        </w:r>
        <w:r w:rsidR="00FF7743">
          <w:instrText xml:space="preserve"> PAGE   \* MERGEFORMAT </w:instrText>
        </w:r>
        <w:r w:rsidR="00FF7743">
          <w:fldChar w:fldCharType="separate"/>
        </w:r>
        <w:r w:rsidR="00FF7743">
          <w:t>129</w:t>
        </w:r>
        <w:r w:rsidR="00FF7743">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5079319"/>
      <w:docPartObj>
        <w:docPartGallery w:val="Page Numbers (Bottom of Page)"/>
        <w:docPartUnique/>
      </w:docPartObj>
    </w:sdtPr>
    <w:sdtEndPr>
      <w:rPr>
        <w:noProof/>
      </w:rPr>
    </w:sdtEndPr>
    <w:sdtContent>
      <w:p w14:paraId="253D5486" w14:textId="746278A7" w:rsidR="00EA4A1A" w:rsidRDefault="00EA4A1A" w:rsidP="00EA4A1A">
        <w:pPr>
          <w:pStyle w:val="Footer"/>
        </w:pPr>
        <w:r>
          <w:fldChar w:fldCharType="begin"/>
        </w:r>
        <w:r>
          <w:instrText xml:space="preserve"> PAGE   \* MERGEFORMAT </w:instrText>
        </w:r>
        <w:r>
          <w:fldChar w:fldCharType="separate"/>
        </w:r>
        <w:r>
          <w:t>9</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8323726"/>
      <w:docPartObj>
        <w:docPartGallery w:val="Page Numbers (Bottom of Page)"/>
        <w:docPartUnique/>
      </w:docPartObj>
    </w:sdtPr>
    <w:sdtEndPr>
      <w:rPr>
        <w:noProof/>
      </w:rPr>
    </w:sdtEndPr>
    <w:sdtContent>
      <w:p w14:paraId="2D3E955D" w14:textId="2575A13C" w:rsidR="00CB060C" w:rsidRDefault="00CB060C">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1508011"/>
      <w:docPartObj>
        <w:docPartGallery w:val="Page Numbers (Bottom of Page)"/>
        <w:docPartUnique/>
      </w:docPartObj>
    </w:sdtPr>
    <w:sdtEndPr>
      <w:rPr>
        <w:noProof/>
      </w:rPr>
    </w:sdtEndPr>
    <w:sdtContent>
      <w:p w14:paraId="03F02716" w14:textId="6BBA6AE3" w:rsidR="00CB060C" w:rsidRDefault="00834566" w:rsidP="00C140F5">
        <w:pPr>
          <w:pStyle w:val="Footer"/>
          <w:jc w:val="right"/>
        </w:pPr>
        <w:r>
          <w:fldChar w:fldCharType="begin"/>
        </w:r>
        <w:r>
          <w:instrText xml:space="preserve"> SUBJECT   \* MERGEFORMAT </w:instrText>
        </w:r>
        <w:r>
          <w:fldChar w:fldCharType="separate"/>
        </w:r>
        <w:r w:rsidR="00C47A81">
          <w:t>The Jobs and Skills Report 2024</w:t>
        </w:r>
        <w:r>
          <w:fldChar w:fldCharType="end"/>
        </w:r>
        <w:r w:rsidR="00CB060C">
          <w:t xml:space="preserve"> | </w:t>
        </w:r>
        <w:r w:rsidR="00CB060C">
          <w:fldChar w:fldCharType="begin"/>
        </w:r>
        <w:r w:rsidR="00CB060C">
          <w:instrText xml:space="preserve"> PAGE   \* MERGEFORMAT </w:instrText>
        </w:r>
        <w:r w:rsidR="00CB060C">
          <w:fldChar w:fldCharType="separate"/>
        </w:r>
        <w:r w:rsidR="00CB060C">
          <w:rPr>
            <w:noProof/>
          </w:rPr>
          <w:t>2</w:t>
        </w:r>
        <w:r w:rsidR="00CB060C">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2835672"/>
      <w:docPartObj>
        <w:docPartGallery w:val="Page Numbers (Bottom of Page)"/>
        <w:docPartUnique/>
      </w:docPartObj>
    </w:sdtPr>
    <w:sdtEndPr>
      <w:rPr>
        <w:noProof/>
      </w:rPr>
    </w:sdtEndPr>
    <w:sdtContent>
      <w:p w14:paraId="45EB1EAB" w14:textId="3849957E" w:rsidR="00EA4A1A" w:rsidRDefault="00EA4A1A">
        <w:pPr>
          <w:pStyle w:val="Footer"/>
        </w:pPr>
        <w:r>
          <w:fldChar w:fldCharType="begin"/>
        </w:r>
        <w:r>
          <w:instrText xml:space="preserve"> PAGE   \* MERGEFORMAT </w:instrText>
        </w:r>
        <w:r>
          <w:fldChar w:fldCharType="separate"/>
        </w:r>
        <w:r>
          <w:rPr>
            <w:noProof/>
          </w:rPr>
          <w:t>2</w:t>
        </w:r>
        <w:r>
          <w:rPr>
            <w:noProof/>
          </w:rPr>
          <w:fldChar w:fldCharType="end"/>
        </w:r>
        <w:r>
          <w:rPr>
            <w:noProof/>
          </w:rPr>
          <w:t xml:space="preserve"> | </w:t>
        </w:r>
        <w:r>
          <w:rPr>
            <w:noProof/>
          </w:rPr>
          <w:fldChar w:fldCharType="begin"/>
        </w:r>
        <w:r>
          <w:rPr>
            <w:noProof/>
          </w:rPr>
          <w:instrText xml:space="preserve"> STYLEREF  "Heading 1"  \* MERGEFORMAT </w:instrText>
        </w:r>
        <w:r>
          <w:rPr>
            <w:noProof/>
          </w:rPr>
          <w:fldChar w:fldCharType="separate"/>
        </w:r>
        <w:r w:rsidR="00834566">
          <w:rPr>
            <w:noProof/>
          </w:rPr>
          <w:t>Commissioner’s Foreword</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0910101"/>
      <w:docPartObj>
        <w:docPartGallery w:val="Page Numbers (Bottom of Page)"/>
        <w:docPartUnique/>
      </w:docPartObj>
    </w:sdtPr>
    <w:sdtEndPr>
      <w:rPr>
        <w:noProof/>
      </w:rPr>
    </w:sdtEndPr>
    <w:sdtContent>
      <w:p w14:paraId="5AAF3DD5" w14:textId="16E5C9A9" w:rsidR="001D2654" w:rsidRDefault="00834566" w:rsidP="001D2654">
        <w:pPr>
          <w:pStyle w:val="Footer"/>
          <w:jc w:val="right"/>
        </w:pPr>
        <w:r>
          <w:fldChar w:fldCharType="begin"/>
        </w:r>
        <w:r>
          <w:instrText xml:space="preserve"> SUBJECT   \* MERGEFORMAT </w:instrText>
        </w:r>
        <w:r>
          <w:fldChar w:fldCharType="separate"/>
        </w:r>
        <w:r w:rsidR="00C47A81">
          <w:t>The Jobs and Skills Report 2024</w:t>
        </w:r>
        <w:r>
          <w:fldChar w:fldCharType="end"/>
        </w:r>
        <w:r w:rsidR="001D2654">
          <w:t xml:space="preserve"> | </w:t>
        </w:r>
        <w:r w:rsidR="001D2654">
          <w:fldChar w:fldCharType="begin"/>
        </w:r>
        <w:r w:rsidR="001D2654">
          <w:instrText xml:space="preserve"> PAGE   \* MERGEFORMAT </w:instrText>
        </w:r>
        <w:r w:rsidR="001D2654">
          <w:fldChar w:fldCharType="separate"/>
        </w:r>
        <w:r w:rsidR="001D2654">
          <w:t>9</w:t>
        </w:r>
        <w:r w:rsidR="001D2654">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340935"/>
      <w:docPartObj>
        <w:docPartGallery w:val="Page Numbers (Bottom of Page)"/>
        <w:docPartUnique/>
      </w:docPartObj>
    </w:sdtPr>
    <w:sdtEndPr>
      <w:rPr>
        <w:noProof/>
      </w:rPr>
    </w:sdtEndPr>
    <w:sdtContent>
      <w:p w14:paraId="34B2C1DC" w14:textId="7F08B631" w:rsidR="001925C2" w:rsidRDefault="001925C2">
        <w:pPr>
          <w:pStyle w:val="Footer"/>
        </w:pPr>
        <w:r>
          <w:fldChar w:fldCharType="begin"/>
        </w:r>
        <w:r>
          <w:instrText xml:space="preserve"> PAGE   \* MERGEFORMAT </w:instrText>
        </w:r>
        <w:r>
          <w:fldChar w:fldCharType="separate"/>
        </w:r>
        <w:r>
          <w:rPr>
            <w:noProof/>
          </w:rPr>
          <w:t>2</w:t>
        </w:r>
        <w:r>
          <w:rPr>
            <w:noProof/>
          </w:rPr>
          <w:fldChar w:fldCharType="end"/>
        </w:r>
        <w:r>
          <w:rPr>
            <w:noProof/>
          </w:rPr>
          <w:t xml:space="preserve"> | </w:t>
        </w:r>
        <w:r>
          <w:rPr>
            <w:noProof/>
          </w:rPr>
          <w:fldChar w:fldCharType="begin"/>
        </w:r>
        <w:r>
          <w:rPr>
            <w:noProof/>
          </w:rPr>
          <w:instrText xml:space="preserve"> STYLEREF  "Heading 1"  \* MERGEFORMAT </w:instrText>
        </w:r>
        <w:r>
          <w:rPr>
            <w:noProof/>
          </w:rPr>
          <w:fldChar w:fldCharType="separate"/>
        </w:r>
        <w:r w:rsidR="00834566">
          <w:rPr>
            <w:noProof/>
          </w:rPr>
          <w:t>Chapter 1: Fostering inclusive participation</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8628711"/>
      <w:docPartObj>
        <w:docPartGallery w:val="Page Numbers (Bottom of Page)"/>
        <w:docPartUnique/>
      </w:docPartObj>
    </w:sdtPr>
    <w:sdtEndPr>
      <w:rPr>
        <w:noProof/>
      </w:rPr>
    </w:sdtEndPr>
    <w:sdtContent>
      <w:p w14:paraId="162CA593" w14:textId="2851722C" w:rsidR="001925C2" w:rsidRDefault="00834566" w:rsidP="001925C2">
        <w:pPr>
          <w:pStyle w:val="Footer"/>
          <w:jc w:val="right"/>
        </w:pPr>
        <w:r>
          <w:fldChar w:fldCharType="begin"/>
        </w:r>
        <w:r>
          <w:instrText xml:space="preserve"> SUBJECT   \* MERGEFORMAT </w:instrText>
        </w:r>
        <w:r>
          <w:fldChar w:fldCharType="separate"/>
        </w:r>
        <w:r w:rsidR="00C47A81">
          <w:t>The Jobs and Skills Report 2024</w:t>
        </w:r>
        <w:r>
          <w:fldChar w:fldCharType="end"/>
        </w:r>
        <w:r w:rsidR="001925C2">
          <w:t xml:space="preserve"> | </w:t>
        </w:r>
        <w:r w:rsidR="001925C2">
          <w:fldChar w:fldCharType="begin"/>
        </w:r>
        <w:r w:rsidR="001925C2">
          <w:instrText xml:space="preserve"> PAGE   \* MERGEFORMAT </w:instrText>
        </w:r>
        <w:r w:rsidR="001925C2">
          <w:fldChar w:fldCharType="separate"/>
        </w:r>
        <w:r w:rsidR="001925C2">
          <w:t>17</w:t>
        </w:r>
        <w:r w:rsidR="001925C2">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5624E5" w14:textId="77777777" w:rsidR="00842975" w:rsidRDefault="00842975" w:rsidP="008C0056">
      <w:r>
        <w:separator/>
      </w:r>
    </w:p>
  </w:footnote>
  <w:footnote w:type="continuationSeparator" w:id="0">
    <w:p w14:paraId="3B6525A8" w14:textId="77777777" w:rsidR="00842975" w:rsidRDefault="00842975" w:rsidP="008C0056">
      <w:r>
        <w:continuationSeparator/>
      </w:r>
    </w:p>
  </w:footnote>
  <w:footnote w:type="continuationNotice" w:id="1">
    <w:p w14:paraId="040E152D" w14:textId="77777777" w:rsidR="00842975" w:rsidRDefault="00842975" w:rsidP="008C0056"/>
  </w:footnote>
  <w:footnote w:id="2">
    <w:p w14:paraId="0F42FE71" w14:textId="3DA36A0D" w:rsidR="00BE464A" w:rsidRDefault="00BE464A" w:rsidP="0034608D">
      <w:pPr>
        <w:pStyle w:val="Footnote"/>
      </w:pPr>
      <w:r>
        <w:rPr>
          <w:rStyle w:val="FootnoteReference"/>
        </w:rPr>
        <w:footnoteRef/>
      </w:r>
      <w:r>
        <w:t xml:space="preserve"> </w:t>
      </w:r>
      <w:r w:rsidR="00D819E5" w:rsidRPr="00D819E5">
        <w:t xml:space="preserve">This refers to the ABS concept of skill level which is “defined as a function of the range and complexity of the set of tasks performed in a particular occupation. The greater the range and complexity of the </w:t>
      </w:r>
      <w:r w:rsidR="00D819E5" w:rsidRPr="0034608D">
        <w:rPr>
          <w:rStyle w:val="FootnoteChar"/>
        </w:rPr>
        <w:t>set of tasks, the greater the skill level of an occupation. Skill level is measured operationally in ANZSCO by the level or amount of formal education and training</w:t>
      </w:r>
      <w:r w:rsidR="00D819E5" w:rsidRPr="00D819E5">
        <w:t xml:space="preserve">, the amount of previous experience in a related occupation, and the amount of on-the-job training.” Measurement of formal education and training is measured in terms of educational qualifications as set out in the Australian Qualifications Framework (AQF) and the New Zealand Qualifications Framework (NZQF) </w:t>
      </w:r>
      <w:sdt>
        <w:sdtPr>
          <w:id w:val="-1435048740"/>
          <w:citation/>
        </w:sdtPr>
        <w:sdtEndPr/>
        <w:sdtContent>
          <w:r w:rsidR="006C272C">
            <w:fldChar w:fldCharType="begin"/>
          </w:r>
          <w:r w:rsidR="00B20741">
            <w:instrText xml:space="preserve">CITATION Aus221 \l 3081 </w:instrText>
          </w:r>
          <w:r w:rsidR="006C272C">
            <w:fldChar w:fldCharType="separate"/>
          </w:r>
          <w:r w:rsidR="004739BE">
            <w:rPr>
              <w:noProof/>
            </w:rPr>
            <w:t>(Australian Bureau of Statistics, 2022b)</w:t>
          </w:r>
          <w:r w:rsidR="006C272C">
            <w:fldChar w:fldCharType="end"/>
          </w:r>
        </w:sdtContent>
      </w:sdt>
      <w:r w:rsidR="006C272C">
        <w:t>.</w:t>
      </w:r>
    </w:p>
  </w:footnote>
  <w:footnote w:id="3">
    <w:p w14:paraId="5BC948A4" w14:textId="29C731E4" w:rsidR="005E3877" w:rsidRDefault="005E3877" w:rsidP="0034608D">
      <w:pPr>
        <w:pStyle w:val="Footnote"/>
      </w:pPr>
      <w:r>
        <w:rPr>
          <w:rStyle w:val="FootnoteReference"/>
        </w:rPr>
        <w:footnoteRef/>
      </w:r>
      <w:r>
        <w:t xml:space="preserve"> </w:t>
      </w:r>
      <w:r w:rsidRPr="005E3877">
        <w:t>This is a secure data asset held by the Australian Bureau of Statistics that combines information on health, education, government payments, income and taxation, employment, and population demographics (including the Census) over time.</w:t>
      </w:r>
    </w:p>
  </w:footnote>
  <w:footnote w:id="4">
    <w:p w14:paraId="1C376F65" w14:textId="4803E407" w:rsidR="000D6FA1" w:rsidRDefault="000D6FA1">
      <w:pPr>
        <w:pStyle w:val="FootnoteText"/>
      </w:pPr>
      <w:r>
        <w:rPr>
          <w:rStyle w:val="FootnoteReference"/>
        </w:rPr>
        <w:footnoteRef/>
      </w:r>
      <w:r>
        <w:t xml:space="preserve"> </w:t>
      </w:r>
      <w:r w:rsidR="00F26BEB" w:rsidRPr="00F26BEB">
        <w:rPr>
          <w:rStyle w:val="FootnoteChar"/>
        </w:rPr>
        <w:t>For consistency purposes, and for the purposes of this analysis, updated ABS monthly Labour Force Survey data for the full employment indicators refer to changes over the last year using the latest available data (which at time of writing were for August 2024).</w:t>
      </w:r>
    </w:p>
  </w:footnote>
  <w:footnote w:id="5">
    <w:p w14:paraId="2B4E5D55" w14:textId="4145C19D" w:rsidR="00151AF6" w:rsidRDefault="00151AF6" w:rsidP="00151AF6">
      <w:pPr>
        <w:pStyle w:val="Footnote"/>
      </w:pPr>
      <w:r>
        <w:rPr>
          <w:rStyle w:val="FootnoteReference"/>
        </w:rPr>
        <w:footnoteRef/>
      </w:r>
      <w:r>
        <w:t xml:space="preserve"> </w:t>
      </w:r>
      <w:r w:rsidRPr="00151AF6">
        <w:t>Department of Employment and Workplace Relations, Post Program Monitoring Labour Force Survey, July 2022 to June 2023 through to January 2023 to December 2023 (latest available data).</w:t>
      </w:r>
    </w:p>
  </w:footnote>
  <w:footnote w:id="6">
    <w:p w14:paraId="21A78C23" w14:textId="11E21B1C" w:rsidR="007725D5" w:rsidRDefault="007725D5" w:rsidP="007725D5">
      <w:pPr>
        <w:pStyle w:val="Footnote"/>
      </w:pPr>
      <w:r>
        <w:rPr>
          <w:rStyle w:val="FootnoteReference"/>
        </w:rPr>
        <w:footnoteRef/>
      </w:r>
      <w:r>
        <w:t xml:space="preserve"> </w:t>
      </w:r>
      <w:r w:rsidRPr="007725D5">
        <w:t xml:space="preserve">Statistical Areas Level 4 (SA4) are geographical areas that represent labour markets or groups of labour markets within each State and Territory. They are designed with an emphasis on stability over time to support the release of time series statistics. </w:t>
      </w:r>
      <w:sdt>
        <w:sdtPr>
          <w:id w:val="975722520"/>
          <w:citation/>
        </w:sdtPr>
        <w:sdtEndPr/>
        <w:sdtContent>
          <w:r w:rsidR="008A3693">
            <w:fldChar w:fldCharType="begin"/>
          </w:r>
          <w:r w:rsidR="008A3693">
            <w:instrText xml:space="preserve"> CITATION Aus21 \l 3081 </w:instrText>
          </w:r>
          <w:r w:rsidR="008A3693">
            <w:fldChar w:fldCharType="separate"/>
          </w:r>
          <w:r w:rsidR="004739BE">
            <w:rPr>
              <w:noProof/>
            </w:rPr>
            <w:t>(Australian Bureau of Statistics, 2021)</w:t>
          </w:r>
          <w:r w:rsidR="008A3693">
            <w:fldChar w:fldCharType="end"/>
          </w:r>
        </w:sdtContent>
      </w:sdt>
      <w:r w:rsidRPr="007725D5">
        <w:t>.</w:t>
      </w:r>
    </w:p>
  </w:footnote>
  <w:footnote w:id="7">
    <w:p w14:paraId="688282A2" w14:textId="78A7EE82" w:rsidR="00531DE6" w:rsidRDefault="00531DE6" w:rsidP="00531DE6">
      <w:pPr>
        <w:pStyle w:val="Footnote"/>
      </w:pPr>
      <w:r>
        <w:rPr>
          <w:rStyle w:val="FootnoteReference"/>
        </w:rPr>
        <w:footnoteRef/>
      </w:r>
      <w:r>
        <w:t xml:space="preserve"> </w:t>
      </w:r>
      <w:r w:rsidRPr="00531DE6">
        <w:t xml:space="preserve">Historical data has been updated to align with the current scope of occupations included in the 2024 OSL. For example, Detectives were not included within the 2024 OSL occupations but were so in the 2022 OSL. The change has resulted in a minor difference in the data reported on the percentage of male dominated occupations in Shortage in 2022, which changes from 49% (as reported in 2023 OSL) to 50% (as shown in </w:t>
      </w:r>
      <w:r>
        <w:fldChar w:fldCharType="begin"/>
      </w:r>
      <w:r>
        <w:instrText xml:space="preserve"> REF _Ref179895454 \h </w:instrText>
      </w:r>
      <w:r>
        <w:fldChar w:fldCharType="separate"/>
      </w:r>
      <w:r w:rsidR="00C47A81">
        <w:t xml:space="preserve">Figure </w:t>
      </w:r>
      <w:r w:rsidR="00C47A81">
        <w:rPr>
          <w:noProof/>
        </w:rPr>
        <w:t>15</w:t>
      </w:r>
      <w:r>
        <w:fldChar w:fldCharType="end"/>
      </w:r>
      <w:r w:rsidRPr="00531DE6">
        <w:t>).</w:t>
      </w:r>
    </w:p>
  </w:footnote>
  <w:footnote w:id="8">
    <w:p w14:paraId="4E70E522" w14:textId="4D815522" w:rsidR="00E4400F" w:rsidRDefault="00E4400F" w:rsidP="005E7EDF">
      <w:pPr>
        <w:pStyle w:val="Footnote"/>
      </w:pPr>
      <w:r>
        <w:rPr>
          <w:rStyle w:val="FootnoteReference"/>
        </w:rPr>
        <w:footnoteRef/>
      </w:r>
      <w:r>
        <w:t xml:space="preserve"> </w:t>
      </w:r>
      <w:r w:rsidRPr="00612618">
        <w:t>Further refinements to the methodology and analyses are expected with the availability of STP Phase 2 in 2025</w:t>
      </w:r>
      <w:r>
        <w:t>.</w:t>
      </w:r>
    </w:p>
  </w:footnote>
  <w:footnote w:id="9">
    <w:p w14:paraId="4E16F9D5" w14:textId="17576BEE" w:rsidR="00AB4937" w:rsidRDefault="00AB4937" w:rsidP="00AB4937">
      <w:pPr>
        <w:pStyle w:val="Footnote"/>
      </w:pPr>
      <w:r>
        <w:rPr>
          <w:rStyle w:val="FootnoteReference"/>
        </w:rPr>
        <w:footnoteRef/>
      </w:r>
      <w:r>
        <w:t xml:space="preserve"> </w:t>
      </w:r>
      <w:r w:rsidRPr="00612618">
        <w:t>The median being the actual middle value in a set of values when those values are sorted from highest to lowest. The mean being a calculated amount when all values are summed then divided by total number of values.</w:t>
      </w:r>
    </w:p>
  </w:footnote>
  <w:footnote w:id="10">
    <w:p w14:paraId="68F678EC" w14:textId="12F54362" w:rsidR="00F458A8" w:rsidRDefault="00F458A8" w:rsidP="00146F2F">
      <w:pPr>
        <w:pStyle w:val="Footnote"/>
      </w:pPr>
      <w:r w:rsidRPr="005E26BE">
        <w:rPr>
          <w:rStyle w:val="FootnoteChar"/>
          <w:vertAlign w:val="superscript"/>
        </w:rPr>
        <w:footnoteRef/>
      </w:r>
      <w:r w:rsidRPr="00F458A8">
        <w:rPr>
          <w:rStyle w:val="FootnoteChar"/>
        </w:rPr>
        <w:t xml:space="preserve"> This version of the gender pay gap should not be compared to the Workplace Gender Equality Agency (WGEA) Gender Pay Gap. The data collection methods are different. The WGEA Gender Pay Gap is calculated at 21.7 per cent as at November 2023 and comes from their annual Employer Census</w:t>
      </w:r>
      <w:sdt>
        <w:sdtPr>
          <w:rPr>
            <w:rStyle w:val="FootnoteChar"/>
          </w:rPr>
          <w:id w:val="1438485399"/>
          <w:citation/>
        </w:sdtPr>
        <w:sdtEndPr>
          <w:rPr>
            <w:rStyle w:val="FootnoteChar"/>
          </w:rPr>
        </w:sdtEndPr>
        <w:sdtContent>
          <w:r w:rsidR="005E4383">
            <w:rPr>
              <w:rStyle w:val="FootnoteChar"/>
            </w:rPr>
            <w:fldChar w:fldCharType="begin"/>
          </w:r>
          <w:r w:rsidR="00C73615">
            <w:rPr>
              <w:rStyle w:val="FootnoteChar"/>
            </w:rPr>
            <w:instrText xml:space="preserve">CITATION Wor24 \l 3081 </w:instrText>
          </w:r>
          <w:r w:rsidR="005E4383">
            <w:rPr>
              <w:rStyle w:val="FootnoteChar"/>
            </w:rPr>
            <w:fldChar w:fldCharType="separate"/>
          </w:r>
          <w:r w:rsidR="004739BE">
            <w:rPr>
              <w:rStyle w:val="FootnoteChar"/>
              <w:noProof/>
            </w:rPr>
            <w:t xml:space="preserve"> </w:t>
          </w:r>
          <w:r w:rsidR="004739BE" w:rsidRPr="004739BE">
            <w:rPr>
              <w:noProof/>
            </w:rPr>
            <w:t>(Workplace Gender Equality Agency, 2024)</w:t>
          </w:r>
          <w:r w:rsidR="005E4383">
            <w:rPr>
              <w:rStyle w:val="FootnoteChar"/>
            </w:rPr>
            <w:fldChar w:fldCharType="end"/>
          </w:r>
        </w:sdtContent>
      </w:sdt>
      <w:r w:rsidRPr="00F458A8">
        <w:rPr>
          <w:rStyle w:val="FootnoteChar"/>
        </w:rPr>
        <w:t>.</w:t>
      </w:r>
    </w:p>
  </w:footnote>
  <w:footnote w:id="11">
    <w:p w14:paraId="29486949" w14:textId="2670D4FE" w:rsidR="00123BF0" w:rsidRDefault="00123BF0" w:rsidP="00123BF0">
      <w:pPr>
        <w:pStyle w:val="Footnote"/>
      </w:pPr>
      <w:r>
        <w:rPr>
          <w:rStyle w:val="FootnoteReference"/>
        </w:rPr>
        <w:footnoteRef/>
      </w:r>
      <w:r>
        <w:t xml:space="preserve"> </w:t>
      </w:r>
      <w:r w:rsidRPr="00123BF0">
        <w:t>The First Nation identifier is borrowed from the EVER_INDIGENOUS_PERSON flag in the ABS Combined Demographics table in PLIDA as of December 2023. This ABS product utilises data from various sources including the Census, Department of Social Security, Medicare, Australian Taxation Office and Death Registrations to create a triangulated identity profile. Employees who do not have a record with some of these departments or censuses may not be identifiable in the Combined Demographics table.</w:t>
      </w:r>
    </w:p>
  </w:footnote>
  <w:footnote w:id="12">
    <w:p w14:paraId="06C25533" w14:textId="3E808CD9" w:rsidR="00963CCB" w:rsidRDefault="00963CCB" w:rsidP="00963CCB">
      <w:pPr>
        <w:pStyle w:val="Footnote"/>
      </w:pPr>
      <w:r>
        <w:rPr>
          <w:rStyle w:val="FootnoteReference"/>
        </w:rPr>
        <w:footnoteRef/>
      </w:r>
      <w:r>
        <w:t xml:space="preserve"> </w:t>
      </w:r>
      <w:r w:rsidRPr="00C30ADA">
        <w:t>Note that youth full-time and part-time employment data are seasonally adjusted separately by the ABS. Accordingly, the sum of the change in full-time and part-time employment over the year will not add to the change in total employment for youth over the period.</w:t>
      </w:r>
    </w:p>
  </w:footnote>
  <w:footnote w:id="13">
    <w:p w14:paraId="4397FC5F" w14:textId="7C42E694" w:rsidR="00430D73" w:rsidRDefault="00430D73" w:rsidP="00430D73">
      <w:pPr>
        <w:pStyle w:val="Footnote"/>
      </w:pPr>
      <w:r>
        <w:rPr>
          <w:rStyle w:val="FootnoteReference"/>
        </w:rPr>
        <w:footnoteRef/>
      </w:r>
      <w:r>
        <w:t xml:space="preserve"> </w:t>
      </w:r>
      <w:r w:rsidRPr="00430D73">
        <w:t>Recruitment activity (also referred to as the ‘recruitment rate’) refers to the proportion of all employers who are either currently recruiting or who had recruited in the previous month.</w:t>
      </w:r>
    </w:p>
  </w:footnote>
  <w:footnote w:id="14">
    <w:p w14:paraId="3D94BAA8" w14:textId="7D883011" w:rsidR="00E12BC3" w:rsidRDefault="00E12BC3" w:rsidP="00E12BC3">
      <w:pPr>
        <w:pStyle w:val="Footnote"/>
      </w:pPr>
      <w:r>
        <w:rPr>
          <w:rStyle w:val="FootnoteReference"/>
        </w:rPr>
        <w:footnoteRef/>
      </w:r>
      <w:r>
        <w:t xml:space="preserve"> </w:t>
      </w:r>
      <w:r w:rsidRPr="00E12BC3">
        <w:t>Occupations are considered to be in shortage when employers are unable to fill or experience considerable difficulty filling vacancies for that occupation or cannot meet specialised skill needs within that occupation. This difficulty must also be experienced at current levels of remuneration and conditions of employment, and in reasonably accessible locations.</w:t>
      </w:r>
    </w:p>
  </w:footnote>
  <w:footnote w:id="15">
    <w:p w14:paraId="3C3A1090" w14:textId="67EBAA42" w:rsidR="00F61152" w:rsidRDefault="00F61152" w:rsidP="00F61152">
      <w:pPr>
        <w:pStyle w:val="Footnote"/>
      </w:pPr>
      <w:r>
        <w:rPr>
          <w:rStyle w:val="FootnoteReference"/>
        </w:rPr>
        <w:footnoteRef/>
      </w:r>
      <w:r>
        <w:t xml:space="preserve"> </w:t>
      </w:r>
      <w:r w:rsidRPr="00201CA3">
        <w:t xml:space="preserve">The percentage of occupations in </w:t>
      </w:r>
      <w:r>
        <w:t>S</w:t>
      </w:r>
      <w:r w:rsidRPr="00201CA3">
        <w:t>hortage for Skill Level 4 occupations fell from 22.6% to 15.4%, making the difference 7.2 percentage points.</w:t>
      </w:r>
    </w:p>
  </w:footnote>
  <w:footnote w:id="16">
    <w:p w14:paraId="029247A8" w14:textId="7D8F5F8D" w:rsidR="00F7574B" w:rsidRDefault="00F7574B" w:rsidP="00F7574B">
      <w:pPr>
        <w:pStyle w:val="Footnote"/>
      </w:pPr>
      <w:r>
        <w:rPr>
          <w:rStyle w:val="FootnoteReference"/>
        </w:rPr>
        <w:footnoteRef/>
      </w:r>
      <w:r>
        <w:t xml:space="preserve"> </w:t>
      </w:r>
      <w:r w:rsidRPr="001A20F5">
        <w:t>Occupations that were in shortage in each year (2021 to 2024) were summed and divided by the total employment size of occupations assessed in each of those years.</w:t>
      </w:r>
    </w:p>
  </w:footnote>
  <w:footnote w:id="17">
    <w:p w14:paraId="61D1348D" w14:textId="28B99FAE" w:rsidR="00645FC4" w:rsidRDefault="00645FC4" w:rsidP="00645FC4">
      <w:pPr>
        <w:pStyle w:val="Footnote"/>
      </w:pPr>
      <w:r>
        <w:rPr>
          <w:rStyle w:val="FootnoteReference"/>
        </w:rPr>
        <w:footnoteRef/>
      </w:r>
      <w:r>
        <w:t xml:space="preserve"> </w:t>
      </w:r>
      <w:r w:rsidRPr="001A20F5">
        <w:t>The av</w:t>
      </w:r>
      <w:r>
        <w:t>erage employment size of occupations in shortage was 20,600, while the average employment size of occupations not in shortage was 8,700.</w:t>
      </w:r>
    </w:p>
  </w:footnote>
  <w:footnote w:id="18">
    <w:p w14:paraId="3439307E" w14:textId="1965460A" w:rsidR="001406BD" w:rsidRPr="001406BD" w:rsidRDefault="001406BD" w:rsidP="001406BD">
      <w:pPr>
        <w:pStyle w:val="Footnote"/>
      </w:pPr>
      <w:r w:rsidRPr="00B81D14">
        <w:rPr>
          <w:rStyle w:val="FootnoteReference"/>
        </w:rPr>
        <w:footnoteRef/>
      </w:r>
      <w:r w:rsidRPr="001406BD">
        <w:t xml:space="preserve"> The definition of industry is based on Australian and New Zealand Standard Industrial Classification (ANZSIC).</w:t>
      </w:r>
    </w:p>
  </w:footnote>
  <w:footnote w:id="19">
    <w:p w14:paraId="2F895C89" w14:textId="4C5138EE" w:rsidR="00963013" w:rsidRDefault="00963013" w:rsidP="00963013">
      <w:pPr>
        <w:pStyle w:val="Footnote"/>
      </w:pPr>
      <w:r>
        <w:rPr>
          <w:rStyle w:val="FootnoteReference"/>
        </w:rPr>
        <w:footnoteRef/>
      </w:r>
      <w:r>
        <w:t xml:space="preserve"> </w:t>
      </w:r>
      <w:r w:rsidRPr="00963013">
        <w:t>Other Services includes a broad range of services like hairdressing and beauty services; diet and weight management centres; funerals, crematoriums and cemeteries; religious services; car repair and maintenance; machinery repair services; private households employing staff; and other personal services</w:t>
      </w:r>
      <w:r>
        <w:t>.</w:t>
      </w:r>
    </w:p>
  </w:footnote>
  <w:footnote w:id="20">
    <w:p w14:paraId="0606C1AB" w14:textId="723947F1" w:rsidR="008F49CA" w:rsidRPr="008F49CA" w:rsidRDefault="008F49CA" w:rsidP="008F49CA">
      <w:pPr>
        <w:pStyle w:val="Footnote"/>
      </w:pPr>
      <w:r w:rsidRPr="00B81D14">
        <w:rPr>
          <w:vertAlign w:val="superscript"/>
        </w:rPr>
        <w:footnoteRef/>
      </w:r>
      <w:r w:rsidRPr="00600C54">
        <w:t xml:space="preserve"> ANZSCO is a skill-based classification used to classify all occupations and jobs in the Australian and New Zealand labour markets. It is organised into a 5-level hierarchy: major groups, sub-major groups, minor groups, unit groups and occupations. Occupation level refers to the most granular 6 digit ANZSCO level at which occupations are distinguished from others on the basis of detailed skill specialisation. Unit group level refers to the next most granular level (4 digit ANZSCO) where groups of occupations in unit groups are distinguished from other unit groups on the basis of skill specialisation and by skill level</w:t>
      </w:r>
      <w:r w:rsidRPr="008F49CA">
        <w:t xml:space="preserve"> where necessary. For more details on ANZSCO refer to the Australian Bureau of Statistics (ABS) website</w:t>
      </w:r>
      <w:r w:rsidR="00B528D0">
        <w:t>.</w:t>
      </w:r>
    </w:p>
  </w:footnote>
  <w:footnote w:id="21">
    <w:p w14:paraId="01845247" w14:textId="77777777" w:rsidR="00AC2606" w:rsidRPr="008F49CA" w:rsidRDefault="00AC2606" w:rsidP="008F49CA">
      <w:pPr>
        <w:pStyle w:val="Footnote"/>
      </w:pPr>
      <w:r w:rsidRPr="00B81D14">
        <w:rPr>
          <w:vertAlign w:val="superscript"/>
        </w:rPr>
        <w:footnoteRef/>
      </w:r>
      <w:r w:rsidRPr="008F49CA">
        <w:t xml:space="preserve"> Refer to the 2024 Occupation Shortage Drivers Report for more details. </w:t>
      </w:r>
    </w:p>
  </w:footnote>
  <w:footnote w:id="22">
    <w:p w14:paraId="70BB018A" w14:textId="2119F247" w:rsidR="00600C54" w:rsidRDefault="00600C54" w:rsidP="00600C54">
      <w:pPr>
        <w:pStyle w:val="Footnote"/>
      </w:pPr>
      <w:r>
        <w:rPr>
          <w:rStyle w:val="FootnoteReference"/>
        </w:rPr>
        <w:footnoteRef/>
      </w:r>
      <w:r>
        <w:t xml:space="preserve"> </w:t>
      </w:r>
      <w:r w:rsidRPr="00600C54">
        <w:t>Unit groups are classified into the 4 shortage driver types based on a set of criterions which uses averages of various metrics (or boundary/threshold rules). These boundary/threshold rules help determine the primary shortage driver of a unit group. Uncertainty arises when unit groups fall on the boundary/threshold rather than being above or below it. For example, a unit group with above average job mobility and below average qualified applicants per vacancy would be classified as Retention Gap. However, it would be challenging to establish the primary shortage driver of the unit group, if it had both average job mobility and average qualified applicants per vacancy. More information on the criteria used to classify the unit groups is in the 2024 Occupation Shortage Drivers Report.</w:t>
      </w:r>
    </w:p>
  </w:footnote>
  <w:footnote w:id="23">
    <w:p w14:paraId="1B0944F7" w14:textId="6A626F8F" w:rsidR="006E2ED9" w:rsidRDefault="006E2ED9" w:rsidP="006E2ED9">
      <w:pPr>
        <w:pStyle w:val="Footnote"/>
      </w:pPr>
      <w:r>
        <w:rPr>
          <w:rStyle w:val="FootnoteReference"/>
        </w:rPr>
        <w:footnoteRef/>
      </w:r>
      <w:r>
        <w:t xml:space="preserve"> </w:t>
      </w:r>
      <w:r w:rsidRPr="006E2ED9">
        <w:t>JSA’s RLMI combines key indicators of spare labour market capacity, from both an employee and employer perspective, into a single, and easy to interpret, summary measure. For a detailed overview of the RLMI, see the RLMI Methodology Paper.</w:t>
      </w:r>
    </w:p>
  </w:footnote>
  <w:footnote w:id="24">
    <w:p w14:paraId="097BBF83" w14:textId="77777777" w:rsidR="00AC2606" w:rsidRPr="00D02BA0" w:rsidRDefault="00AC2606" w:rsidP="00B81D14">
      <w:pPr>
        <w:pStyle w:val="Footnote"/>
      </w:pPr>
      <w:r w:rsidRPr="00D02BA0">
        <w:rPr>
          <w:rStyle w:val="FootnoteReference"/>
          <w:rFonts w:asciiTheme="majorHAnsi" w:hAnsiTheme="majorHAnsi" w:cstheme="majorHAnsi"/>
        </w:rPr>
        <w:footnoteRef/>
      </w:r>
      <w:r>
        <w:t xml:space="preserve"> Includes the SA4 regions of Moreton Bay – South, Brisbane – North, Brisbane – West, Brisbane Inner City, Brisbane – South, and Brisbane – East.</w:t>
      </w:r>
    </w:p>
  </w:footnote>
  <w:footnote w:id="25">
    <w:p w14:paraId="21F92AC4" w14:textId="72AD4840" w:rsidR="003E0D6F" w:rsidRDefault="003E0D6F" w:rsidP="003E0D6F">
      <w:pPr>
        <w:pStyle w:val="Footnote"/>
      </w:pPr>
      <w:r>
        <w:rPr>
          <w:rStyle w:val="FootnoteReference"/>
        </w:rPr>
        <w:footnoteRef/>
      </w:r>
      <w:r>
        <w:t xml:space="preserve"> </w:t>
      </w:r>
      <w:r w:rsidRPr="003E0D6F">
        <w:t>The 2024 employment projections are based off a starting point of employment estimated at May 2024 using the JSA trended series of the ABS’ Detailed Labour Force Survey data, which may not align with estimates of employment from other data sources</w:t>
      </w:r>
      <w:r w:rsidR="00B528D0">
        <w:t>.</w:t>
      </w:r>
    </w:p>
  </w:footnote>
  <w:footnote w:id="26">
    <w:p w14:paraId="6B9BAFDF" w14:textId="54678A7A" w:rsidR="00473321" w:rsidRDefault="00473321" w:rsidP="000D0C7C">
      <w:pPr>
        <w:pStyle w:val="Footnote"/>
      </w:pPr>
      <w:r>
        <w:rPr>
          <w:rStyle w:val="FootnoteReference"/>
        </w:rPr>
        <w:footnoteRef/>
      </w:r>
      <w:r>
        <w:t xml:space="preserve"> </w:t>
      </w:r>
      <w:r w:rsidRPr="00473321">
        <w:t>Note: Some occupations in the employment projections data with an 'NFD' status cannot be assigned a skill level. Therefore, the sum of employment by skill levels will not add up to the total employment presented in other tables.</w:t>
      </w:r>
    </w:p>
  </w:footnote>
  <w:footnote w:id="27">
    <w:p w14:paraId="38681E94" w14:textId="77777777" w:rsidR="00AC2606" w:rsidRPr="00684D40" w:rsidRDefault="00AC2606" w:rsidP="004E56A4">
      <w:pPr>
        <w:pStyle w:val="Footnote"/>
        <w:rPr>
          <w:lang w:val="en-US"/>
        </w:rPr>
      </w:pPr>
      <w:r>
        <w:rPr>
          <w:rStyle w:val="FootnoteReference"/>
        </w:rPr>
        <w:footnoteRef/>
      </w:r>
      <w:r>
        <w:t xml:space="preserve"> </w:t>
      </w:r>
      <w:r>
        <w:rPr>
          <w:lang w:val="en-US"/>
        </w:rPr>
        <w:t>The term “skill” is used here as shorthand for educational attainment.</w:t>
      </w:r>
    </w:p>
  </w:footnote>
  <w:footnote w:id="28">
    <w:p w14:paraId="6F6B2529" w14:textId="2A1FB9B0" w:rsidR="004E56A4" w:rsidRDefault="004E56A4" w:rsidP="004E56A4">
      <w:pPr>
        <w:pStyle w:val="Footnote"/>
      </w:pPr>
      <w:r>
        <w:rPr>
          <w:rStyle w:val="FootnoteReference"/>
        </w:rPr>
        <w:footnoteRef/>
      </w:r>
      <w:r>
        <w:t xml:space="preserve"> </w:t>
      </w:r>
      <w:r w:rsidRPr="004E56A4">
        <w:t>Note that aggregate employment does not change. Labour market clearing by skill group implies movements in skill-specific wages, with an upward movement in the wage relative to the economy-wide average implying excess demand and a downward movement implying excess supply.</w:t>
      </w:r>
      <w:r w:rsidR="008C52B1">
        <w:t xml:space="preserve"> </w:t>
      </w:r>
    </w:p>
  </w:footnote>
  <w:footnote w:id="29">
    <w:p w14:paraId="316EA045" w14:textId="518761E7" w:rsidR="00AC2606" w:rsidRDefault="00AC2606" w:rsidP="00DE30EE">
      <w:pPr>
        <w:pStyle w:val="Footnote"/>
      </w:pPr>
      <w:r>
        <w:rPr>
          <w:rStyle w:val="FootnoteReference"/>
        </w:rPr>
        <w:footnoteRef/>
      </w:r>
      <w:r>
        <w:t xml:space="preserve"> </w:t>
      </w:r>
      <w:r w:rsidRPr="007A6DE4">
        <w:t xml:space="preserve">In the </w:t>
      </w:r>
      <w:r>
        <w:t>baseline</w:t>
      </w:r>
      <w:r w:rsidRPr="007A6DE4">
        <w:t xml:space="preserve">, </w:t>
      </w:r>
      <w:r>
        <w:t>most</w:t>
      </w:r>
      <w:r w:rsidRPr="007A6DE4">
        <w:t xml:space="preserve"> education professionals hold a </w:t>
      </w:r>
      <w:r w:rsidR="00507B39" w:rsidRPr="007A6DE4">
        <w:t>bachelor’s</w:t>
      </w:r>
      <w:r w:rsidRPr="007A6DE4">
        <w:t xml:space="preserve"> degree or abov</w:t>
      </w:r>
      <w:r>
        <w:t>e</w:t>
      </w:r>
      <w:r w:rsidRPr="007A6DE4">
        <w:t>, and th</w:t>
      </w:r>
      <w:r>
        <w:t>o</w:t>
      </w:r>
      <w:r w:rsidRPr="007A6DE4">
        <w:t>se levels of attainment are growing strongly</w:t>
      </w:r>
      <w:r>
        <w:t xml:space="preserve"> however,</w:t>
      </w:r>
      <w:r w:rsidRPr="007A6DE4">
        <w:t xml:space="preserve"> demand growth for </w:t>
      </w:r>
      <w:r>
        <w:t>E</w:t>
      </w:r>
      <w:r w:rsidRPr="007A6DE4">
        <w:t xml:space="preserve">ducation </w:t>
      </w:r>
      <w:r>
        <w:t>P</w:t>
      </w:r>
      <w:r w:rsidRPr="007A6DE4">
        <w:t>rofessionals is only moderate</w:t>
      </w:r>
      <w:r>
        <w:t xml:space="preserve"> and </w:t>
      </w:r>
      <w:r w:rsidRPr="007A6DE4">
        <w:t xml:space="preserve">is forecast to gradually decline as a share of GDP. </w:t>
      </w:r>
      <w:r>
        <w:t>Relaxing the skill attainment constraints in the scenario, alleviates the over</w:t>
      </w:r>
      <w:r w:rsidR="00507B39">
        <w:t>-</w:t>
      </w:r>
      <w:r w:rsidRPr="007A6DE4">
        <w:t xml:space="preserve">supply of </w:t>
      </w:r>
      <w:r>
        <w:t>E</w:t>
      </w:r>
      <w:r w:rsidRPr="007A6DE4">
        <w:t xml:space="preserve">ducation </w:t>
      </w:r>
      <w:r>
        <w:t>P</w:t>
      </w:r>
      <w:r w:rsidRPr="007A6DE4">
        <w:t xml:space="preserve">rofessionals in the </w:t>
      </w:r>
      <w:r>
        <w:t>baseline projection.</w:t>
      </w:r>
    </w:p>
  </w:footnote>
  <w:footnote w:id="30">
    <w:p w14:paraId="4A06C1A1" w14:textId="77777777" w:rsidR="00631DE2" w:rsidRDefault="00631DE2" w:rsidP="00DE30EE">
      <w:pPr>
        <w:pStyle w:val="Footnote"/>
      </w:pPr>
      <w:r>
        <w:rPr>
          <w:rStyle w:val="FootnoteReference"/>
        </w:rPr>
        <w:footnoteRef/>
      </w:r>
      <w:r>
        <w:t xml:space="preserve"> When compared to the baseline employment projections by skill levels.</w:t>
      </w:r>
    </w:p>
  </w:footnote>
  <w:footnote w:id="31">
    <w:p w14:paraId="79D79BF8" w14:textId="5380B78E" w:rsidR="00B87585" w:rsidRDefault="00B87585" w:rsidP="00B81D14">
      <w:pPr>
        <w:pStyle w:val="Footnote"/>
      </w:pPr>
      <w:r>
        <w:rPr>
          <w:rStyle w:val="FootnoteReference"/>
        </w:rPr>
        <w:footnoteRef/>
      </w:r>
      <w:r>
        <w:t xml:space="preserve"> </w:t>
      </w:r>
      <w:r w:rsidR="00837D35">
        <w:t>Analysis based on A</w:t>
      </w:r>
      <w:r w:rsidR="004021B6">
        <w:t>ustralian Bureau of Statistics,</w:t>
      </w:r>
      <w:r w:rsidR="00837D35">
        <w:t xml:space="preserve"> Census </w:t>
      </w:r>
      <w:r w:rsidR="0030416D">
        <w:t xml:space="preserve">of </w:t>
      </w:r>
      <w:r w:rsidR="00923DD5">
        <w:t xml:space="preserve">Population and Housing, </w:t>
      </w:r>
      <w:r w:rsidR="00837D35">
        <w:t xml:space="preserve">2011 and 2021, </w:t>
      </w:r>
      <w:r w:rsidR="00923DD5">
        <w:t xml:space="preserve">TableBuilder. </w:t>
      </w:r>
    </w:p>
  </w:footnote>
  <w:footnote w:id="32">
    <w:p w14:paraId="5011B7FC" w14:textId="30A9A99D" w:rsidR="00EC5F6A" w:rsidRDefault="00EC5F6A" w:rsidP="0064195E">
      <w:pPr>
        <w:pStyle w:val="Footnote"/>
      </w:pPr>
      <w:r>
        <w:rPr>
          <w:rStyle w:val="FootnoteReference"/>
        </w:rPr>
        <w:footnoteRef/>
      </w:r>
      <w:r>
        <w:t xml:space="preserve"> </w:t>
      </w:r>
      <w:r w:rsidR="0064195E">
        <w:t>‘</w:t>
      </w:r>
      <w:r w:rsidR="0064195E" w:rsidRPr="0064195E">
        <w:t>Michelle’ is a fictional person created to illustrate this case study</w:t>
      </w:r>
      <w:r w:rsidR="0064195E">
        <w:t>.</w:t>
      </w:r>
    </w:p>
  </w:footnote>
  <w:footnote w:id="33">
    <w:p w14:paraId="57C66C31" w14:textId="320D382B" w:rsidR="00905D45" w:rsidRDefault="00905D45">
      <w:pPr>
        <w:pStyle w:val="FootnoteText"/>
      </w:pPr>
      <w:r>
        <w:rPr>
          <w:rStyle w:val="FootnoteReference"/>
        </w:rPr>
        <w:footnoteRef/>
      </w:r>
      <w:r>
        <w:t xml:space="preserve"> </w:t>
      </w:r>
      <w:r w:rsidR="00E22FAA">
        <w:t>*</w:t>
      </w:r>
      <w:r w:rsidRPr="00905D45">
        <w:rPr>
          <w:rStyle w:val="FootnoteChar"/>
        </w:rPr>
        <w:t>Does not account for additional fees and charges, or potential VSL/HELP loans, repayments or indexing</w:t>
      </w:r>
      <w:r>
        <w:rPr>
          <w:rStyle w:val="FootnoteChar"/>
        </w:rPr>
        <w:t>.</w:t>
      </w:r>
    </w:p>
  </w:footnote>
  <w:footnote w:id="34">
    <w:p w14:paraId="39EDEF65" w14:textId="726CC1B8" w:rsidR="00D50E62" w:rsidRDefault="00D50E62" w:rsidP="00D50E62">
      <w:pPr>
        <w:pStyle w:val="Footnote"/>
      </w:pPr>
      <w:r>
        <w:rPr>
          <w:rStyle w:val="FootnoteReference"/>
        </w:rPr>
        <w:footnoteRef/>
      </w:r>
      <w:r>
        <w:t xml:space="preserve"> </w:t>
      </w:r>
      <w:r w:rsidRPr="00D50E62">
        <w:t>New entrants into an occupation are defined as those who have reported working in an occupation for the first time compared to their previous returns in their income tax returns between 2011-2019.</w:t>
      </w:r>
      <w:r w:rsidR="008C52B1">
        <w:t xml:space="preserve"> </w:t>
      </w:r>
      <w:r w:rsidRPr="00D50E62">
        <w:t>The age in scope for the analysis are those aged 25 and under when reporting a new occupation.</w:t>
      </w:r>
    </w:p>
  </w:footnote>
  <w:footnote w:id="35">
    <w:p w14:paraId="6B50BAFA" w14:textId="63D13735" w:rsidR="00AE7650" w:rsidRDefault="00AE7650" w:rsidP="00CB408C">
      <w:pPr>
        <w:pStyle w:val="Footnote"/>
      </w:pPr>
      <w:r w:rsidRPr="002070A6">
        <w:rPr>
          <w:rStyle w:val="FootnoteReference"/>
          <w:sz w:val="16"/>
          <w:szCs w:val="16"/>
        </w:rPr>
        <w:footnoteRef/>
      </w:r>
      <w:r w:rsidRPr="002070A6">
        <w:t xml:space="preserve"> </w:t>
      </w:r>
      <w:r w:rsidR="00CB408C" w:rsidRPr="00CB408C">
        <w:t>However, it is important to note that the majority (about 100,000 per annum) of permanent migrants are not selected on the basis of their skills and rather enter Australia as the partners of migrants in the Skill Stream or as partners of Australian citizens and permanent residents entering under the Family Stream. That is, only about one third of new permanent residents are selected (in part) on the basis of their skills or human capital.</w:t>
      </w:r>
    </w:p>
  </w:footnote>
  <w:footnote w:id="36">
    <w:p w14:paraId="0884D4E3" w14:textId="77777777" w:rsidR="00CC0441" w:rsidRDefault="00CC0441" w:rsidP="00CC0441">
      <w:pPr>
        <w:pStyle w:val="Footnote"/>
      </w:pPr>
      <w:r>
        <w:rPr>
          <w:rStyle w:val="FootnoteReference"/>
        </w:rPr>
        <w:footnoteRef/>
      </w:r>
      <w:r>
        <w:t xml:space="preserve"> Source: Sprinklr</w:t>
      </w:r>
    </w:p>
    <w:p w14:paraId="39E01AB5" w14:textId="6AE7B2A6" w:rsidR="00CC0441" w:rsidRDefault="00CC0441" w:rsidP="00CC0441">
      <w:pPr>
        <w:pStyle w:val="Footnote"/>
        <w:ind w:firstLine="0"/>
      </w:pPr>
      <w:r>
        <w:t>Note: JSA mentions in the topic parameters of: ‘Regional’, ‘Training’, ‘Skills’, ‘Recruitment’, ‘Occupations’, ‘Migration’, ‘Labour Market’, and ‘Industries’ across platforms.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5C0A1" w14:textId="6AFA99E3" w:rsidR="009D6A0C" w:rsidRDefault="009D6A0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76AB269" w14:paraId="57D53ECD" w14:textId="77777777" w:rsidTr="576AB269">
      <w:trPr>
        <w:trHeight w:val="300"/>
      </w:trPr>
      <w:tc>
        <w:tcPr>
          <w:tcW w:w="3005" w:type="dxa"/>
        </w:tcPr>
        <w:p w14:paraId="461FE6D5" w14:textId="076F802E" w:rsidR="576AB269" w:rsidRDefault="576AB269" w:rsidP="576AB269">
          <w:pPr>
            <w:pStyle w:val="Header"/>
            <w:ind w:left="-115"/>
          </w:pPr>
        </w:p>
      </w:tc>
      <w:tc>
        <w:tcPr>
          <w:tcW w:w="3005" w:type="dxa"/>
        </w:tcPr>
        <w:p w14:paraId="6DC3180F" w14:textId="5C42AEB9" w:rsidR="576AB269" w:rsidRDefault="576AB269" w:rsidP="576AB269">
          <w:pPr>
            <w:pStyle w:val="Header"/>
            <w:jc w:val="center"/>
          </w:pPr>
        </w:p>
      </w:tc>
      <w:tc>
        <w:tcPr>
          <w:tcW w:w="3005" w:type="dxa"/>
        </w:tcPr>
        <w:p w14:paraId="6ABE341D" w14:textId="3D021FE0" w:rsidR="576AB269" w:rsidRDefault="576AB269" w:rsidP="576AB269">
          <w:pPr>
            <w:pStyle w:val="Header"/>
            <w:ind w:right="-115"/>
            <w:jc w:val="right"/>
          </w:pPr>
        </w:p>
      </w:tc>
    </w:tr>
  </w:tbl>
  <w:p w14:paraId="6B853316" w14:textId="386F925D" w:rsidR="576AB269" w:rsidRDefault="576AB269" w:rsidP="576AB26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76AB269" w14:paraId="5C2BE72E" w14:textId="77777777" w:rsidTr="576AB269">
      <w:trPr>
        <w:trHeight w:val="300"/>
      </w:trPr>
      <w:tc>
        <w:tcPr>
          <w:tcW w:w="3005" w:type="dxa"/>
        </w:tcPr>
        <w:p w14:paraId="5860EF61" w14:textId="59D9ABBB" w:rsidR="576AB269" w:rsidRDefault="576AB269" w:rsidP="576AB269">
          <w:pPr>
            <w:pStyle w:val="Header"/>
            <w:ind w:left="-115"/>
          </w:pPr>
        </w:p>
      </w:tc>
      <w:tc>
        <w:tcPr>
          <w:tcW w:w="3005" w:type="dxa"/>
        </w:tcPr>
        <w:p w14:paraId="51FE75E4" w14:textId="5B3E34E1" w:rsidR="576AB269" w:rsidRDefault="576AB269" w:rsidP="576AB269">
          <w:pPr>
            <w:pStyle w:val="Header"/>
            <w:jc w:val="center"/>
          </w:pPr>
        </w:p>
      </w:tc>
      <w:tc>
        <w:tcPr>
          <w:tcW w:w="3005" w:type="dxa"/>
        </w:tcPr>
        <w:p w14:paraId="3298DFA3" w14:textId="0F46A30B" w:rsidR="576AB269" w:rsidRDefault="576AB269" w:rsidP="576AB269">
          <w:pPr>
            <w:pStyle w:val="Header"/>
            <w:ind w:right="-115"/>
            <w:jc w:val="right"/>
          </w:pPr>
        </w:p>
      </w:tc>
    </w:tr>
  </w:tbl>
  <w:p w14:paraId="6EDC3CA4" w14:textId="74DD6C03" w:rsidR="576AB269" w:rsidRDefault="576AB269" w:rsidP="576AB26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53EB97" w14:textId="254BCCF6" w:rsidR="00A06692" w:rsidRDefault="00A06692">
    <w:pPr>
      <w:pStyle w:val="Header"/>
    </w:pPr>
    <w:r>
      <w:rPr>
        <w:noProof/>
      </w:rPr>
      <w:drawing>
        <wp:anchor distT="0" distB="0" distL="114300" distR="114300" simplePos="0" relativeHeight="251658253" behindDoc="1" locked="0" layoutInCell="1" allowOverlap="1" wp14:anchorId="6802CE42" wp14:editId="4466B36F">
          <wp:simplePos x="0" y="0"/>
          <wp:positionH relativeFrom="page">
            <wp:align>left</wp:align>
          </wp:positionH>
          <wp:positionV relativeFrom="page">
            <wp:align>top</wp:align>
          </wp:positionV>
          <wp:extent cx="7560000" cy="10692000"/>
          <wp:effectExtent l="0" t="0" r="3175" b="0"/>
          <wp:wrapNone/>
          <wp:docPr id="12577100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704498"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834566">
      <w:rPr>
        <w:noProof/>
      </w:rPr>
      <w:pict w14:anchorId="2B86AA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6" type="#_x0000_t136" style="position:absolute;margin-left:0;margin-top:0;width:578.4pt;height:57.8pt;rotation:315;z-index:-251658233;mso-position-horizontal:center;mso-position-horizontal-relative:margin;mso-position-vertical:center;mso-position-vertical-relative:margin" o:allowincell="f" fillcolor="silver" stroked="f">
          <v:fill opacity=".5"/>
          <v:textpath style="font-family:&quot;Arial&quot;;font-size:1pt" string="DRAFT - EMBARGOED"/>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81E5A" w14:textId="539CFAAE" w:rsidR="00A06692" w:rsidRDefault="00A06692" w:rsidP="576AB269">
    <w:pPr>
      <w:pStyle w:val="Header"/>
    </w:pPr>
    <w:r>
      <w:rPr>
        <w:noProof/>
      </w:rPr>
      <w:drawing>
        <wp:anchor distT="0" distB="0" distL="114300" distR="114300" simplePos="0" relativeHeight="251658251" behindDoc="1" locked="0" layoutInCell="1" allowOverlap="1" wp14:anchorId="4849C472" wp14:editId="2CDE69DE">
          <wp:simplePos x="0" y="0"/>
          <wp:positionH relativeFrom="page">
            <wp:align>left</wp:align>
          </wp:positionH>
          <wp:positionV relativeFrom="page">
            <wp:align>top</wp:align>
          </wp:positionV>
          <wp:extent cx="7560000" cy="10692000"/>
          <wp:effectExtent l="0" t="0" r="3175" b="0"/>
          <wp:wrapNone/>
          <wp:docPr id="192312394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243012"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834566">
      <w:rPr>
        <w:noProof/>
      </w:rPr>
      <w:pict w14:anchorId="14D234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7" type="#_x0000_t136" style="position:absolute;margin-left:0;margin-top:0;width:578.4pt;height:57.8pt;rotation:315;z-index:-251658232;mso-position-horizontal:center;mso-position-horizontal-relative:margin;mso-position-vertical:center;mso-position-vertical-relative:margin" o:allowincell="f" fillcolor="silver" stroked="f">
          <v:fill opacity=".5"/>
          <v:textpath style="font-family:&quot;Arial&quot;;font-size:1pt" string="DRAFT - EMBARGOED"/>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6D789" w14:textId="1256C8B6" w:rsidR="00A06692" w:rsidRDefault="00A0669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79A54" w14:textId="7721047A" w:rsidR="00A06692" w:rsidRDefault="00A0669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A06692" w14:paraId="3FD2FCF8" w14:textId="77777777" w:rsidTr="576AB269">
      <w:trPr>
        <w:trHeight w:val="300"/>
      </w:trPr>
      <w:tc>
        <w:tcPr>
          <w:tcW w:w="3005" w:type="dxa"/>
        </w:tcPr>
        <w:p w14:paraId="09A5564E" w14:textId="77777777" w:rsidR="00A06692" w:rsidRDefault="00A06692" w:rsidP="576AB269">
          <w:pPr>
            <w:pStyle w:val="Header"/>
            <w:ind w:left="-115"/>
          </w:pPr>
        </w:p>
      </w:tc>
      <w:tc>
        <w:tcPr>
          <w:tcW w:w="3005" w:type="dxa"/>
        </w:tcPr>
        <w:p w14:paraId="26ECA1F7" w14:textId="77777777" w:rsidR="00A06692" w:rsidRDefault="00A06692" w:rsidP="576AB269">
          <w:pPr>
            <w:pStyle w:val="Header"/>
            <w:jc w:val="center"/>
          </w:pPr>
        </w:p>
      </w:tc>
      <w:tc>
        <w:tcPr>
          <w:tcW w:w="3005" w:type="dxa"/>
        </w:tcPr>
        <w:p w14:paraId="5F0E39F9" w14:textId="77777777" w:rsidR="00A06692" w:rsidRDefault="00A06692" w:rsidP="576AB269">
          <w:pPr>
            <w:pStyle w:val="Header"/>
            <w:ind w:right="-115"/>
            <w:jc w:val="right"/>
          </w:pPr>
        </w:p>
      </w:tc>
    </w:tr>
  </w:tbl>
  <w:p w14:paraId="1C3F8512" w14:textId="0826CF7A" w:rsidR="00A06692" w:rsidRDefault="00A06692" w:rsidP="576AB26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A40E5" w14:textId="7DF4A126" w:rsidR="00A06692" w:rsidRDefault="00A0669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A06692" w14:paraId="15341006" w14:textId="77777777" w:rsidTr="576AB269">
      <w:trPr>
        <w:trHeight w:val="300"/>
      </w:trPr>
      <w:tc>
        <w:tcPr>
          <w:tcW w:w="3005" w:type="dxa"/>
        </w:tcPr>
        <w:p w14:paraId="0D1B15D2" w14:textId="77777777" w:rsidR="00A06692" w:rsidRDefault="00A06692" w:rsidP="576AB269">
          <w:pPr>
            <w:pStyle w:val="Header"/>
            <w:ind w:left="-115"/>
          </w:pPr>
        </w:p>
      </w:tc>
      <w:tc>
        <w:tcPr>
          <w:tcW w:w="3005" w:type="dxa"/>
        </w:tcPr>
        <w:p w14:paraId="6320DC59" w14:textId="77777777" w:rsidR="00A06692" w:rsidRDefault="00A06692" w:rsidP="576AB269">
          <w:pPr>
            <w:pStyle w:val="Header"/>
            <w:jc w:val="center"/>
          </w:pPr>
        </w:p>
      </w:tc>
      <w:tc>
        <w:tcPr>
          <w:tcW w:w="3005" w:type="dxa"/>
        </w:tcPr>
        <w:p w14:paraId="7EB231F9" w14:textId="77777777" w:rsidR="00A06692" w:rsidRDefault="00A06692" w:rsidP="576AB269">
          <w:pPr>
            <w:pStyle w:val="Header"/>
            <w:ind w:right="-115"/>
            <w:jc w:val="right"/>
          </w:pPr>
        </w:p>
      </w:tc>
    </w:tr>
  </w:tbl>
  <w:p w14:paraId="095785AF" w14:textId="5EA0676A" w:rsidR="00A06692" w:rsidRDefault="00FF7743" w:rsidP="576AB269">
    <w:pPr>
      <w:pStyle w:val="Header"/>
    </w:pPr>
    <w:r>
      <w:rPr>
        <w:noProof/>
      </w:rPr>
      <w:drawing>
        <wp:anchor distT="0" distB="0" distL="114300" distR="114300" simplePos="0" relativeHeight="251658264" behindDoc="1" locked="0" layoutInCell="1" allowOverlap="1" wp14:anchorId="4AAC30B6" wp14:editId="606ED1CA">
          <wp:simplePos x="0" y="0"/>
          <wp:positionH relativeFrom="page">
            <wp:align>left</wp:align>
          </wp:positionH>
          <wp:positionV relativeFrom="page">
            <wp:align>top</wp:align>
          </wp:positionV>
          <wp:extent cx="7560000" cy="10692000"/>
          <wp:effectExtent l="0" t="0" r="3175" b="0"/>
          <wp:wrapNone/>
          <wp:docPr id="507321863"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154462"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834566">
      <w:rPr>
        <w:noProof/>
      </w:rPr>
      <w:pict w14:anchorId="7ABBAE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3" type="#_x0000_t136" style="position:absolute;margin-left:0;margin-top:0;width:578.4pt;height:57.8pt;rotation:315;z-index:-251658226;mso-position-horizontal:center;mso-position-horizontal-relative:margin;mso-position-vertical:center;mso-position-vertical-relative:margin" o:allowincell="f" fillcolor="silver" stroked="f">
          <v:fill opacity=".5"/>
          <v:textpath style="font-family:&quot;Arial&quot;;font-size:1pt" string="DRAFT - EMBARGOED"/>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A06692" w14:paraId="73B31218" w14:textId="77777777" w:rsidTr="576AB269">
      <w:trPr>
        <w:trHeight w:val="300"/>
      </w:trPr>
      <w:tc>
        <w:tcPr>
          <w:tcW w:w="3005" w:type="dxa"/>
        </w:tcPr>
        <w:p w14:paraId="01BA953F" w14:textId="77777777" w:rsidR="00A06692" w:rsidRDefault="00A06692" w:rsidP="576AB269">
          <w:pPr>
            <w:pStyle w:val="Header"/>
            <w:ind w:left="-115"/>
          </w:pPr>
        </w:p>
      </w:tc>
      <w:tc>
        <w:tcPr>
          <w:tcW w:w="3005" w:type="dxa"/>
        </w:tcPr>
        <w:p w14:paraId="6DFC45F6" w14:textId="77777777" w:rsidR="00A06692" w:rsidRDefault="00A06692" w:rsidP="576AB269">
          <w:pPr>
            <w:pStyle w:val="Header"/>
            <w:jc w:val="center"/>
          </w:pPr>
        </w:p>
      </w:tc>
      <w:tc>
        <w:tcPr>
          <w:tcW w:w="3005" w:type="dxa"/>
        </w:tcPr>
        <w:p w14:paraId="0214D16E" w14:textId="77777777" w:rsidR="00A06692" w:rsidRDefault="00A06692" w:rsidP="576AB269">
          <w:pPr>
            <w:pStyle w:val="Header"/>
            <w:ind w:right="-115"/>
            <w:jc w:val="right"/>
          </w:pPr>
        </w:p>
      </w:tc>
    </w:tr>
  </w:tbl>
  <w:p w14:paraId="37CA1836" w14:textId="60B3D573" w:rsidR="00A06692" w:rsidRDefault="00A06692" w:rsidP="576AB269">
    <w:pPr>
      <w:pStyle w:val="Header"/>
    </w:pPr>
    <w:r>
      <w:rPr>
        <w:noProof/>
      </w:rPr>
      <w:drawing>
        <wp:anchor distT="0" distB="0" distL="114300" distR="114300" simplePos="0" relativeHeight="251658257" behindDoc="1" locked="0" layoutInCell="1" allowOverlap="1" wp14:anchorId="6E1082C1" wp14:editId="33510BB4">
          <wp:simplePos x="0" y="0"/>
          <wp:positionH relativeFrom="page">
            <wp:align>left</wp:align>
          </wp:positionH>
          <wp:positionV relativeFrom="page">
            <wp:align>top</wp:align>
          </wp:positionV>
          <wp:extent cx="7560000" cy="10689432"/>
          <wp:effectExtent l="0" t="0" r="3175" b="0"/>
          <wp:wrapNone/>
          <wp:docPr id="1726308065"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154462"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9432"/>
                  </a:xfrm>
                  <a:prstGeom prst="rect">
                    <a:avLst/>
                  </a:prstGeom>
                </pic:spPr>
              </pic:pic>
            </a:graphicData>
          </a:graphic>
          <wp14:sizeRelH relativeFrom="margin">
            <wp14:pctWidth>0</wp14:pctWidth>
          </wp14:sizeRelH>
          <wp14:sizeRelV relativeFrom="margin">
            <wp14:pctHeight>0</wp14:pctHeight>
          </wp14:sizeRelV>
        </wp:anchor>
      </w:drawing>
    </w:r>
    <w:r w:rsidR="00834566">
      <w:rPr>
        <w:noProof/>
      </w:rPr>
      <w:pict w14:anchorId="6BBE61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5" type="#_x0000_t136" style="position:absolute;margin-left:0;margin-top:0;width:578.4pt;height:57.8pt;rotation:315;z-index:-251658224;mso-position-horizontal:center;mso-position-horizontal-relative:margin;mso-position-vertical:center;mso-position-vertical-relative:margin" o:allowincell="f" fillcolor="silver" stroked="f">
          <v:fill opacity=".5"/>
          <v:textpath style="font-family:&quot;Arial&quot;;font-size:1pt" string="DRAFT - EMBARGO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6A9A0" w14:textId="23042E61" w:rsidR="009D6A0C" w:rsidRDefault="009D6A0C">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FF7743" w14:paraId="4864E43F" w14:textId="77777777" w:rsidTr="576AB269">
      <w:trPr>
        <w:trHeight w:val="300"/>
      </w:trPr>
      <w:tc>
        <w:tcPr>
          <w:tcW w:w="3005" w:type="dxa"/>
        </w:tcPr>
        <w:p w14:paraId="1E174B57" w14:textId="77777777" w:rsidR="00FF7743" w:rsidRDefault="00FF7743" w:rsidP="576AB269">
          <w:pPr>
            <w:pStyle w:val="Header"/>
            <w:ind w:left="-115"/>
          </w:pPr>
        </w:p>
      </w:tc>
      <w:tc>
        <w:tcPr>
          <w:tcW w:w="3005" w:type="dxa"/>
        </w:tcPr>
        <w:p w14:paraId="7EB214E1" w14:textId="77777777" w:rsidR="00FF7743" w:rsidRDefault="00FF7743" w:rsidP="576AB269">
          <w:pPr>
            <w:pStyle w:val="Header"/>
            <w:jc w:val="center"/>
          </w:pPr>
        </w:p>
      </w:tc>
      <w:tc>
        <w:tcPr>
          <w:tcW w:w="3005" w:type="dxa"/>
        </w:tcPr>
        <w:p w14:paraId="10D7F87F" w14:textId="77777777" w:rsidR="00FF7743" w:rsidRDefault="00FF7743" w:rsidP="576AB269">
          <w:pPr>
            <w:pStyle w:val="Header"/>
            <w:ind w:right="-115"/>
            <w:jc w:val="right"/>
          </w:pPr>
        </w:p>
      </w:tc>
    </w:tr>
  </w:tbl>
  <w:p w14:paraId="619522FF" w14:textId="6C7FF4F4" w:rsidR="00FF7743" w:rsidRDefault="00FF7743" w:rsidP="576AB269">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A06692" w14:paraId="09A22AEE" w14:textId="77777777" w:rsidTr="576AB269">
      <w:trPr>
        <w:trHeight w:val="300"/>
      </w:trPr>
      <w:tc>
        <w:tcPr>
          <w:tcW w:w="3005" w:type="dxa"/>
        </w:tcPr>
        <w:p w14:paraId="458EBFC2" w14:textId="77777777" w:rsidR="00A06692" w:rsidRDefault="00A06692" w:rsidP="576AB269">
          <w:pPr>
            <w:pStyle w:val="Header"/>
            <w:ind w:left="-115"/>
          </w:pPr>
        </w:p>
      </w:tc>
      <w:tc>
        <w:tcPr>
          <w:tcW w:w="3005" w:type="dxa"/>
        </w:tcPr>
        <w:p w14:paraId="105F547D" w14:textId="77777777" w:rsidR="00A06692" w:rsidRDefault="00A06692" w:rsidP="576AB269">
          <w:pPr>
            <w:pStyle w:val="Header"/>
            <w:jc w:val="center"/>
          </w:pPr>
        </w:p>
      </w:tc>
      <w:tc>
        <w:tcPr>
          <w:tcW w:w="3005" w:type="dxa"/>
        </w:tcPr>
        <w:p w14:paraId="3438FF2D" w14:textId="77777777" w:rsidR="00A06692" w:rsidRDefault="00A06692" w:rsidP="576AB269">
          <w:pPr>
            <w:pStyle w:val="Header"/>
            <w:ind w:right="-115"/>
            <w:jc w:val="right"/>
          </w:pPr>
        </w:p>
      </w:tc>
    </w:tr>
  </w:tbl>
  <w:p w14:paraId="2D55AE2D" w14:textId="6CF38B19" w:rsidR="00A06692" w:rsidRDefault="00A06692" w:rsidP="576AB269">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FB1F74" w14:paraId="7BA8F041" w14:textId="77777777" w:rsidTr="576AB269">
      <w:trPr>
        <w:trHeight w:val="300"/>
      </w:trPr>
      <w:tc>
        <w:tcPr>
          <w:tcW w:w="3005" w:type="dxa"/>
        </w:tcPr>
        <w:p w14:paraId="73809F8D" w14:textId="77777777" w:rsidR="00FB1F74" w:rsidRDefault="00FB1F74" w:rsidP="576AB269">
          <w:pPr>
            <w:pStyle w:val="Header"/>
            <w:ind w:left="-115"/>
          </w:pPr>
        </w:p>
      </w:tc>
      <w:tc>
        <w:tcPr>
          <w:tcW w:w="3005" w:type="dxa"/>
        </w:tcPr>
        <w:p w14:paraId="2875D358" w14:textId="77777777" w:rsidR="00FB1F74" w:rsidRDefault="00FB1F74" w:rsidP="576AB269">
          <w:pPr>
            <w:pStyle w:val="Header"/>
            <w:jc w:val="center"/>
          </w:pPr>
        </w:p>
      </w:tc>
      <w:tc>
        <w:tcPr>
          <w:tcW w:w="3005" w:type="dxa"/>
        </w:tcPr>
        <w:p w14:paraId="4B3998D5" w14:textId="77777777" w:rsidR="00FB1F74" w:rsidRDefault="00FB1F74" w:rsidP="576AB269">
          <w:pPr>
            <w:pStyle w:val="Header"/>
            <w:ind w:right="-115"/>
            <w:jc w:val="right"/>
          </w:pPr>
        </w:p>
      </w:tc>
    </w:tr>
  </w:tbl>
  <w:p w14:paraId="1B15D564" w14:textId="77777777" w:rsidR="00FB1F74" w:rsidRDefault="00FB1F74" w:rsidP="576AB269">
    <w:pPr>
      <w:pStyle w:val="Header"/>
    </w:pPr>
    <w:r>
      <w:rPr>
        <w:noProof/>
      </w:rPr>
      <w:drawing>
        <wp:anchor distT="0" distB="0" distL="114300" distR="114300" simplePos="0" relativeHeight="251658267" behindDoc="1" locked="0" layoutInCell="1" allowOverlap="1" wp14:anchorId="2FA826D6" wp14:editId="23E87B46">
          <wp:simplePos x="0" y="0"/>
          <wp:positionH relativeFrom="page">
            <wp:align>left</wp:align>
          </wp:positionH>
          <wp:positionV relativeFrom="page">
            <wp:align>top</wp:align>
          </wp:positionV>
          <wp:extent cx="7559999" cy="10689432"/>
          <wp:effectExtent l="0" t="0" r="3175" b="0"/>
          <wp:wrapNone/>
          <wp:docPr id="197816143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52847"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9432"/>
                  </a:xfrm>
                  <a:prstGeom prst="rect">
                    <a:avLst/>
                  </a:prstGeom>
                </pic:spPr>
              </pic:pic>
            </a:graphicData>
          </a:graphic>
          <wp14:sizeRelH relativeFrom="margin">
            <wp14:pctWidth>0</wp14:pctWidth>
          </wp14:sizeRelH>
          <wp14:sizeRelV relativeFrom="margin">
            <wp14:pctHeight>0</wp14:pctHeight>
          </wp14:sizeRelV>
        </wp:anchor>
      </w:drawing>
    </w:r>
    <w:r w:rsidR="00834566">
      <w:rPr>
        <w:noProof/>
      </w:rPr>
      <w:pict w14:anchorId="5AD334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2" type="#_x0000_t136" style="position:absolute;margin-left:0;margin-top:0;width:578.4pt;height:57.8pt;rotation:315;z-index:-251658214;mso-position-horizontal:center;mso-position-horizontal-relative:margin;mso-position-vertical:center;mso-position-vertical-relative:margin" o:allowincell="f" fillcolor="silver" stroked="f">
          <v:fill opacity=".5"/>
          <v:textpath style="font-family:&quot;Arial&quot;;font-size:1pt" string="DRAFT - EMBARGO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8C26A" w14:textId="3E58070E" w:rsidR="001925C2" w:rsidRDefault="001925C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B7386" w14:textId="65AC3F80" w:rsidR="001925C2" w:rsidRDefault="001925C2">
    <w:pPr>
      <w:pStyle w:val="Header"/>
    </w:pPr>
    <w:r>
      <w:rPr>
        <w:noProof/>
      </w:rPr>
      <w:drawing>
        <wp:anchor distT="0" distB="0" distL="114300" distR="114300" simplePos="0" relativeHeight="251658263" behindDoc="1" locked="0" layoutInCell="1" allowOverlap="1" wp14:anchorId="1C0D0D82" wp14:editId="1F17906D">
          <wp:simplePos x="0" y="0"/>
          <wp:positionH relativeFrom="page">
            <wp:align>left</wp:align>
          </wp:positionH>
          <wp:positionV relativeFrom="page">
            <wp:align>top</wp:align>
          </wp:positionV>
          <wp:extent cx="7560000" cy="10692000"/>
          <wp:effectExtent l="0" t="0" r="3175" b="0"/>
          <wp:wrapNone/>
          <wp:docPr id="150437836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27069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834566">
      <w:rPr>
        <w:noProof/>
      </w:rPr>
      <w:pict w14:anchorId="5EE6D8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9" type="#_x0000_t136" style="position:absolute;margin-left:0;margin-top:0;width:578.4pt;height:57.8pt;rotation:315;z-index:-251658219;mso-position-horizontal:center;mso-position-horizontal-relative:margin;mso-position-vertical:center;mso-position-vertical-relative:margin" o:allowincell="f" fillcolor="silver" stroked="f">
          <v:fill opacity=".5"/>
          <v:textpath style="font-family:&quot;Arial&quot;;font-size:1pt" string="DRAFT - EMBARGO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DAC27" w14:textId="7DDAE758" w:rsidR="009D6A0C" w:rsidRDefault="009D6A0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949DD6" w14:textId="6D84AD1C" w:rsidR="009D6A0C" w:rsidRDefault="009D6A0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DC54C" w14:textId="22E9B9FF" w:rsidR="00A06692" w:rsidRDefault="00A0669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BC293" w14:textId="460DB2CF" w:rsidR="00A06692" w:rsidRDefault="00A06692">
    <w:pPr>
      <w:pStyle w:val="Header"/>
    </w:pPr>
    <w:r>
      <w:rPr>
        <w:noProof/>
      </w:rPr>
      <w:drawing>
        <wp:anchor distT="0" distB="0" distL="114300" distR="114300" simplePos="0" relativeHeight="251658245" behindDoc="1" locked="0" layoutInCell="1" allowOverlap="1" wp14:anchorId="16917BA1" wp14:editId="7D3B507F">
          <wp:simplePos x="0" y="0"/>
          <wp:positionH relativeFrom="page">
            <wp:align>left</wp:align>
          </wp:positionH>
          <wp:positionV relativeFrom="page">
            <wp:align>top</wp:align>
          </wp:positionV>
          <wp:extent cx="7560000" cy="10692000"/>
          <wp:effectExtent l="0" t="0" r="3175" b="0"/>
          <wp:wrapNone/>
          <wp:docPr id="84497297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776134"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834566">
      <w:rPr>
        <w:noProof/>
      </w:rPr>
      <w:pict w14:anchorId="00E6BB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3" type="#_x0000_t136" style="position:absolute;margin-left:0;margin-top:0;width:578.4pt;height:57.8pt;rotation:315;z-index:-251658236;mso-position-horizontal:center;mso-position-horizontal-relative:margin;mso-position-vertical:center;mso-position-vertical-relative:margin" o:allowincell="f" fillcolor="silver" stroked="f">
          <v:fill opacity=".5"/>
          <v:textpath style="font-family:&quot;Arial&quot;;font-size:1pt" string="DRAFT - EMBARGOED"/>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12607" w14:textId="6D859344" w:rsidR="00DA652B" w:rsidRDefault="00DA65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B396284E"/>
    <w:lvl w:ilvl="0">
      <w:start w:val="1"/>
      <w:numFmt w:val="decimal"/>
      <w:pStyle w:val="ListNumber"/>
      <w:lvlText w:val="%1."/>
      <w:lvlJc w:val="left"/>
      <w:pPr>
        <w:tabs>
          <w:tab w:val="num" w:pos="360"/>
        </w:tabs>
        <w:ind w:left="360" w:hanging="360"/>
      </w:pPr>
    </w:lvl>
  </w:abstractNum>
  <w:abstractNum w:abstractNumId="1" w15:restartNumberingAfterBreak="0">
    <w:nsid w:val="031736A7"/>
    <w:multiLevelType w:val="hybridMultilevel"/>
    <w:tmpl w:val="29121BDE"/>
    <w:lvl w:ilvl="0" w:tplc="7320345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713C42"/>
    <w:multiLevelType w:val="hybridMultilevel"/>
    <w:tmpl w:val="DFCC14D2"/>
    <w:lvl w:ilvl="0" w:tplc="B65EE2B6">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4AD0559"/>
    <w:multiLevelType w:val="multilevel"/>
    <w:tmpl w:val="CD249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DB1CD0"/>
    <w:multiLevelType w:val="multilevel"/>
    <w:tmpl w:val="2A1E4B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2D532F"/>
    <w:multiLevelType w:val="multilevel"/>
    <w:tmpl w:val="D586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6405D5"/>
    <w:multiLevelType w:val="hybridMultilevel"/>
    <w:tmpl w:val="FAD097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C55AE9"/>
    <w:multiLevelType w:val="hybridMultilevel"/>
    <w:tmpl w:val="B3B221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414F29"/>
    <w:multiLevelType w:val="hybridMultilevel"/>
    <w:tmpl w:val="3536AC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DF7717"/>
    <w:multiLevelType w:val="multilevel"/>
    <w:tmpl w:val="84F66254"/>
    <w:lvl w:ilvl="0">
      <w:start w:val="2"/>
      <w:numFmt w:val="decimal"/>
      <w:pStyle w:val="Heading1Numbered"/>
      <w:lvlText w:val="%1"/>
      <w:lvlJc w:val="left"/>
      <w:pPr>
        <w:ind w:left="1134" w:hanging="1134"/>
      </w:pPr>
      <w:rPr>
        <w:rFonts w:hint="default"/>
      </w:rPr>
    </w:lvl>
    <w:lvl w:ilvl="1">
      <w:start w:val="1"/>
      <w:numFmt w:val="decimal"/>
      <w:pStyle w:val="Heading2Numbered"/>
      <w:lvlText w:val="%1.%2"/>
      <w:lvlJc w:val="left"/>
      <w:pPr>
        <w:ind w:left="1134" w:hanging="1134"/>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701" w:hanging="1701"/>
      </w:pPr>
      <w:rPr>
        <w:rFonts w:hint="default"/>
      </w:rPr>
    </w:lvl>
    <w:lvl w:ilvl="5">
      <w:start w:val="1"/>
      <w:numFmt w:val="decimal"/>
      <w:lvlRestart w:val="1"/>
      <w:pStyle w:val="BoxHeadingBox11"/>
      <w:suff w:val="space"/>
      <w:lvlText w:val="Box %1.%6"/>
      <w:lvlJc w:val="left"/>
      <w:pPr>
        <w:ind w:left="1134" w:hanging="1134"/>
      </w:pPr>
      <w:rPr>
        <w:rFonts w:hint="default"/>
      </w:rPr>
    </w:lvl>
    <w:lvl w:ilvl="6">
      <w:start w:val="1"/>
      <w:numFmt w:val="decimal"/>
      <w:lvlRestart w:val="1"/>
      <w:pStyle w:val="FigureMainHeading"/>
      <w:suff w:val="space"/>
      <w:lvlText w:val="Figure %1.%7"/>
      <w:lvlJc w:val="left"/>
      <w:pPr>
        <w:ind w:left="1134" w:hanging="1134"/>
      </w:pPr>
      <w:rPr>
        <w:rFonts w:hint="default"/>
      </w:rPr>
    </w:lvl>
    <w:lvl w:ilvl="7">
      <w:start w:val="1"/>
      <w:numFmt w:val="decimal"/>
      <w:lvlRestart w:val="1"/>
      <w:pStyle w:val="ChartMainHeading"/>
      <w:suff w:val="space"/>
      <w:lvlText w:val="Chart %1.%8"/>
      <w:lvlJc w:val="left"/>
      <w:pPr>
        <w:ind w:left="1134" w:hanging="1134"/>
      </w:pPr>
      <w:rPr>
        <w:rFonts w:hint="default"/>
      </w:rPr>
    </w:lvl>
    <w:lvl w:ilvl="8">
      <w:start w:val="1"/>
      <w:numFmt w:val="decimal"/>
      <w:lvlRestart w:val="1"/>
      <w:pStyle w:val="TableMainHeading"/>
      <w:suff w:val="space"/>
      <w:lvlText w:val="Table %1.%9"/>
      <w:lvlJc w:val="left"/>
      <w:pPr>
        <w:ind w:left="1134" w:hanging="1134"/>
      </w:pPr>
      <w:rPr>
        <w:rFonts w:hint="default"/>
      </w:rPr>
    </w:lvl>
  </w:abstractNum>
  <w:abstractNum w:abstractNumId="10" w15:restartNumberingAfterBreak="0">
    <w:nsid w:val="1D575B7B"/>
    <w:multiLevelType w:val="hybridMultilevel"/>
    <w:tmpl w:val="C51AE860"/>
    <w:lvl w:ilvl="0" w:tplc="6BC49ECE">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585F53"/>
    <w:multiLevelType w:val="multilevel"/>
    <w:tmpl w:val="A3E88540"/>
    <w:name w:val="ListBullets"/>
    <w:lvl w:ilvl="0">
      <w:start w:val="1"/>
      <w:numFmt w:val="bullet"/>
      <w:pStyle w:val="ListBullet"/>
      <w:lvlText w:val="•"/>
      <w:lvlJc w:val="left"/>
      <w:pPr>
        <w:ind w:left="340" w:hanging="340"/>
      </w:pPr>
      <w:rPr>
        <w:rFonts w:ascii="Calibri" w:hAnsi="Calibri" w:hint="default"/>
        <w:color w:val="auto"/>
      </w:rPr>
    </w:lvl>
    <w:lvl w:ilvl="1">
      <w:start w:val="1"/>
      <w:numFmt w:val="bullet"/>
      <w:pStyle w:val="ListBullet2"/>
      <w:lvlText w:val="–"/>
      <w:lvlJc w:val="left"/>
      <w:pPr>
        <w:ind w:left="680" w:hanging="340"/>
      </w:pPr>
      <w:rPr>
        <w:rFonts w:ascii="Arial" w:hAnsi="Arial" w:hint="default"/>
        <w:color w:val="auto"/>
      </w:rPr>
    </w:lvl>
    <w:lvl w:ilvl="2">
      <w:start w:val="1"/>
      <w:numFmt w:val="bullet"/>
      <w:pStyle w:val="ListBullet3"/>
      <w:lvlText w:val="○"/>
      <w:lvlJc w:val="left"/>
      <w:pPr>
        <w:ind w:left="1020" w:hanging="340"/>
      </w:pPr>
      <w:rPr>
        <w:rFonts w:ascii="Times New Roman" w:hAnsi="Times New Roman" w:cs="Times New Roman" w:hint="default"/>
        <w:color w:val="auto"/>
      </w:rPr>
    </w:lvl>
    <w:lvl w:ilvl="3">
      <w:start w:val="1"/>
      <w:numFmt w:val="bullet"/>
      <w:pStyle w:val="ListBullet4"/>
      <w:lvlText w:val="•"/>
      <w:lvlJc w:val="left"/>
      <w:pPr>
        <w:ind w:left="1360" w:hanging="340"/>
      </w:pPr>
      <w:rPr>
        <w:rFonts w:ascii="Arial" w:hAnsi="Arial" w:hint="default"/>
        <w:color w:val="auto"/>
      </w:rPr>
    </w:lvl>
    <w:lvl w:ilvl="4">
      <w:start w:val="1"/>
      <w:numFmt w:val="none"/>
      <w:lvlText w:val=""/>
      <w:lvlJc w:val="left"/>
      <w:pPr>
        <w:tabs>
          <w:tab w:val="num" w:pos="1712"/>
        </w:tabs>
        <w:ind w:left="1700" w:hanging="340"/>
      </w:pPr>
      <w:rPr>
        <w:rFonts w:hint="default"/>
      </w:rPr>
    </w:lvl>
    <w:lvl w:ilvl="5">
      <w:start w:val="1"/>
      <w:numFmt w:val="none"/>
      <w:lvlText w:val=""/>
      <w:lvlJc w:val="left"/>
      <w:pPr>
        <w:tabs>
          <w:tab w:val="num" w:pos="2069"/>
        </w:tabs>
        <w:ind w:left="2040" w:hanging="340"/>
      </w:pPr>
      <w:rPr>
        <w:rFonts w:hint="default"/>
      </w:rPr>
    </w:lvl>
    <w:lvl w:ilvl="6">
      <w:start w:val="1"/>
      <w:numFmt w:val="none"/>
      <w:lvlText w:val=""/>
      <w:lvlJc w:val="left"/>
      <w:pPr>
        <w:tabs>
          <w:tab w:val="num" w:pos="2426"/>
        </w:tabs>
        <w:ind w:left="2380" w:hanging="340"/>
      </w:pPr>
      <w:rPr>
        <w:rFonts w:hint="default"/>
      </w:rPr>
    </w:lvl>
    <w:lvl w:ilvl="7">
      <w:start w:val="1"/>
      <w:numFmt w:val="none"/>
      <w:lvlText w:val=""/>
      <w:lvlJc w:val="left"/>
      <w:pPr>
        <w:tabs>
          <w:tab w:val="num" w:pos="2783"/>
        </w:tabs>
        <w:ind w:left="2720" w:hanging="340"/>
      </w:pPr>
      <w:rPr>
        <w:rFonts w:hint="default"/>
      </w:rPr>
    </w:lvl>
    <w:lvl w:ilvl="8">
      <w:start w:val="1"/>
      <w:numFmt w:val="none"/>
      <w:lvlText w:val=""/>
      <w:lvlJc w:val="left"/>
      <w:pPr>
        <w:tabs>
          <w:tab w:val="num" w:pos="3140"/>
        </w:tabs>
        <w:ind w:left="3060" w:hanging="340"/>
      </w:pPr>
      <w:rPr>
        <w:rFonts w:hint="default"/>
      </w:rPr>
    </w:lvl>
  </w:abstractNum>
  <w:abstractNum w:abstractNumId="12" w15:restartNumberingAfterBreak="0">
    <w:nsid w:val="1E346709"/>
    <w:multiLevelType w:val="multilevel"/>
    <w:tmpl w:val="090E98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3C215D"/>
    <w:multiLevelType w:val="hybridMultilevel"/>
    <w:tmpl w:val="6F187AC4"/>
    <w:lvl w:ilvl="0" w:tplc="0C090001">
      <w:start w:val="1"/>
      <w:numFmt w:val="bullet"/>
      <w:lvlText w:val=""/>
      <w:lvlJc w:val="left"/>
      <w:pPr>
        <w:ind w:left="720" w:hanging="360"/>
      </w:pPr>
      <w:rPr>
        <w:rFonts w:ascii="Symbol" w:hAnsi="Symbol" w:hint="default"/>
      </w:rPr>
    </w:lvl>
    <w:lvl w:ilvl="1" w:tplc="223257A2">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2F3766A"/>
    <w:multiLevelType w:val="hybridMultilevel"/>
    <w:tmpl w:val="E1309DB6"/>
    <w:lvl w:ilvl="0" w:tplc="56128356">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2F55BBD"/>
    <w:multiLevelType w:val="hybridMultilevel"/>
    <w:tmpl w:val="3C5E3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D25120"/>
    <w:multiLevelType w:val="hybridMultilevel"/>
    <w:tmpl w:val="F514BD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76F167D"/>
    <w:multiLevelType w:val="hybridMultilevel"/>
    <w:tmpl w:val="EB7CA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E12123"/>
    <w:multiLevelType w:val="hybridMultilevel"/>
    <w:tmpl w:val="D77C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0C0758D"/>
    <w:multiLevelType w:val="hybridMultilevel"/>
    <w:tmpl w:val="DE40D570"/>
    <w:lvl w:ilvl="0" w:tplc="04D8443A">
      <w:start w:val="23"/>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2994308"/>
    <w:multiLevelType w:val="multilevel"/>
    <w:tmpl w:val="74BE10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BE7882"/>
    <w:multiLevelType w:val="multilevel"/>
    <w:tmpl w:val="B99620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EE5464"/>
    <w:multiLevelType w:val="hybridMultilevel"/>
    <w:tmpl w:val="815C4D40"/>
    <w:lvl w:ilvl="0" w:tplc="C68A365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80C7468"/>
    <w:multiLevelType w:val="hybridMultilevel"/>
    <w:tmpl w:val="09F0AE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9745303"/>
    <w:multiLevelType w:val="multilevel"/>
    <w:tmpl w:val="A7EED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831ECC"/>
    <w:multiLevelType w:val="hybridMultilevel"/>
    <w:tmpl w:val="5FB4E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D6E6C28"/>
    <w:multiLevelType w:val="hybridMultilevel"/>
    <w:tmpl w:val="F6D61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00D7137"/>
    <w:multiLevelType w:val="hybridMultilevel"/>
    <w:tmpl w:val="15DE4B7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8" w15:restartNumberingAfterBreak="0">
    <w:nsid w:val="409E2110"/>
    <w:multiLevelType w:val="hybridMultilevel"/>
    <w:tmpl w:val="FF703708"/>
    <w:lvl w:ilvl="0" w:tplc="73203456">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13C5ED4"/>
    <w:multiLevelType w:val="hybridMultilevel"/>
    <w:tmpl w:val="A3FA49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2B61371"/>
    <w:multiLevelType w:val="hybridMultilevel"/>
    <w:tmpl w:val="3B6ABE4C"/>
    <w:lvl w:ilvl="0" w:tplc="450C44A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2EA53CE"/>
    <w:multiLevelType w:val="hybridMultilevel"/>
    <w:tmpl w:val="FCC25540"/>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48C7C00"/>
    <w:multiLevelType w:val="hybridMultilevel"/>
    <w:tmpl w:val="DFAA3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6DA5FA0"/>
    <w:multiLevelType w:val="multilevel"/>
    <w:tmpl w:val="B18273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A8E3847"/>
    <w:multiLevelType w:val="hybridMultilevel"/>
    <w:tmpl w:val="8B7C98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B0F2634"/>
    <w:multiLevelType w:val="hybridMultilevel"/>
    <w:tmpl w:val="C18CCA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C236875"/>
    <w:multiLevelType w:val="hybridMultilevel"/>
    <w:tmpl w:val="4CBC26DC"/>
    <w:lvl w:ilvl="0" w:tplc="18306676">
      <w:start w:val="1"/>
      <w:numFmt w:val="bullet"/>
      <w:lvlText w:val="•"/>
      <w:lvlJc w:val="left"/>
      <w:pPr>
        <w:tabs>
          <w:tab w:val="num" w:pos="720"/>
        </w:tabs>
        <w:ind w:left="720" w:hanging="360"/>
      </w:pPr>
      <w:rPr>
        <w:rFonts w:ascii="Arial" w:hAnsi="Arial" w:hint="default"/>
      </w:rPr>
    </w:lvl>
    <w:lvl w:ilvl="1" w:tplc="30AC80DC" w:tentative="1">
      <w:start w:val="1"/>
      <w:numFmt w:val="bullet"/>
      <w:lvlText w:val="•"/>
      <w:lvlJc w:val="left"/>
      <w:pPr>
        <w:tabs>
          <w:tab w:val="num" w:pos="1440"/>
        </w:tabs>
        <w:ind w:left="1440" w:hanging="360"/>
      </w:pPr>
      <w:rPr>
        <w:rFonts w:ascii="Arial" w:hAnsi="Arial" w:hint="default"/>
      </w:rPr>
    </w:lvl>
    <w:lvl w:ilvl="2" w:tplc="FA680282" w:tentative="1">
      <w:start w:val="1"/>
      <w:numFmt w:val="bullet"/>
      <w:lvlText w:val="•"/>
      <w:lvlJc w:val="left"/>
      <w:pPr>
        <w:tabs>
          <w:tab w:val="num" w:pos="2160"/>
        </w:tabs>
        <w:ind w:left="2160" w:hanging="360"/>
      </w:pPr>
      <w:rPr>
        <w:rFonts w:ascii="Arial" w:hAnsi="Arial" w:hint="default"/>
      </w:rPr>
    </w:lvl>
    <w:lvl w:ilvl="3" w:tplc="A828B390" w:tentative="1">
      <w:start w:val="1"/>
      <w:numFmt w:val="bullet"/>
      <w:lvlText w:val="•"/>
      <w:lvlJc w:val="left"/>
      <w:pPr>
        <w:tabs>
          <w:tab w:val="num" w:pos="2880"/>
        </w:tabs>
        <w:ind w:left="2880" w:hanging="360"/>
      </w:pPr>
      <w:rPr>
        <w:rFonts w:ascii="Arial" w:hAnsi="Arial" w:hint="default"/>
      </w:rPr>
    </w:lvl>
    <w:lvl w:ilvl="4" w:tplc="380CB276" w:tentative="1">
      <w:start w:val="1"/>
      <w:numFmt w:val="bullet"/>
      <w:lvlText w:val="•"/>
      <w:lvlJc w:val="left"/>
      <w:pPr>
        <w:tabs>
          <w:tab w:val="num" w:pos="3600"/>
        </w:tabs>
        <w:ind w:left="3600" w:hanging="360"/>
      </w:pPr>
      <w:rPr>
        <w:rFonts w:ascii="Arial" w:hAnsi="Arial" w:hint="default"/>
      </w:rPr>
    </w:lvl>
    <w:lvl w:ilvl="5" w:tplc="D0C486D6" w:tentative="1">
      <w:start w:val="1"/>
      <w:numFmt w:val="bullet"/>
      <w:lvlText w:val="•"/>
      <w:lvlJc w:val="left"/>
      <w:pPr>
        <w:tabs>
          <w:tab w:val="num" w:pos="4320"/>
        </w:tabs>
        <w:ind w:left="4320" w:hanging="360"/>
      </w:pPr>
      <w:rPr>
        <w:rFonts w:ascii="Arial" w:hAnsi="Arial" w:hint="default"/>
      </w:rPr>
    </w:lvl>
    <w:lvl w:ilvl="6" w:tplc="65F03F62" w:tentative="1">
      <w:start w:val="1"/>
      <w:numFmt w:val="bullet"/>
      <w:lvlText w:val="•"/>
      <w:lvlJc w:val="left"/>
      <w:pPr>
        <w:tabs>
          <w:tab w:val="num" w:pos="5040"/>
        </w:tabs>
        <w:ind w:left="5040" w:hanging="360"/>
      </w:pPr>
      <w:rPr>
        <w:rFonts w:ascii="Arial" w:hAnsi="Arial" w:hint="default"/>
      </w:rPr>
    </w:lvl>
    <w:lvl w:ilvl="7" w:tplc="135627CA" w:tentative="1">
      <w:start w:val="1"/>
      <w:numFmt w:val="bullet"/>
      <w:lvlText w:val="•"/>
      <w:lvlJc w:val="left"/>
      <w:pPr>
        <w:tabs>
          <w:tab w:val="num" w:pos="5760"/>
        </w:tabs>
        <w:ind w:left="5760" w:hanging="360"/>
      </w:pPr>
      <w:rPr>
        <w:rFonts w:ascii="Arial" w:hAnsi="Arial" w:hint="default"/>
      </w:rPr>
    </w:lvl>
    <w:lvl w:ilvl="8" w:tplc="B3507588"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5D932CD6"/>
    <w:multiLevelType w:val="hybridMultilevel"/>
    <w:tmpl w:val="ED267204"/>
    <w:lvl w:ilvl="0" w:tplc="C68A365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FEA64A3"/>
    <w:multiLevelType w:val="hybridMultilevel"/>
    <w:tmpl w:val="7DA83006"/>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2A52EED"/>
    <w:multiLevelType w:val="hybridMultilevel"/>
    <w:tmpl w:val="D4C04F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73F304D"/>
    <w:multiLevelType w:val="hybridMultilevel"/>
    <w:tmpl w:val="7890A4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B045308"/>
    <w:multiLevelType w:val="hybridMultilevel"/>
    <w:tmpl w:val="788C29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2FA382A"/>
    <w:multiLevelType w:val="hybridMultilevel"/>
    <w:tmpl w:val="F0D811AE"/>
    <w:lvl w:ilvl="0" w:tplc="1C7AF7D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77E71B1"/>
    <w:multiLevelType w:val="multilevel"/>
    <w:tmpl w:val="D00E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EFA7F2"/>
    <w:multiLevelType w:val="hybridMultilevel"/>
    <w:tmpl w:val="B8507200"/>
    <w:lvl w:ilvl="0" w:tplc="E6060BF6">
      <w:start w:val="1"/>
      <w:numFmt w:val="decimal"/>
      <w:pStyle w:val="ListParagraphMaster"/>
      <w:lvlText w:val="%1."/>
      <w:lvlJc w:val="left"/>
      <w:pPr>
        <w:ind w:left="720" w:hanging="360"/>
      </w:pPr>
    </w:lvl>
    <w:lvl w:ilvl="1" w:tplc="ABD248B6">
      <w:start w:val="1"/>
      <w:numFmt w:val="lowerLetter"/>
      <w:lvlText w:val="%2."/>
      <w:lvlJc w:val="left"/>
      <w:pPr>
        <w:ind w:left="1440" w:hanging="360"/>
      </w:pPr>
    </w:lvl>
    <w:lvl w:ilvl="2" w:tplc="D37CDFB8">
      <w:start w:val="1"/>
      <w:numFmt w:val="lowerRoman"/>
      <w:lvlText w:val="%3."/>
      <w:lvlJc w:val="right"/>
      <w:pPr>
        <w:ind w:left="2160" w:hanging="180"/>
      </w:pPr>
    </w:lvl>
    <w:lvl w:ilvl="3" w:tplc="2BF00EF6">
      <w:start w:val="1"/>
      <w:numFmt w:val="decimal"/>
      <w:lvlText w:val="%4."/>
      <w:lvlJc w:val="left"/>
      <w:pPr>
        <w:ind w:left="2880" w:hanging="360"/>
      </w:pPr>
    </w:lvl>
    <w:lvl w:ilvl="4" w:tplc="712076D0">
      <w:start w:val="1"/>
      <w:numFmt w:val="lowerLetter"/>
      <w:lvlText w:val="%5."/>
      <w:lvlJc w:val="left"/>
      <w:pPr>
        <w:ind w:left="3600" w:hanging="360"/>
      </w:pPr>
    </w:lvl>
    <w:lvl w:ilvl="5" w:tplc="918AE47E">
      <w:start w:val="1"/>
      <w:numFmt w:val="lowerRoman"/>
      <w:lvlText w:val="%6."/>
      <w:lvlJc w:val="right"/>
      <w:pPr>
        <w:ind w:left="4320" w:hanging="180"/>
      </w:pPr>
    </w:lvl>
    <w:lvl w:ilvl="6" w:tplc="6D0E49FA">
      <w:start w:val="1"/>
      <w:numFmt w:val="decimal"/>
      <w:lvlText w:val="%7."/>
      <w:lvlJc w:val="left"/>
      <w:pPr>
        <w:ind w:left="5040" w:hanging="360"/>
      </w:pPr>
    </w:lvl>
    <w:lvl w:ilvl="7" w:tplc="8E70F48A">
      <w:start w:val="1"/>
      <w:numFmt w:val="lowerLetter"/>
      <w:lvlText w:val="%8."/>
      <w:lvlJc w:val="left"/>
      <w:pPr>
        <w:ind w:left="5760" w:hanging="360"/>
      </w:pPr>
    </w:lvl>
    <w:lvl w:ilvl="8" w:tplc="15F4849A">
      <w:start w:val="1"/>
      <w:numFmt w:val="lowerRoman"/>
      <w:lvlText w:val="%9."/>
      <w:lvlJc w:val="right"/>
      <w:pPr>
        <w:ind w:left="6480" w:hanging="180"/>
      </w:pPr>
    </w:lvl>
  </w:abstractNum>
  <w:num w:numId="1" w16cid:durableId="2047246184">
    <w:abstractNumId w:val="11"/>
  </w:num>
  <w:num w:numId="2" w16cid:durableId="162474013">
    <w:abstractNumId w:val="3"/>
  </w:num>
  <w:num w:numId="3" w16cid:durableId="2031251695">
    <w:abstractNumId w:val="12"/>
  </w:num>
  <w:num w:numId="4" w16cid:durableId="639113408">
    <w:abstractNumId w:val="33"/>
  </w:num>
  <w:num w:numId="5" w16cid:durableId="591354956">
    <w:abstractNumId w:val="21"/>
  </w:num>
  <w:num w:numId="6" w16cid:durableId="1162045532">
    <w:abstractNumId w:val="4"/>
  </w:num>
  <w:num w:numId="7" w16cid:durableId="1570073345">
    <w:abstractNumId w:val="37"/>
  </w:num>
  <w:num w:numId="8" w16cid:durableId="1140267657">
    <w:abstractNumId w:val="22"/>
  </w:num>
  <w:num w:numId="9" w16cid:durableId="1140076979">
    <w:abstractNumId w:val="9"/>
  </w:num>
  <w:num w:numId="10" w16cid:durableId="1197692394">
    <w:abstractNumId w:val="17"/>
  </w:num>
  <w:num w:numId="11" w16cid:durableId="1297177223">
    <w:abstractNumId w:val="16"/>
  </w:num>
  <w:num w:numId="12" w16cid:durableId="634331050">
    <w:abstractNumId w:val="40"/>
  </w:num>
  <w:num w:numId="13" w16cid:durableId="245651215">
    <w:abstractNumId w:val="14"/>
  </w:num>
  <w:num w:numId="14" w16cid:durableId="1896040219">
    <w:abstractNumId w:val="42"/>
  </w:num>
  <w:num w:numId="15" w16cid:durableId="954556115">
    <w:abstractNumId w:val="19"/>
  </w:num>
  <w:num w:numId="16" w16cid:durableId="1910386382">
    <w:abstractNumId w:val="43"/>
  </w:num>
  <w:num w:numId="17" w16cid:durableId="673336939">
    <w:abstractNumId w:val="30"/>
  </w:num>
  <w:num w:numId="18" w16cid:durableId="212423489">
    <w:abstractNumId w:val="10"/>
  </w:num>
  <w:num w:numId="19" w16cid:durableId="1221136281">
    <w:abstractNumId w:val="15"/>
  </w:num>
  <w:num w:numId="20" w16cid:durableId="536358639">
    <w:abstractNumId w:val="29"/>
  </w:num>
  <w:num w:numId="21" w16cid:durableId="1120219996">
    <w:abstractNumId w:val="8"/>
  </w:num>
  <w:num w:numId="22" w16cid:durableId="534655244">
    <w:abstractNumId w:val="32"/>
  </w:num>
  <w:num w:numId="23" w16cid:durableId="1667174434">
    <w:abstractNumId w:val="18"/>
  </w:num>
  <w:num w:numId="24" w16cid:durableId="544751883">
    <w:abstractNumId w:val="7"/>
  </w:num>
  <w:num w:numId="25" w16cid:durableId="820732920">
    <w:abstractNumId w:val="41"/>
  </w:num>
  <w:num w:numId="26" w16cid:durableId="1816677430">
    <w:abstractNumId w:val="44"/>
  </w:num>
  <w:num w:numId="27" w16cid:durableId="660887619">
    <w:abstractNumId w:val="23"/>
  </w:num>
  <w:num w:numId="28" w16cid:durableId="731972921">
    <w:abstractNumId w:val="36"/>
  </w:num>
  <w:num w:numId="29" w16cid:durableId="237444447">
    <w:abstractNumId w:val="6"/>
  </w:num>
  <w:num w:numId="30" w16cid:durableId="205263880">
    <w:abstractNumId w:val="25"/>
  </w:num>
  <w:num w:numId="31" w16cid:durableId="1603756785">
    <w:abstractNumId w:val="20"/>
  </w:num>
  <w:num w:numId="32" w16cid:durableId="89860624">
    <w:abstractNumId w:val="34"/>
  </w:num>
  <w:num w:numId="33" w16cid:durableId="990060765">
    <w:abstractNumId w:val="31"/>
  </w:num>
  <w:num w:numId="34" w16cid:durableId="1871992692">
    <w:abstractNumId w:val="27"/>
  </w:num>
  <w:num w:numId="35" w16cid:durableId="432700876">
    <w:abstractNumId w:val="38"/>
  </w:num>
  <w:num w:numId="36" w16cid:durableId="1263881918">
    <w:abstractNumId w:val="5"/>
  </w:num>
  <w:num w:numId="37" w16cid:durableId="765230243">
    <w:abstractNumId w:val="35"/>
  </w:num>
  <w:num w:numId="38" w16cid:durableId="1543247032">
    <w:abstractNumId w:val="13"/>
  </w:num>
  <w:num w:numId="39" w16cid:durableId="747534328">
    <w:abstractNumId w:val="26"/>
  </w:num>
  <w:num w:numId="40" w16cid:durableId="171532712">
    <w:abstractNumId w:val="1"/>
  </w:num>
  <w:num w:numId="41" w16cid:durableId="353114523">
    <w:abstractNumId w:val="28"/>
  </w:num>
  <w:num w:numId="42" w16cid:durableId="700476525">
    <w:abstractNumId w:val="39"/>
  </w:num>
  <w:num w:numId="43" w16cid:durableId="2078166744">
    <w:abstractNumId w:val="2"/>
  </w:num>
  <w:num w:numId="44" w16cid:durableId="1691562722">
    <w:abstractNumId w:val="44"/>
    <w:lvlOverride w:ilvl="0">
      <w:startOverride w:val="1"/>
    </w:lvlOverride>
  </w:num>
  <w:num w:numId="45" w16cid:durableId="883639192">
    <w:abstractNumId w:val="0"/>
  </w:num>
  <w:num w:numId="46" w16cid:durableId="825122400">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7"/>
  <w:removePersonalInformation/>
  <w:removeDateAndTime/>
  <w:stylePaneFormatFilter w:val="1424" w:allStyles="0" w:customStyles="0" w:latentStyles="1" w:stylesInUse="0" w:headingStyles="1" w:numberingStyles="0" w:tableStyles="0" w:directFormattingOnRuns="0" w:directFormattingOnParagraphs="0" w:directFormattingOnNumbering="1" w:directFormattingOnTables="0" w:clearFormatting="1" w:top3HeadingStyles="0" w:visibleStyles="0" w:alternateStyleNames="0"/>
  <w:stylePaneSortMethod w:val="0000"/>
  <w:defaultTabStop w:val="720"/>
  <w:evenAndOddHeader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218"/>
    <w:rsid w:val="000008FE"/>
    <w:rsid w:val="00000D4C"/>
    <w:rsid w:val="0000143C"/>
    <w:rsid w:val="00001B51"/>
    <w:rsid w:val="00001C54"/>
    <w:rsid w:val="00002636"/>
    <w:rsid w:val="000032D0"/>
    <w:rsid w:val="000035BC"/>
    <w:rsid w:val="00003E8E"/>
    <w:rsid w:val="00004124"/>
    <w:rsid w:val="000048A2"/>
    <w:rsid w:val="00007DD2"/>
    <w:rsid w:val="00010078"/>
    <w:rsid w:val="00010BAB"/>
    <w:rsid w:val="00011F2B"/>
    <w:rsid w:val="00012981"/>
    <w:rsid w:val="00013148"/>
    <w:rsid w:val="000148D1"/>
    <w:rsid w:val="00014BBD"/>
    <w:rsid w:val="00014D94"/>
    <w:rsid w:val="000151DE"/>
    <w:rsid w:val="0001535A"/>
    <w:rsid w:val="00015581"/>
    <w:rsid w:val="00015BDE"/>
    <w:rsid w:val="00016644"/>
    <w:rsid w:val="00016805"/>
    <w:rsid w:val="000203C5"/>
    <w:rsid w:val="00020795"/>
    <w:rsid w:val="00020AA7"/>
    <w:rsid w:val="00021B22"/>
    <w:rsid w:val="00021E30"/>
    <w:rsid w:val="000221CA"/>
    <w:rsid w:val="000225A9"/>
    <w:rsid w:val="00022B70"/>
    <w:rsid w:val="00022FE1"/>
    <w:rsid w:val="00023BAD"/>
    <w:rsid w:val="00023E73"/>
    <w:rsid w:val="00023F2B"/>
    <w:rsid w:val="00024833"/>
    <w:rsid w:val="00024878"/>
    <w:rsid w:val="00024C45"/>
    <w:rsid w:val="000254D1"/>
    <w:rsid w:val="00025548"/>
    <w:rsid w:val="000255EA"/>
    <w:rsid w:val="00025BD0"/>
    <w:rsid w:val="00025C18"/>
    <w:rsid w:val="00025E15"/>
    <w:rsid w:val="00025E68"/>
    <w:rsid w:val="00025FED"/>
    <w:rsid w:val="0002600C"/>
    <w:rsid w:val="000261A3"/>
    <w:rsid w:val="00026BAC"/>
    <w:rsid w:val="0002703E"/>
    <w:rsid w:val="00030BC0"/>
    <w:rsid w:val="0003109D"/>
    <w:rsid w:val="00031E9F"/>
    <w:rsid w:val="00031EB8"/>
    <w:rsid w:val="00032583"/>
    <w:rsid w:val="000327BD"/>
    <w:rsid w:val="00032D09"/>
    <w:rsid w:val="0003316F"/>
    <w:rsid w:val="00033184"/>
    <w:rsid w:val="000341B4"/>
    <w:rsid w:val="00034417"/>
    <w:rsid w:val="00035641"/>
    <w:rsid w:val="00037377"/>
    <w:rsid w:val="00037E8B"/>
    <w:rsid w:val="00037EB9"/>
    <w:rsid w:val="000404CE"/>
    <w:rsid w:val="00040D16"/>
    <w:rsid w:val="00040F0A"/>
    <w:rsid w:val="0004100D"/>
    <w:rsid w:val="00041073"/>
    <w:rsid w:val="0004188D"/>
    <w:rsid w:val="000418C3"/>
    <w:rsid w:val="00041A5F"/>
    <w:rsid w:val="00041FCF"/>
    <w:rsid w:val="00042191"/>
    <w:rsid w:val="00042611"/>
    <w:rsid w:val="00044A91"/>
    <w:rsid w:val="00044D23"/>
    <w:rsid w:val="0004531F"/>
    <w:rsid w:val="00045672"/>
    <w:rsid w:val="000504E7"/>
    <w:rsid w:val="000507A5"/>
    <w:rsid w:val="000508B8"/>
    <w:rsid w:val="00050AB8"/>
    <w:rsid w:val="00051062"/>
    <w:rsid w:val="00051CBE"/>
    <w:rsid w:val="00051F1C"/>
    <w:rsid w:val="00052C86"/>
    <w:rsid w:val="00052D7F"/>
    <w:rsid w:val="000534F4"/>
    <w:rsid w:val="00054B2D"/>
    <w:rsid w:val="00055046"/>
    <w:rsid w:val="0005511B"/>
    <w:rsid w:val="0005518A"/>
    <w:rsid w:val="00055ED2"/>
    <w:rsid w:val="00056FB3"/>
    <w:rsid w:val="000572BD"/>
    <w:rsid w:val="000573ED"/>
    <w:rsid w:val="00060D19"/>
    <w:rsid w:val="00060DCE"/>
    <w:rsid w:val="0006234A"/>
    <w:rsid w:val="0006272E"/>
    <w:rsid w:val="00062EA7"/>
    <w:rsid w:val="00063108"/>
    <w:rsid w:val="00064537"/>
    <w:rsid w:val="00064DE6"/>
    <w:rsid w:val="000654E2"/>
    <w:rsid w:val="000658AD"/>
    <w:rsid w:val="0006642E"/>
    <w:rsid w:val="00066902"/>
    <w:rsid w:val="00066A4A"/>
    <w:rsid w:val="00067779"/>
    <w:rsid w:val="00067993"/>
    <w:rsid w:val="00067F50"/>
    <w:rsid w:val="000704EF"/>
    <w:rsid w:val="00070FF5"/>
    <w:rsid w:val="00072BB6"/>
    <w:rsid w:val="00072C04"/>
    <w:rsid w:val="00072E2F"/>
    <w:rsid w:val="000737AC"/>
    <w:rsid w:val="000744D2"/>
    <w:rsid w:val="00074FC9"/>
    <w:rsid w:val="00075BD0"/>
    <w:rsid w:val="000763FD"/>
    <w:rsid w:val="00076854"/>
    <w:rsid w:val="00076E16"/>
    <w:rsid w:val="00077809"/>
    <w:rsid w:val="000804AF"/>
    <w:rsid w:val="00080E6A"/>
    <w:rsid w:val="00081C05"/>
    <w:rsid w:val="00081EC3"/>
    <w:rsid w:val="00081EF9"/>
    <w:rsid w:val="0008203E"/>
    <w:rsid w:val="0008234F"/>
    <w:rsid w:val="00082459"/>
    <w:rsid w:val="00082EA0"/>
    <w:rsid w:val="000831D3"/>
    <w:rsid w:val="00083439"/>
    <w:rsid w:val="000834F6"/>
    <w:rsid w:val="00083591"/>
    <w:rsid w:val="00084198"/>
    <w:rsid w:val="00084BBE"/>
    <w:rsid w:val="00084EFE"/>
    <w:rsid w:val="00085BB7"/>
    <w:rsid w:val="00086277"/>
    <w:rsid w:val="000866B8"/>
    <w:rsid w:val="000868DD"/>
    <w:rsid w:val="00086C86"/>
    <w:rsid w:val="0008741D"/>
    <w:rsid w:val="0008761C"/>
    <w:rsid w:val="0008785F"/>
    <w:rsid w:val="00087C2B"/>
    <w:rsid w:val="00090C29"/>
    <w:rsid w:val="000914F9"/>
    <w:rsid w:val="0009271A"/>
    <w:rsid w:val="00093555"/>
    <w:rsid w:val="00093D2A"/>
    <w:rsid w:val="00094070"/>
    <w:rsid w:val="0009427A"/>
    <w:rsid w:val="00094282"/>
    <w:rsid w:val="00094327"/>
    <w:rsid w:val="000946DC"/>
    <w:rsid w:val="000953DD"/>
    <w:rsid w:val="00095E11"/>
    <w:rsid w:val="00095FD5"/>
    <w:rsid w:val="00096010"/>
    <w:rsid w:val="00096148"/>
    <w:rsid w:val="000961C4"/>
    <w:rsid w:val="0009658F"/>
    <w:rsid w:val="00097095"/>
    <w:rsid w:val="000974DA"/>
    <w:rsid w:val="00097F4D"/>
    <w:rsid w:val="000A101F"/>
    <w:rsid w:val="000A145A"/>
    <w:rsid w:val="000A1A01"/>
    <w:rsid w:val="000A1F20"/>
    <w:rsid w:val="000A207F"/>
    <w:rsid w:val="000A2684"/>
    <w:rsid w:val="000A27A0"/>
    <w:rsid w:val="000A2E30"/>
    <w:rsid w:val="000A32DC"/>
    <w:rsid w:val="000A36DF"/>
    <w:rsid w:val="000A38AB"/>
    <w:rsid w:val="000A3A05"/>
    <w:rsid w:val="000A3E76"/>
    <w:rsid w:val="000A3FFD"/>
    <w:rsid w:val="000A47C6"/>
    <w:rsid w:val="000A533B"/>
    <w:rsid w:val="000A53E4"/>
    <w:rsid w:val="000A54CC"/>
    <w:rsid w:val="000A66AC"/>
    <w:rsid w:val="000A7510"/>
    <w:rsid w:val="000A787F"/>
    <w:rsid w:val="000A7E01"/>
    <w:rsid w:val="000A7F1E"/>
    <w:rsid w:val="000B0136"/>
    <w:rsid w:val="000B0290"/>
    <w:rsid w:val="000B055E"/>
    <w:rsid w:val="000B0615"/>
    <w:rsid w:val="000B1FC3"/>
    <w:rsid w:val="000B25FE"/>
    <w:rsid w:val="000B28CE"/>
    <w:rsid w:val="000B2DB0"/>
    <w:rsid w:val="000B3079"/>
    <w:rsid w:val="000B34E3"/>
    <w:rsid w:val="000B435D"/>
    <w:rsid w:val="000B4DE4"/>
    <w:rsid w:val="000B57DB"/>
    <w:rsid w:val="000B6324"/>
    <w:rsid w:val="000C0BA2"/>
    <w:rsid w:val="000C10CF"/>
    <w:rsid w:val="000C124A"/>
    <w:rsid w:val="000C146D"/>
    <w:rsid w:val="000C36EA"/>
    <w:rsid w:val="000C4581"/>
    <w:rsid w:val="000C48C1"/>
    <w:rsid w:val="000C5160"/>
    <w:rsid w:val="000C61B3"/>
    <w:rsid w:val="000C68C5"/>
    <w:rsid w:val="000C7287"/>
    <w:rsid w:val="000C73CA"/>
    <w:rsid w:val="000C7544"/>
    <w:rsid w:val="000C7568"/>
    <w:rsid w:val="000C7A22"/>
    <w:rsid w:val="000D06B2"/>
    <w:rsid w:val="000D0C7C"/>
    <w:rsid w:val="000D0D80"/>
    <w:rsid w:val="000D1118"/>
    <w:rsid w:val="000D1365"/>
    <w:rsid w:val="000D3466"/>
    <w:rsid w:val="000D3911"/>
    <w:rsid w:val="000D3C4B"/>
    <w:rsid w:val="000D4135"/>
    <w:rsid w:val="000D4AE7"/>
    <w:rsid w:val="000D4BCE"/>
    <w:rsid w:val="000D4CFD"/>
    <w:rsid w:val="000D5175"/>
    <w:rsid w:val="000D55F6"/>
    <w:rsid w:val="000D59F0"/>
    <w:rsid w:val="000D5FCE"/>
    <w:rsid w:val="000D6686"/>
    <w:rsid w:val="000D6745"/>
    <w:rsid w:val="000D6FA1"/>
    <w:rsid w:val="000D6FA9"/>
    <w:rsid w:val="000D7921"/>
    <w:rsid w:val="000D7A7D"/>
    <w:rsid w:val="000D7DE6"/>
    <w:rsid w:val="000D7EAC"/>
    <w:rsid w:val="000D7EBE"/>
    <w:rsid w:val="000E0440"/>
    <w:rsid w:val="000E38BA"/>
    <w:rsid w:val="000E4093"/>
    <w:rsid w:val="000E600A"/>
    <w:rsid w:val="000E6789"/>
    <w:rsid w:val="000E7042"/>
    <w:rsid w:val="000E77E0"/>
    <w:rsid w:val="000E77EB"/>
    <w:rsid w:val="000E7BAA"/>
    <w:rsid w:val="000E7E00"/>
    <w:rsid w:val="000E7F31"/>
    <w:rsid w:val="000F065E"/>
    <w:rsid w:val="000F086F"/>
    <w:rsid w:val="000F0F0B"/>
    <w:rsid w:val="000F1464"/>
    <w:rsid w:val="000F1FAC"/>
    <w:rsid w:val="000F20F5"/>
    <w:rsid w:val="000F2D15"/>
    <w:rsid w:val="000F2FFC"/>
    <w:rsid w:val="000F325A"/>
    <w:rsid w:val="000F3CBD"/>
    <w:rsid w:val="000F4BB5"/>
    <w:rsid w:val="000F59A7"/>
    <w:rsid w:val="000F604D"/>
    <w:rsid w:val="000F60E8"/>
    <w:rsid w:val="000F62A0"/>
    <w:rsid w:val="00100005"/>
    <w:rsid w:val="00100010"/>
    <w:rsid w:val="00100C67"/>
    <w:rsid w:val="001018F7"/>
    <w:rsid w:val="00101CA1"/>
    <w:rsid w:val="00101FBF"/>
    <w:rsid w:val="00102F1F"/>
    <w:rsid w:val="00103681"/>
    <w:rsid w:val="00104002"/>
    <w:rsid w:val="001041D7"/>
    <w:rsid w:val="00104F0B"/>
    <w:rsid w:val="00105216"/>
    <w:rsid w:val="00105461"/>
    <w:rsid w:val="0010655E"/>
    <w:rsid w:val="00106C8E"/>
    <w:rsid w:val="0010753A"/>
    <w:rsid w:val="00107680"/>
    <w:rsid w:val="00107B32"/>
    <w:rsid w:val="00107B34"/>
    <w:rsid w:val="00107C2A"/>
    <w:rsid w:val="00107D78"/>
    <w:rsid w:val="00110490"/>
    <w:rsid w:val="0011132F"/>
    <w:rsid w:val="00111B62"/>
    <w:rsid w:val="001122BD"/>
    <w:rsid w:val="001123E7"/>
    <w:rsid w:val="001133DA"/>
    <w:rsid w:val="001134ED"/>
    <w:rsid w:val="00113F8A"/>
    <w:rsid w:val="001142FF"/>
    <w:rsid w:val="00114AB4"/>
    <w:rsid w:val="00114CD8"/>
    <w:rsid w:val="00115201"/>
    <w:rsid w:val="001153D8"/>
    <w:rsid w:val="0011595E"/>
    <w:rsid w:val="00115C2C"/>
    <w:rsid w:val="00115EFF"/>
    <w:rsid w:val="00116B55"/>
    <w:rsid w:val="00117431"/>
    <w:rsid w:val="0011753A"/>
    <w:rsid w:val="00117980"/>
    <w:rsid w:val="00120983"/>
    <w:rsid w:val="00120F62"/>
    <w:rsid w:val="00121C9D"/>
    <w:rsid w:val="00121E0C"/>
    <w:rsid w:val="00121FD4"/>
    <w:rsid w:val="001222A3"/>
    <w:rsid w:val="00122C2B"/>
    <w:rsid w:val="00123BF0"/>
    <w:rsid w:val="00123DFA"/>
    <w:rsid w:val="00124D9E"/>
    <w:rsid w:val="00125017"/>
    <w:rsid w:val="001255E6"/>
    <w:rsid w:val="00125C36"/>
    <w:rsid w:val="00126A3C"/>
    <w:rsid w:val="00127FD5"/>
    <w:rsid w:val="001306D6"/>
    <w:rsid w:val="00130DC1"/>
    <w:rsid w:val="00130E83"/>
    <w:rsid w:val="0013104B"/>
    <w:rsid w:val="00131E99"/>
    <w:rsid w:val="0013241D"/>
    <w:rsid w:val="00132CAE"/>
    <w:rsid w:val="00132FC5"/>
    <w:rsid w:val="00133270"/>
    <w:rsid w:val="001332B0"/>
    <w:rsid w:val="00134243"/>
    <w:rsid w:val="0013690B"/>
    <w:rsid w:val="00136FAA"/>
    <w:rsid w:val="001370A0"/>
    <w:rsid w:val="00140257"/>
    <w:rsid w:val="001406BD"/>
    <w:rsid w:val="00140C6C"/>
    <w:rsid w:val="00140DF8"/>
    <w:rsid w:val="00141A6E"/>
    <w:rsid w:val="001425A2"/>
    <w:rsid w:val="00142BF2"/>
    <w:rsid w:val="00143208"/>
    <w:rsid w:val="001445F6"/>
    <w:rsid w:val="0014463F"/>
    <w:rsid w:val="00144D9F"/>
    <w:rsid w:val="00144F02"/>
    <w:rsid w:val="0014557E"/>
    <w:rsid w:val="00145918"/>
    <w:rsid w:val="00146913"/>
    <w:rsid w:val="00146F2F"/>
    <w:rsid w:val="001470A2"/>
    <w:rsid w:val="001470C0"/>
    <w:rsid w:val="00147485"/>
    <w:rsid w:val="0014759B"/>
    <w:rsid w:val="001502D3"/>
    <w:rsid w:val="00150778"/>
    <w:rsid w:val="001516BF"/>
    <w:rsid w:val="00151AF6"/>
    <w:rsid w:val="00152256"/>
    <w:rsid w:val="00153317"/>
    <w:rsid w:val="001534EA"/>
    <w:rsid w:val="00154888"/>
    <w:rsid w:val="0015590A"/>
    <w:rsid w:val="001600CB"/>
    <w:rsid w:val="001612A9"/>
    <w:rsid w:val="001620C5"/>
    <w:rsid w:val="001622A4"/>
    <w:rsid w:val="0016233D"/>
    <w:rsid w:val="001623BA"/>
    <w:rsid w:val="001630C5"/>
    <w:rsid w:val="0016333E"/>
    <w:rsid w:val="0016364A"/>
    <w:rsid w:val="001639B9"/>
    <w:rsid w:val="00163D24"/>
    <w:rsid w:val="00163D37"/>
    <w:rsid w:val="00163F5C"/>
    <w:rsid w:val="00164614"/>
    <w:rsid w:val="00164722"/>
    <w:rsid w:val="00164A89"/>
    <w:rsid w:val="00164D3E"/>
    <w:rsid w:val="00165A8D"/>
    <w:rsid w:val="00165FF8"/>
    <w:rsid w:val="00166011"/>
    <w:rsid w:val="001660C8"/>
    <w:rsid w:val="00166492"/>
    <w:rsid w:val="0016773B"/>
    <w:rsid w:val="00167A30"/>
    <w:rsid w:val="001718BB"/>
    <w:rsid w:val="00171FE3"/>
    <w:rsid w:val="0017284C"/>
    <w:rsid w:val="00173160"/>
    <w:rsid w:val="0017371E"/>
    <w:rsid w:val="0017540D"/>
    <w:rsid w:val="00175519"/>
    <w:rsid w:val="001755A6"/>
    <w:rsid w:val="0017574A"/>
    <w:rsid w:val="00175822"/>
    <w:rsid w:val="00175856"/>
    <w:rsid w:val="00175A46"/>
    <w:rsid w:val="00175C7F"/>
    <w:rsid w:val="0017611D"/>
    <w:rsid w:val="00176139"/>
    <w:rsid w:val="00176CB3"/>
    <w:rsid w:val="001773BE"/>
    <w:rsid w:val="0017769F"/>
    <w:rsid w:val="00177A66"/>
    <w:rsid w:val="00180684"/>
    <w:rsid w:val="0018155E"/>
    <w:rsid w:val="00181DE5"/>
    <w:rsid w:val="00182695"/>
    <w:rsid w:val="001829B0"/>
    <w:rsid w:val="00183D3F"/>
    <w:rsid w:val="001840DF"/>
    <w:rsid w:val="00184371"/>
    <w:rsid w:val="00184460"/>
    <w:rsid w:val="001848CB"/>
    <w:rsid w:val="00184BB5"/>
    <w:rsid w:val="00184DEA"/>
    <w:rsid w:val="00185450"/>
    <w:rsid w:val="00186DC1"/>
    <w:rsid w:val="0018706C"/>
    <w:rsid w:val="001872FE"/>
    <w:rsid w:val="00187F13"/>
    <w:rsid w:val="001909D5"/>
    <w:rsid w:val="00190CAC"/>
    <w:rsid w:val="00191BA7"/>
    <w:rsid w:val="001925C2"/>
    <w:rsid w:val="00192676"/>
    <w:rsid w:val="00192BED"/>
    <w:rsid w:val="00193240"/>
    <w:rsid w:val="00193301"/>
    <w:rsid w:val="001934F8"/>
    <w:rsid w:val="001935EB"/>
    <w:rsid w:val="00193680"/>
    <w:rsid w:val="00194A0B"/>
    <w:rsid w:val="00195FB7"/>
    <w:rsid w:val="001960E7"/>
    <w:rsid w:val="00197124"/>
    <w:rsid w:val="001977E3"/>
    <w:rsid w:val="00197E18"/>
    <w:rsid w:val="001A00E5"/>
    <w:rsid w:val="001A0172"/>
    <w:rsid w:val="001A1CC4"/>
    <w:rsid w:val="001A22A8"/>
    <w:rsid w:val="001A29FC"/>
    <w:rsid w:val="001A2D7F"/>
    <w:rsid w:val="001A2E72"/>
    <w:rsid w:val="001A3041"/>
    <w:rsid w:val="001A4ABE"/>
    <w:rsid w:val="001A4DD9"/>
    <w:rsid w:val="001A5A6F"/>
    <w:rsid w:val="001A717B"/>
    <w:rsid w:val="001A727C"/>
    <w:rsid w:val="001A75F9"/>
    <w:rsid w:val="001A78F6"/>
    <w:rsid w:val="001A79D6"/>
    <w:rsid w:val="001A7AE2"/>
    <w:rsid w:val="001B014B"/>
    <w:rsid w:val="001B0435"/>
    <w:rsid w:val="001B0661"/>
    <w:rsid w:val="001B128D"/>
    <w:rsid w:val="001B17BC"/>
    <w:rsid w:val="001B2944"/>
    <w:rsid w:val="001B38DD"/>
    <w:rsid w:val="001B3FF7"/>
    <w:rsid w:val="001B47A2"/>
    <w:rsid w:val="001B4ABD"/>
    <w:rsid w:val="001B50B5"/>
    <w:rsid w:val="001B657D"/>
    <w:rsid w:val="001B6BA8"/>
    <w:rsid w:val="001B7035"/>
    <w:rsid w:val="001B7306"/>
    <w:rsid w:val="001B77D4"/>
    <w:rsid w:val="001B7F1C"/>
    <w:rsid w:val="001C0014"/>
    <w:rsid w:val="001C0CB2"/>
    <w:rsid w:val="001C0D18"/>
    <w:rsid w:val="001C137F"/>
    <w:rsid w:val="001C1E8D"/>
    <w:rsid w:val="001C2CAC"/>
    <w:rsid w:val="001C321D"/>
    <w:rsid w:val="001C331E"/>
    <w:rsid w:val="001C3573"/>
    <w:rsid w:val="001C3797"/>
    <w:rsid w:val="001C381D"/>
    <w:rsid w:val="001C3D2A"/>
    <w:rsid w:val="001C4106"/>
    <w:rsid w:val="001C4213"/>
    <w:rsid w:val="001C42F7"/>
    <w:rsid w:val="001C4442"/>
    <w:rsid w:val="001C4B23"/>
    <w:rsid w:val="001C50DB"/>
    <w:rsid w:val="001C53E9"/>
    <w:rsid w:val="001C5453"/>
    <w:rsid w:val="001C63A1"/>
    <w:rsid w:val="001C6402"/>
    <w:rsid w:val="001C6B6C"/>
    <w:rsid w:val="001C6BA8"/>
    <w:rsid w:val="001C7175"/>
    <w:rsid w:val="001C7A01"/>
    <w:rsid w:val="001D05B0"/>
    <w:rsid w:val="001D05BD"/>
    <w:rsid w:val="001D0718"/>
    <w:rsid w:val="001D0827"/>
    <w:rsid w:val="001D0DC3"/>
    <w:rsid w:val="001D0DD1"/>
    <w:rsid w:val="001D1055"/>
    <w:rsid w:val="001D1542"/>
    <w:rsid w:val="001D1735"/>
    <w:rsid w:val="001D183A"/>
    <w:rsid w:val="001D1ADA"/>
    <w:rsid w:val="001D2654"/>
    <w:rsid w:val="001D2680"/>
    <w:rsid w:val="001D2E64"/>
    <w:rsid w:val="001D566C"/>
    <w:rsid w:val="001D6717"/>
    <w:rsid w:val="001D6B3C"/>
    <w:rsid w:val="001D7286"/>
    <w:rsid w:val="001D798D"/>
    <w:rsid w:val="001E033E"/>
    <w:rsid w:val="001E082A"/>
    <w:rsid w:val="001E0D94"/>
    <w:rsid w:val="001E1080"/>
    <w:rsid w:val="001E11B8"/>
    <w:rsid w:val="001E246A"/>
    <w:rsid w:val="001E2DF7"/>
    <w:rsid w:val="001E2F5B"/>
    <w:rsid w:val="001E35C3"/>
    <w:rsid w:val="001E39F8"/>
    <w:rsid w:val="001E4423"/>
    <w:rsid w:val="001E58C4"/>
    <w:rsid w:val="001E6191"/>
    <w:rsid w:val="001E6EDE"/>
    <w:rsid w:val="001E786C"/>
    <w:rsid w:val="001F0508"/>
    <w:rsid w:val="001F36D6"/>
    <w:rsid w:val="001F37A4"/>
    <w:rsid w:val="001F3EE9"/>
    <w:rsid w:val="001F4CE6"/>
    <w:rsid w:val="001F4F80"/>
    <w:rsid w:val="001F51DD"/>
    <w:rsid w:val="001F555C"/>
    <w:rsid w:val="001F59D3"/>
    <w:rsid w:val="001F6072"/>
    <w:rsid w:val="001F6322"/>
    <w:rsid w:val="001F64C2"/>
    <w:rsid w:val="001F73D9"/>
    <w:rsid w:val="00200F54"/>
    <w:rsid w:val="00201984"/>
    <w:rsid w:val="002021D2"/>
    <w:rsid w:val="00202CC4"/>
    <w:rsid w:val="00203621"/>
    <w:rsid w:val="002038CC"/>
    <w:rsid w:val="00203A60"/>
    <w:rsid w:val="00203C12"/>
    <w:rsid w:val="00203EF0"/>
    <w:rsid w:val="002049B8"/>
    <w:rsid w:val="00205092"/>
    <w:rsid w:val="002056CE"/>
    <w:rsid w:val="00205FB8"/>
    <w:rsid w:val="00206249"/>
    <w:rsid w:val="00206277"/>
    <w:rsid w:val="00206641"/>
    <w:rsid w:val="0020664F"/>
    <w:rsid w:val="002070A6"/>
    <w:rsid w:val="002076CB"/>
    <w:rsid w:val="00207EB6"/>
    <w:rsid w:val="0021031C"/>
    <w:rsid w:val="00210D41"/>
    <w:rsid w:val="0021131F"/>
    <w:rsid w:val="0021141E"/>
    <w:rsid w:val="00211704"/>
    <w:rsid w:val="00211FAF"/>
    <w:rsid w:val="00212CC4"/>
    <w:rsid w:val="002133AF"/>
    <w:rsid w:val="002133F6"/>
    <w:rsid w:val="0021353C"/>
    <w:rsid w:val="00213863"/>
    <w:rsid w:val="00214CD7"/>
    <w:rsid w:val="00215015"/>
    <w:rsid w:val="002150E8"/>
    <w:rsid w:val="002151B8"/>
    <w:rsid w:val="0021590D"/>
    <w:rsid w:val="002160E2"/>
    <w:rsid w:val="00216987"/>
    <w:rsid w:val="002169BA"/>
    <w:rsid w:val="00217167"/>
    <w:rsid w:val="002171F8"/>
    <w:rsid w:val="00217354"/>
    <w:rsid w:val="002178CD"/>
    <w:rsid w:val="00220315"/>
    <w:rsid w:val="00220401"/>
    <w:rsid w:val="002211DB"/>
    <w:rsid w:val="00221CF7"/>
    <w:rsid w:val="00221FC7"/>
    <w:rsid w:val="00222CF4"/>
    <w:rsid w:val="00223D78"/>
    <w:rsid w:val="00223DA6"/>
    <w:rsid w:val="002245A1"/>
    <w:rsid w:val="0022460D"/>
    <w:rsid w:val="00224C3A"/>
    <w:rsid w:val="00224CD7"/>
    <w:rsid w:val="00224DEB"/>
    <w:rsid w:val="0022599F"/>
    <w:rsid w:val="00225AB2"/>
    <w:rsid w:val="00226EBA"/>
    <w:rsid w:val="0022753D"/>
    <w:rsid w:val="00227B17"/>
    <w:rsid w:val="00230419"/>
    <w:rsid w:val="00230700"/>
    <w:rsid w:val="00230B0B"/>
    <w:rsid w:val="00230B0F"/>
    <w:rsid w:val="00231982"/>
    <w:rsid w:val="002320D4"/>
    <w:rsid w:val="00232602"/>
    <w:rsid w:val="002333EA"/>
    <w:rsid w:val="00233A75"/>
    <w:rsid w:val="00233C9A"/>
    <w:rsid w:val="00234B02"/>
    <w:rsid w:val="00234BCB"/>
    <w:rsid w:val="00235219"/>
    <w:rsid w:val="00235541"/>
    <w:rsid w:val="0023563D"/>
    <w:rsid w:val="00235ADF"/>
    <w:rsid w:val="00236BED"/>
    <w:rsid w:val="00236E18"/>
    <w:rsid w:val="00240697"/>
    <w:rsid w:val="00240820"/>
    <w:rsid w:val="00240865"/>
    <w:rsid w:val="00240A60"/>
    <w:rsid w:val="00241F21"/>
    <w:rsid w:val="00242063"/>
    <w:rsid w:val="00242231"/>
    <w:rsid w:val="00242AD9"/>
    <w:rsid w:val="0024392D"/>
    <w:rsid w:val="00243B14"/>
    <w:rsid w:val="00244022"/>
    <w:rsid w:val="00244303"/>
    <w:rsid w:val="00244550"/>
    <w:rsid w:val="00244F6C"/>
    <w:rsid w:val="0024528B"/>
    <w:rsid w:val="00245733"/>
    <w:rsid w:val="00246B4C"/>
    <w:rsid w:val="00247605"/>
    <w:rsid w:val="002477EE"/>
    <w:rsid w:val="0025049F"/>
    <w:rsid w:val="00250544"/>
    <w:rsid w:val="00250753"/>
    <w:rsid w:val="0025127D"/>
    <w:rsid w:val="00251C7B"/>
    <w:rsid w:val="00251D13"/>
    <w:rsid w:val="002521C2"/>
    <w:rsid w:val="00253876"/>
    <w:rsid w:val="00253F4C"/>
    <w:rsid w:val="00254288"/>
    <w:rsid w:val="002551E1"/>
    <w:rsid w:val="00255AA6"/>
    <w:rsid w:val="002569B1"/>
    <w:rsid w:val="00261419"/>
    <w:rsid w:val="002618DF"/>
    <w:rsid w:val="00261B36"/>
    <w:rsid w:val="00261D00"/>
    <w:rsid w:val="00261DEF"/>
    <w:rsid w:val="00261E41"/>
    <w:rsid w:val="00262462"/>
    <w:rsid w:val="0026288F"/>
    <w:rsid w:val="002633C6"/>
    <w:rsid w:val="002633D9"/>
    <w:rsid w:val="00263870"/>
    <w:rsid w:val="00265829"/>
    <w:rsid w:val="002668CB"/>
    <w:rsid w:val="00266C3F"/>
    <w:rsid w:val="00267236"/>
    <w:rsid w:val="00267A2C"/>
    <w:rsid w:val="002702BB"/>
    <w:rsid w:val="0027059A"/>
    <w:rsid w:val="002705D7"/>
    <w:rsid w:val="00270737"/>
    <w:rsid w:val="00270BFF"/>
    <w:rsid w:val="00270CFD"/>
    <w:rsid w:val="00271A3C"/>
    <w:rsid w:val="00271BA5"/>
    <w:rsid w:val="00271F1F"/>
    <w:rsid w:val="0027266B"/>
    <w:rsid w:val="002737A2"/>
    <w:rsid w:val="00275D0D"/>
    <w:rsid w:val="0027614F"/>
    <w:rsid w:val="00276185"/>
    <w:rsid w:val="00276507"/>
    <w:rsid w:val="0027677C"/>
    <w:rsid w:val="00276CB4"/>
    <w:rsid w:val="00276F2F"/>
    <w:rsid w:val="0027712F"/>
    <w:rsid w:val="00277A9E"/>
    <w:rsid w:val="00277DD5"/>
    <w:rsid w:val="00277F1A"/>
    <w:rsid w:val="00280AC6"/>
    <w:rsid w:val="00280B54"/>
    <w:rsid w:val="0028106F"/>
    <w:rsid w:val="002824C3"/>
    <w:rsid w:val="002826D8"/>
    <w:rsid w:val="00282E93"/>
    <w:rsid w:val="0028302E"/>
    <w:rsid w:val="002830C2"/>
    <w:rsid w:val="00283E6A"/>
    <w:rsid w:val="00284530"/>
    <w:rsid w:val="00284B42"/>
    <w:rsid w:val="00284E81"/>
    <w:rsid w:val="00284EBD"/>
    <w:rsid w:val="00284F9C"/>
    <w:rsid w:val="0028652A"/>
    <w:rsid w:val="0028663D"/>
    <w:rsid w:val="0028690F"/>
    <w:rsid w:val="00286E1A"/>
    <w:rsid w:val="0028715B"/>
    <w:rsid w:val="002874A7"/>
    <w:rsid w:val="00287792"/>
    <w:rsid w:val="002900C5"/>
    <w:rsid w:val="002907DF"/>
    <w:rsid w:val="00291A5A"/>
    <w:rsid w:val="002927DB"/>
    <w:rsid w:val="00293C51"/>
    <w:rsid w:val="00293F19"/>
    <w:rsid w:val="0029423C"/>
    <w:rsid w:val="00294C3C"/>
    <w:rsid w:val="002950ED"/>
    <w:rsid w:val="0029574B"/>
    <w:rsid w:val="00295D34"/>
    <w:rsid w:val="00295FB6"/>
    <w:rsid w:val="00296166"/>
    <w:rsid w:val="00297099"/>
    <w:rsid w:val="002974CB"/>
    <w:rsid w:val="002A0235"/>
    <w:rsid w:val="002A07C5"/>
    <w:rsid w:val="002A090B"/>
    <w:rsid w:val="002A093A"/>
    <w:rsid w:val="002A160B"/>
    <w:rsid w:val="002A1E82"/>
    <w:rsid w:val="002A2460"/>
    <w:rsid w:val="002A3187"/>
    <w:rsid w:val="002A40BE"/>
    <w:rsid w:val="002A475B"/>
    <w:rsid w:val="002A4B17"/>
    <w:rsid w:val="002A6877"/>
    <w:rsid w:val="002A6E04"/>
    <w:rsid w:val="002A7EFA"/>
    <w:rsid w:val="002B0483"/>
    <w:rsid w:val="002B067F"/>
    <w:rsid w:val="002B0CD9"/>
    <w:rsid w:val="002B0CF6"/>
    <w:rsid w:val="002B2C12"/>
    <w:rsid w:val="002B2DBF"/>
    <w:rsid w:val="002B44A0"/>
    <w:rsid w:val="002B4B59"/>
    <w:rsid w:val="002B56AD"/>
    <w:rsid w:val="002B5901"/>
    <w:rsid w:val="002B66AD"/>
    <w:rsid w:val="002B6C60"/>
    <w:rsid w:val="002B6E85"/>
    <w:rsid w:val="002B728D"/>
    <w:rsid w:val="002B74CE"/>
    <w:rsid w:val="002B7612"/>
    <w:rsid w:val="002B7C59"/>
    <w:rsid w:val="002C0AD1"/>
    <w:rsid w:val="002C197E"/>
    <w:rsid w:val="002C1AF5"/>
    <w:rsid w:val="002C1F05"/>
    <w:rsid w:val="002C2E98"/>
    <w:rsid w:val="002C3050"/>
    <w:rsid w:val="002C30E8"/>
    <w:rsid w:val="002C33AD"/>
    <w:rsid w:val="002C3AA8"/>
    <w:rsid w:val="002C3BDA"/>
    <w:rsid w:val="002C4331"/>
    <w:rsid w:val="002C4DEA"/>
    <w:rsid w:val="002C5342"/>
    <w:rsid w:val="002C637C"/>
    <w:rsid w:val="002C7841"/>
    <w:rsid w:val="002C7DFA"/>
    <w:rsid w:val="002D03FB"/>
    <w:rsid w:val="002D0E57"/>
    <w:rsid w:val="002D1123"/>
    <w:rsid w:val="002D1AE2"/>
    <w:rsid w:val="002D1C7E"/>
    <w:rsid w:val="002D1CF8"/>
    <w:rsid w:val="002D3899"/>
    <w:rsid w:val="002D3A2D"/>
    <w:rsid w:val="002D49C3"/>
    <w:rsid w:val="002D68E2"/>
    <w:rsid w:val="002D6DB8"/>
    <w:rsid w:val="002D7C0F"/>
    <w:rsid w:val="002E0185"/>
    <w:rsid w:val="002E01BE"/>
    <w:rsid w:val="002E0637"/>
    <w:rsid w:val="002E0E18"/>
    <w:rsid w:val="002E24A8"/>
    <w:rsid w:val="002E2AA4"/>
    <w:rsid w:val="002E30A8"/>
    <w:rsid w:val="002E43E6"/>
    <w:rsid w:val="002E4544"/>
    <w:rsid w:val="002E5472"/>
    <w:rsid w:val="002E5B03"/>
    <w:rsid w:val="002E6526"/>
    <w:rsid w:val="002E65A0"/>
    <w:rsid w:val="002E6E2F"/>
    <w:rsid w:val="002E72B1"/>
    <w:rsid w:val="002F02BD"/>
    <w:rsid w:val="002F02E1"/>
    <w:rsid w:val="002F0743"/>
    <w:rsid w:val="002F1D2A"/>
    <w:rsid w:val="002F1EE1"/>
    <w:rsid w:val="002F2112"/>
    <w:rsid w:val="002F22B9"/>
    <w:rsid w:val="002F26A3"/>
    <w:rsid w:val="002F278A"/>
    <w:rsid w:val="002F2A53"/>
    <w:rsid w:val="002F2D2F"/>
    <w:rsid w:val="002F35CF"/>
    <w:rsid w:val="002F3DBE"/>
    <w:rsid w:val="002F3EB5"/>
    <w:rsid w:val="002F3F0E"/>
    <w:rsid w:val="002F4E7C"/>
    <w:rsid w:val="002F5690"/>
    <w:rsid w:val="002F5781"/>
    <w:rsid w:val="002F5A0A"/>
    <w:rsid w:val="002F5B35"/>
    <w:rsid w:val="002F60F2"/>
    <w:rsid w:val="002F62D8"/>
    <w:rsid w:val="002F6783"/>
    <w:rsid w:val="002F7088"/>
    <w:rsid w:val="002F7843"/>
    <w:rsid w:val="002F7AB4"/>
    <w:rsid w:val="00300752"/>
    <w:rsid w:val="00300AB5"/>
    <w:rsid w:val="00301E16"/>
    <w:rsid w:val="00302754"/>
    <w:rsid w:val="003034C0"/>
    <w:rsid w:val="00303A9D"/>
    <w:rsid w:val="0030416D"/>
    <w:rsid w:val="00304E3C"/>
    <w:rsid w:val="00305F01"/>
    <w:rsid w:val="003060CC"/>
    <w:rsid w:val="00306575"/>
    <w:rsid w:val="003066F2"/>
    <w:rsid w:val="00306C0E"/>
    <w:rsid w:val="00310BF9"/>
    <w:rsid w:val="00310CA1"/>
    <w:rsid w:val="00310DFD"/>
    <w:rsid w:val="003114F2"/>
    <w:rsid w:val="00311CE9"/>
    <w:rsid w:val="003122CC"/>
    <w:rsid w:val="0031270F"/>
    <w:rsid w:val="00312B3B"/>
    <w:rsid w:val="00313B29"/>
    <w:rsid w:val="003140A6"/>
    <w:rsid w:val="003142F2"/>
    <w:rsid w:val="0031450E"/>
    <w:rsid w:val="00314531"/>
    <w:rsid w:val="00314AD0"/>
    <w:rsid w:val="00314E27"/>
    <w:rsid w:val="00315103"/>
    <w:rsid w:val="00315342"/>
    <w:rsid w:val="00316B27"/>
    <w:rsid w:val="003175CC"/>
    <w:rsid w:val="00317789"/>
    <w:rsid w:val="00317B54"/>
    <w:rsid w:val="00317BC7"/>
    <w:rsid w:val="00317BF0"/>
    <w:rsid w:val="00317FA6"/>
    <w:rsid w:val="003218D2"/>
    <w:rsid w:val="00321D4C"/>
    <w:rsid w:val="00321E81"/>
    <w:rsid w:val="0032202F"/>
    <w:rsid w:val="00322144"/>
    <w:rsid w:val="003224F6"/>
    <w:rsid w:val="003227EC"/>
    <w:rsid w:val="0032282F"/>
    <w:rsid w:val="00322ADF"/>
    <w:rsid w:val="00323154"/>
    <w:rsid w:val="0032337B"/>
    <w:rsid w:val="003236F0"/>
    <w:rsid w:val="00323B9A"/>
    <w:rsid w:val="00323DCB"/>
    <w:rsid w:val="003241D7"/>
    <w:rsid w:val="003247E3"/>
    <w:rsid w:val="00327AB4"/>
    <w:rsid w:val="0033013B"/>
    <w:rsid w:val="00330241"/>
    <w:rsid w:val="0033118B"/>
    <w:rsid w:val="00331C42"/>
    <w:rsid w:val="003328DC"/>
    <w:rsid w:val="00332A39"/>
    <w:rsid w:val="0033379A"/>
    <w:rsid w:val="0033579B"/>
    <w:rsid w:val="00335A2D"/>
    <w:rsid w:val="00335C13"/>
    <w:rsid w:val="003368EB"/>
    <w:rsid w:val="00336EBE"/>
    <w:rsid w:val="0033752C"/>
    <w:rsid w:val="00337637"/>
    <w:rsid w:val="00340119"/>
    <w:rsid w:val="003403C1"/>
    <w:rsid w:val="003405CA"/>
    <w:rsid w:val="00340D63"/>
    <w:rsid w:val="003419D0"/>
    <w:rsid w:val="003422F9"/>
    <w:rsid w:val="003424E6"/>
    <w:rsid w:val="00342D67"/>
    <w:rsid w:val="0034347B"/>
    <w:rsid w:val="00343F17"/>
    <w:rsid w:val="00344295"/>
    <w:rsid w:val="00344677"/>
    <w:rsid w:val="00344DF6"/>
    <w:rsid w:val="00344EC2"/>
    <w:rsid w:val="00345DE3"/>
    <w:rsid w:val="00345F22"/>
    <w:rsid w:val="0034608D"/>
    <w:rsid w:val="0034627B"/>
    <w:rsid w:val="00346BFA"/>
    <w:rsid w:val="00346D1C"/>
    <w:rsid w:val="003501D4"/>
    <w:rsid w:val="0035131B"/>
    <w:rsid w:val="00351C66"/>
    <w:rsid w:val="003525B7"/>
    <w:rsid w:val="0035289F"/>
    <w:rsid w:val="00352D75"/>
    <w:rsid w:val="003538BB"/>
    <w:rsid w:val="00353FDB"/>
    <w:rsid w:val="0035404E"/>
    <w:rsid w:val="00354135"/>
    <w:rsid w:val="0035447B"/>
    <w:rsid w:val="00355293"/>
    <w:rsid w:val="00355EC2"/>
    <w:rsid w:val="003563B8"/>
    <w:rsid w:val="00356A15"/>
    <w:rsid w:val="00356A33"/>
    <w:rsid w:val="00356D5A"/>
    <w:rsid w:val="00357189"/>
    <w:rsid w:val="00357C91"/>
    <w:rsid w:val="00357FBB"/>
    <w:rsid w:val="003614E4"/>
    <w:rsid w:val="0036260E"/>
    <w:rsid w:val="003635A1"/>
    <w:rsid w:val="00363CD2"/>
    <w:rsid w:val="003645F6"/>
    <w:rsid w:val="003665AA"/>
    <w:rsid w:val="003666FF"/>
    <w:rsid w:val="00366923"/>
    <w:rsid w:val="003671A8"/>
    <w:rsid w:val="00367D82"/>
    <w:rsid w:val="003702D1"/>
    <w:rsid w:val="003708C1"/>
    <w:rsid w:val="00372456"/>
    <w:rsid w:val="003726B4"/>
    <w:rsid w:val="00373E0A"/>
    <w:rsid w:val="00374AD6"/>
    <w:rsid w:val="00374E1D"/>
    <w:rsid w:val="00375696"/>
    <w:rsid w:val="00375980"/>
    <w:rsid w:val="003768C4"/>
    <w:rsid w:val="003773DB"/>
    <w:rsid w:val="00377969"/>
    <w:rsid w:val="00377B37"/>
    <w:rsid w:val="00380022"/>
    <w:rsid w:val="00380110"/>
    <w:rsid w:val="00380715"/>
    <w:rsid w:val="00381232"/>
    <w:rsid w:val="00381C7A"/>
    <w:rsid w:val="0038289F"/>
    <w:rsid w:val="0038313F"/>
    <w:rsid w:val="0038331F"/>
    <w:rsid w:val="003844D8"/>
    <w:rsid w:val="00385788"/>
    <w:rsid w:val="00385ABF"/>
    <w:rsid w:val="00385E24"/>
    <w:rsid w:val="003863D4"/>
    <w:rsid w:val="00386407"/>
    <w:rsid w:val="0038668C"/>
    <w:rsid w:val="00387257"/>
    <w:rsid w:val="00387DCE"/>
    <w:rsid w:val="00390FCB"/>
    <w:rsid w:val="00390FDF"/>
    <w:rsid w:val="0039115D"/>
    <w:rsid w:val="00391737"/>
    <w:rsid w:val="00391CDA"/>
    <w:rsid w:val="00391D3A"/>
    <w:rsid w:val="003921B8"/>
    <w:rsid w:val="00392443"/>
    <w:rsid w:val="003926FD"/>
    <w:rsid w:val="00392F27"/>
    <w:rsid w:val="003937B6"/>
    <w:rsid w:val="00394279"/>
    <w:rsid w:val="0039545C"/>
    <w:rsid w:val="0039587A"/>
    <w:rsid w:val="00395BEF"/>
    <w:rsid w:val="003963C0"/>
    <w:rsid w:val="0039648A"/>
    <w:rsid w:val="00396650"/>
    <w:rsid w:val="003967F9"/>
    <w:rsid w:val="00396DB0"/>
    <w:rsid w:val="00397313"/>
    <w:rsid w:val="0039734A"/>
    <w:rsid w:val="00397D26"/>
    <w:rsid w:val="00397F75"/>
    <w:rsid w:val="003A0A29"/>
    <w:rsid w:val="003A1075"/>
    <w:rsid w:val="003A18F2"/>
    <w:rsid w:val="003A2337"/>
    <w:rsid w:val="003A2D68"/>
    <w:rsid w:val="003A2ED1"/>
    <w:rsid w:val="003A32A2"/>
    <w:rsid w:val="003A3CBB"/>
    <w:rsid w:val="003A428A"/>
    <w:rsid w:val="003A446F"/>
    <w:rsid w:val="003A49BF"/>
    <w:rsid w:val="003A4C68"/>
    <w:rsid w:val="003A4F24"/>
    <w:rsid w:val="003A520C"/>
    <w:rsid w:val="003A6629"/>
    <w:rsid w:val="003B03BA"/>
    <w:rsid w:val="003B09C1"/>
    <w:rsid w:val="003B0CF1"/>
    <w:rsid w:val="003B1EE7"/>
    <w:rsid w:val="003B2705"/>
    <w:rsid w:val="003B322C"/>
    <w:rsid w:val="003B32D9"/>
    <w:rsid w:val="003B34F0"/>
    <w:rsid w:val="003B3BF4"/>
    <w:rsid w:val="003B474F"/>
    <w:rsid w:val="003B489D"/>
    <w:rsid w:val="003B5101"/>
    <w:rsid w:val="003B58F8"/>
    <w:rsid w:val="003B614B"/>
    <w:rsid w:val="003B763A"/>
    <w:rsid w:val="003C0330"/>
    <w:rsid w:val="003C03E0"/>
    <w:rsid w:val="003C052B"/>
    <w:rsid w:val="003C0817"/>
    <w:rsid w:val="003C0B47"/>
    <w:rsid w:val="003C12D8"/>
    <w:rsid w:val="003C2317"/>
    <w:rsid w:val="003C2461"/>
    <w:rsid w:val="003C2712"/>
    <w:rsid w:val="003C2DAC"/>
    <w:rsid w:val="003C322E"/>
    <w:rsid w:val="003C338F"/>
    <w:rsid w:val="003C3AA6"/>
    <w:rsid w:val="003C41BB"/>
    <w:rsid w:val="003C473A"/>
    <w:rsid w:val="003C5ED8"/>
    <w:rsid w:val="003C6782"/>
    <w:rsid w:val="003C6BFD"/>
    <w:rsid w:val="003C71D0"/>
    <w:rsid w:val="003C775E"/>
    <w:rsid w:val="003C77C2"/>
    <w:rsid w:val="003D0250"/>
    <w:rsid w:val="003D099B"/>
    <w:rsid w:val="003D1E53"/>
    <w:rsid w:val="003D24A5"/>
    <w:rsid w:val="003D2931"/>
    <w:rsid w:val="003D3025"/>
    <w:rsid w:val="003D3262"/>
    <w:rsid w:val="003D3379"/>
    <w:rsid w:val="003D3588"/>
    <w:rsid w:val="003D38C4"/>
    <w:rsid w:val="003D417F"/>
    <w:rsid w:val="003D48E5"/>
    <w:rsid w:val="003D4AA0"/>
    <w:rsid w:val="003D4B10"/>
    <w:rsid w:val="003D4EF9"/>
    <w:rsid w:val="003D57BB"/>
    <w:rsid w:val="003D6A63"/>
    <w:rsid w:val="003D72AF"/>
    <w:rsid w:val="003E056A"/>
    <w:rsid w:val="003E0796"/>
    <w:rsid w:val="003E0B70"/>
    <w:rsid w:val="003E0B74"/>
    <w:rsid w:val="003E0D6F"/>
    <w:rsid w:val="003E14F6"/>
    <w:rsid w:val="003E153B"/>
    <w:rsid w:val="003E3395"/>
    <w:rsid w:val="003E398B"/>
    <w:rsid w:val="003E3B71"/>
    <w:rsid w:val="003E42C9"/>
    <w:rsid w:val="003E46C4"/>
    <w:rsid w:val="003E470C"/>
    <w:rsid w:val="003E4B7F"/>
    <w:rsid w:val="003E5EF5"/>
    <w:rsid w:val="003E61D0"/>
    <w:rsid w:val="003E7095"/>
    <w:rsid w:val="003E7ECC"/>
    <w:rsid w:val="003F00EE"/>
    <w:rsid w:val="003F02BF"/>
    <w:rsid w:val="003F03B9"/>
    <w:rsid w:val="003F0481"/>
    <w:rsid w:val="003F059F"/>
    <w:rsid w:val="003F0FB7"/>
    <w:rsid w:val="003F1CD6"/>
    <w:rsid w:val="003F1E9C"/>
    <w:rsid w:val="003F2628"/>
    <w:rsid w:val="003F2AE1"/>
    <w:rsid w:val="003F309B"/>
    <w:rsid w:val="003F3283"/>
    <w:rsid w:val="003F38FA"/>
    <w:rsid w:val="003F3C96"/>
    <w:rsid w:val="003F436C"/>
    <w:rsid w:val="003F478E"/>
    <w:rsid w:val="003F4AAD"/>
    <w:rsid w:val="003F4F5B"/>
    <w:rsid w:val="003F4FC3"/>
    <w:rsid w:val="003F5201"/>
    <w:rsid w:val="003F5E5E"/>
    <w:rsid w:val="003F66A1"/>
    <w:rsid w:val="003F7C1E"/>
    <w:rsid w:val="0040031B"/>
    <w:rsid w:val="0040060F"/>
    <w:rsid w:val="004007E7"/>
    <w:rsid w:val="00401332"/>
    <w:rsid w:val="004013CD"/>
    <w:rsid w:val="0040150A"/>
    <w:rsid w:val="0040192B"/>
    <w:rsid w:val="00401C07"/>
    <w:rsid w:val="004021B6"/>
    <w:rsid w:val="00403526"/>
    <w:rsid w:val="00404635"/>
    <w:rsid w:val="00404733"/>
    <w:rsid w:val="00404AC9"/>
    <w:rsid w:val="00404E2F"/>
    <w:rsid w:val="004050C6"/>
    <w:rsid w:val="00405249"/>
    <w:rsid w:val="00405367"/>
    <w:rsid w:val="00405562"/>
    <w:rsid w:val="004055F3"/>
    <w:rsid w:val="00405D9F"/>
    <w:rsid w:val="00405F75"/>
    <w:rsid w:val="00407364"/>
    <w:rsid w:val="00410271"/>
    <w:rsid w:val="004106ED"/>
    <w:rsid w:val="004108BA"/>
    <w:rsid w:val="00412178"/>
    <w:rsid w:val="004136F3"/>
    <w:rsid w:val="00413C34"/>
    <w:rsid w:val="00413DE4"/>
    <w:rsid w:val="00413EA4"/>
    <w:rsid w:val="0041417A"/>
    <w:rsid w:val="004144F7"/>
    <w:rsid w:val="00414647"/>
    <w:rsid w:val="00414A4A"/>
    <w:rsid w:val="00414B33"/>
    <w:rsid w:val="0041527A"/>
    <w:rsid w:val="004158D2"/>
    <w:rsid w:val="00415E48"/>
    <w:rsid w:val="004161A2"/>
    <w:rsid w:val="004166A7"/>
    <w:rsid w:val="00416CB0"/>
    <w:rsid w:val="00417770"/>
    <w:rsid w:val="004177DD"/>
    <w:rsid w:val="00420C62"/>
    <w:rsid w:val="00421298"/>
    <w:rsid w:val="0042139C"/>
    <w:rsid w:val="00422947"/>
    <w:rsid w:val="00422A62"/>
    <w:rsid w:val="00422AD4"/>
    <w:rsid w:val="0042362B"/>
    <w:rsid w:val="0042487F"/>
    <w:rsid w:val="004266B6"/>
    <w:rsid w:val="00430D73"/>
    <w:rsid w:val="00431BE4"/>
    <w:rsid w:val="00431BFC"/>
    <w:rsid w:val="00433241"/>
    <w:rsid w:val="00433335"/>
    <w:rsid w:val="004334BC"/>
    <w:rsid w:val="00433A8C"/>
    <w:rsid w:val="00434540"/>
    <w:rsid w:val="00434A7D"/>
    <w:rsid w:val="004351EB"/>
    <w:rsid w:val="004360D7"/>
    <w:rsid w:val="00436BD9"/>
    <w:rsid w:val="004371F3"/>
    <w:rsid w:val="004372E3"/>
    <w:rsid w:val="00440206"/>
    <w:rsid w:val="0044060C"/>
    <w:rsid w:val="00440C82"/>
    <w:rsid w:val="00441427"/>
    <w:rsid w:val="004419BB"/>
    <w:rsid w:val="00441BA7"/>
    <w:rsid w:val="00441DC4"/>
    <w:rsid w:val="00441E90"/>
    <w:rsid w:val="00441ED6"/>
    <w:rsid w:val="00441F3C"/>
    <w:rsid w:val="004429FF"/>
    <w:rsid w:val="00442C6A"/>
    <w:rsid w:val="0044355A"/>
    <w:rsid w:val="00443F53"/>
    <w:rsid w:val="004440ED"/>
    <w:rsid w:val="0044464E"/>
    <w:rsid w:val="00444C00"/>
    <w:rsid w:val="00444DDA"/>
    <w:rsid w:val="004453D5"/>
    <w:rsid w:val="00445C96"/>
    <w:rsid w:val="00445D84"/>
    <w:rsid w:val="00446901"/>
    <w:rsid w:val="00446D8D"/>
    <w:rsid w:val="004472EF"/>
    <w:rsid w:val="00447743"/>
    <w:rsid w:val="00447E8A"/>
    <w:rsid w:val="00447F38"/>
    <w:rsid w:val="004516EB"/>
    <w:rsid w:val="004539ED"/>
    <w:rsid w:val="004543B0"/>
    <w:rsid w:val="00454D4A"/>
    <w:rsid w:val="004556E9"/>
    <w:rsid w:val="00456427"/>
    <w:rsid w:val="00457ADD"/>
    <w:rsid w:val="00460143"/>
    <w:rsid w:val="00460587"/>
    <w:rsid w:val="00460ABA"/>
    <w:rsid w:val="00461839"/>
    <w:rsid w:val="004619D2"/>
    <w:rsid w:val="00461ADA"/>
    <w:rsid w:val="00461AFC"/>
    <w:rsid w:val="0046279D"/>
    <w:rsid w:val="00463642"/>
    <w:rsid w:val="00463801"/>
    <w:rsid w:val="00463806"/>
    <w:rsid w:val="004647EA"/>
    <w:rsid w:val="00464AD5"/>
    <w:rsid w:val="0046520E"/>
    <w:rsid w:val="00465736"/>
    <w:rsid w:val="004657E7"/>
    <w:rsid w:val="00465E40"/>
    <w:rsid w:val="00465F78"/>
    <w:rsid w:val="0046641C"/>
    <w:rsid w:val="00467949"/>
    <w:rsid w:val="00467C98"/>
    <w:rsid w:val="00467CB6"/>
    <w:rsid w:val="00467F82"/>
    <w:rsid w:val="00470DDB"/>
    <w:rsid w:val="00471158"/>
    <w:rsid w:val="004711F4"/>
    <w:rsid w:val="004718A0"/>
    <w:rsid w:val="00472728"/>
    <w:rsid w:val="004732E6"/>
    <w:rsid w:val="00473321"/>
    <w:rsid w:val="004735CF"/>
    <w:rsid w:val="004739BE"/>
    <w:rsid w:val="00473EE7"/>
    <w:rsid w:val="004742CE"/>
    <w:rsid w:val="00474407"/>
    <w:rsid w:val="00475029"/>
    <w:rsid w:val="0047535F"/>
    <w:rsid w:val="00475560"/>
    <w:rsid w:val="00475BF3"/>
    <w:rsid w:val="00475C21"/>
    <w:rsid w:val="00476475"/>
    <w:rsid w:val="00477105"/>
    <w:rsid w:val="004773D3"/>
    <w:rsid w:val="00477F28"/>
    <w:rsid w:val="00480536"/>
    <w:rsid w:val="004811EC"/>
    <w:rsid w:val="004813A6"/>
    <w:rsid w:val="00481CCD"/>
    <w:rsid w:val="004826BF"/>
    <w:rsid w:val="00483173"/>
    <w:rsid w:val="004831E0"/>
    <w:rsid w:val="00483219"/>
    <w:rsid w:val="004835E4"/>
    <w:rsid w:val="00483D29"/>
    <w:rsid w:val="00483E5D"/>
    <w:rsid w:val="0048486D"/>
    <w:rsid w:val="00484C70"/>
    <w:rsid w:val="0048515B"/>
    <w:rsid w:val="004859C2"/>
    <w:rsid w:val="00486368"/>
    <w:rsid w:val="00486745"/>
    <w:rsid w:val="004869AF"/>
    <w:rsid w:val="00487355"/>
    <w:rsid w:val="00487386"/>
    <w:rsid w:val="0048749A"/>
    <w:rsid w:val="00487538"/>
    <w:rsid w:val="00487F27"/>
    <w:rsid w:val="00490C62"/>
    <w:rsid w:val="00490F4E"/>
    <w:rsid w:val="004913D6"/>
    <w:rsid w:val="004917BA"/>
    <w:rsid w:val="0049229B"/>
    <w:rsid w:val="0049283F"/>
    <w:rsid w:val="004928AF"/>
    <w:rsid w:val="00492907"/>
    <w:rsid w:val="00493197"/>
    <w:rsid w:val="0049373E"/>
    <w:rsid w:val="00494190"/>
    <w:rsid w:val="0049429A"/>
    <w:rsid w:val="00494832"/>
    <w:rsid w:val="00494E28"/>
    <w:rsid w:val="004959E6"/>
    <w:rsid w:val="0049618B"/>
    <w:rsid w:val="004961D8"/>
    <w:rsid w:val="0049654A"/>
    <w:rsid w:val="004969CE"/>
    <w:rsid w:val="0049757E"/>
    <w:rsid w:val="00497802"/>
    <w:rsid w:val="004A133F"/>
    <w:rsid w:val="004A1CB9"/>
    <w:rsid w:val="004A1F53"/>
    <w:rsid w:val="004A2432"/>
    <w:rsid w:val="004A24C2"/>
    <w:rsid w:val="004A3DC9"/>
    <w:rsid w:val="004A3E16"/>
    <w:rsid w:val="004A3F87"/>
    <w:rsid w:val="004A40A4"/>
    <w:rsid w:val="004A4F75"/>
    <w:rsid w:val="004A5CDD"/>
    <w:rsid w:val="004A6509"/>
    <w:rsid w:val="004A7736"/>
    <w:rsid w:val="004B078E"/>
    <w:rsid w:val="004B08F8"/>
    <w:rsid w:val="004B1C74"/>
    <w:rsid w:val="004B1CF5"/>
    <w:rsid w:val="004B20F7"/>
    <w:rsid w:val="004B2749"/>
    <w:rsid w:val="004B290C"/>
    <w:rsid w:val="004B3CAC"/>
    <w:rsid w:val="004B4271"/>
    <w:rsid w:val="004B437B"/>
    <w:rsid w:val="004B692A"/>
    <w:rsid w:val="004B7838"/>
    <w:rsid w:val="004C0269"/>
    <w:rsid w:val="004C031B"/>
    <w:rsid w:val="004C0AAE"/>
    <w:rsid w:val="004C15A5"/>
    <w:rsid w:val="004C2C96"/>
    <w:rsid w:val="004C2D79"/>
    <w:rsid w:val="004C397D"/>
    <w:rsid w:val="004C3BCE"/>
    <w:rsid w:val="004C480A"/>
    <w:rsid w:val="004C542A"/>
    <w:rsid w:val="004C5B77"/>
    <w:rsid w:val="004C5BDC"/>
    <w:rsid w:val="004C705B"/>
    <w:rsid w:val="004D07D2"/>
    <w:rsid w:val="004D0F14"/>
    <w:rsid w:val="004D0FA4"/>
    <w:rsid w:val="004D1692"/>
    <w:rsid w:val="004D176B"/>
    <w:rsid w:val="004D1900"/>
    <w:rsid w:val="004D22A5"/>
    <w:rsid w:val="004D22D5"/>
    <w:rsid w:val="004D2B0E"/>
    <w:rsid w:val="004D2E24"/>
    <w:rsid w:val="004D3224"/>
    <w:rsid w:val="004D37CA"/>
    <w:rsid w:val="004D3A08"/>
    <w:rsid w:val="004D3AF4"/>
    <w:rsid w:val="004D3ED9"/>
    <w:rsid w:val="004D41AD"/>
    <w:rsid w:val="004D54EF"/>
    <w:rsid w:val="004D6064"/>
    <w:rsid w:val="004E0098"/>
    <w:rsid w:val="004E05A9"/>
    <w:rsid w:val="004E0922"/>
    <w:rsid w:val="004E0B8B"/>
    <w:rsid w:val="004E0E20"/>
    <w:rsid w:val="004E1332"/>
    <w:rsid w:val="004E2633"/>
    <w:rsid w:val="004E267D"/>
    <w:rsid w:val="004E26CF"/>
    <w:rsid w:val="004E29E8"/>
    <w:rsid w:val="004E2B8D"/>
    <w:rsid w:val="004E39B2"/>
    <w:rsid w:val="004E56A4"/>
    <w:rsid w:val="004E57C8"/>
    <w:rsid w:val="004E742B"/>
    <w:rsid w:val="004E74A9"/>
    <w:rsid w:val="004E7C27"/>
    <w:rsid w:val="004F082D"/>
    <w:rsid w:val="004F13BE"/>
    <w:rsid w:val="004F1421"/>
    <w:rsid w:val="004F146B"/>
    <w:rsid w:val="004F1C5F"/>
    <w:rsid w:val="004F1FA0"/>
    <w:rsid w:val="004F2369"/>
    <w:rsid w:val="004F25C3"/>
    <w:rsid w:val="004F2637"/>
    <w:rsid w:val="004F283F"/>
    <w:rsid w:val="004F2C9B"/>
    <w:rsid w:val="004F3BE8"/>
    <w:rsid w:val="004F3D21"/>
    <w:rsid w:val="004F494C"/>
    <w:rsid w:val="004F4DCF"/>
    <w:rsid w:val="004F5849"/>
    <w:rsid w:val="004F58A3"/>
    <w:rsid w:val="004F5A4F"/>
    <w:rsid w:val="004F5DC3"/>
    <w:rsid w:val="004F5F66"/>
    <w:rsid w:val="004F5FFA"/>
    <w:rsid w:val="004F72BE"/>
    <w:rsid w:val="004F7584"/>
    <w:rsid w:val="005001F9"/>
    <w:rsid w:val="0050062F"/>
    <w:rsid w:val="005008E8"/>
    <w:rsid w:val="00500A22"/>
    <w:rsid w:val="00500F17"/>
    <w:rsid w:val="005021C3"/>
    <w:rsid w:val="00502575"/>
    <w:rsid w:val="005036DD"/>
    <w:rsid w:val="00503A12"/>
    <w:rsid w:val="005043C0"/>
    <w:rsid w:val="00504997"/>
    <w:rsid w:val="00504B1D"/>
    <w:rsid w:val="00506CD7"/>
    <w:rsid w:val="005070CC"/>
    <w:rsid w:val="00507439"/>
    <w:rsid w:val="0050749F"/>
    <w:rsid w:val="00507B24"/>
    <w:rsid w:val="00507B39"/>
    <w:rsid w:val="00510812"/>
    <w:rsid w:val="005109B7"/>
    <w:rsid w:val="00510A1B"/>
    <w:rsid w:val="00512048"/>
    <w:rsid w:val="005125EA"/>
    <w:rsid w:val="0051347C"/>
    <w:rsid w:val="00513C8F"/>
    <w:rsid w:val="00514B9B"/>
    <w:rsid w:val="0051507F"/>
    <w:rsid w:val="00515103"/>
    <w:rsid w:val="005161BE"/>
    <w:rsid w:val="005161E3"/>
    <w:rsid w:val="00516638"/>
    <w:rsid w:val="00516AC0"/>
    <w:rsid w:val="0051743D"/>
    <w:rsid w:val="005179AC"/>
    <w:rsid w:val="00517F14"/>
    <w:rsid w:val="00520158"/>
    <w:rsid w:val="005202D7"/>
    <w:rsid w:val="00520A90"/>
    <w:rsid w:val="00520D30"/>
    <w:rsid w:val="005211CC"/>
    <w:rsid w:val="00521370"/>
    <w:rsid w:val="00521CCC"/>
    <w:rsid w:val="00521D16"/>
    <w:rsid w:val="00521F02"/>
    <w:rsid w:val="00522163"/>
    <w:rsid w:val="005222E2"/>
    <w:rsid w:val="005225AC"/>
    <w:rsid w:val="005227FA"/>
    <w:rsid w:val="00522837"/>
    <w:rsid w:val="00522D01"/>
    <w:rsid w:val="00523B1A"/>
    <w:rsid w:val="0052615B"/>
    <w:rsid w:val="0052655C"/>
    <w:rsid w:val="0053078D"/>
    <w:rsid w:val="00530C2F"/>
    <w:rsid w:val="00531B20"/>
    <w:rsid w:val="00531DE6"/>
    <w:rsid w:val="00532929"/>
    <w:rsid w:val="0053297A"/>
    <w:rsid w:val="00532FDF"/>
    <w:rsid w:val="00533B7B"/>
    <w:rsid w:val="00534180"/>
    <w:rsid w:val="0053471A"/>
    <w:rsid w:val="00534917"/>
    <w:rsid w:val="005363DF"/>
    <w:rsid w:val="00536F95"/>
    <w:rsid w:val="00537A01"/>
    <w:rsid w:val="00537AF6"/>
    <w:rsid w:val="005400BF"/>
    <w:rsid w:val="00540430"/>
    <w:rsid w:val="00540B29"/>
    <w:rsid w:val="00540CBD"/>
    <w:rsid w:val="00540F4A"/>
    <w:rsid w:val="005411A8"/>
    <w:rsid w:val="00542811"/>
    <w:rsid w:val="00543498"/>
    <w:rsid w:val="00543554"/>
    <w:rsid w:val="00543B68"/>
    <w:rsid w:val="00543C03"/>
    <w:rsid w:val="00543D06"/>
    <w:rsid w:val="00543E02"/>
    <w:rsid w:val="005446B5"/>
    <w:rsid w:val="005448F5"/>
    <w:rsid w:val="00544D44"/>
    <w:rsid w:val="005459DF"/>
    <w:rsid w:val="00546FA3"/>
    <w:rsid w:val="00546FCA"/>
    <w:rsid w:val="00550434"/>
    <w:rsid w:val="00551AC8"/>
    <w:rsid w:val="00552134"/>
    <w:rsid w:val="005533B5"/>
    <w:rsid w:val="0055388F"/>
    <w:rsid w:val="00553900"/>
    <w:rsid w:val="00554B81"/>
    <w:rsid w:val="00554F97"/>
    <w:rsid w:val="0055676E"/>
    <w:rsid w:val="00557746"/>
    <w:rsid w:val="00557F86"/>
    <w:rsid w:val="005604B5"/>
    <w:rsid w:val="005604E1"/>
    <w:rsid w:val="005614EC"/>
    <w:rsid w:val="00561D64"/>
    <w:rsid w:val="00561F26"/>
    <w:rsid w:val="00562619"/>
    <w:rsid w:val="005640F7"/>
    <w:rsid w:val="00564653"/>
    <w:rsid w:val="0056486E"/>
    <w:rsid w:val="00564BB1"/>
    <w:rsid w:val="0056584B"/>
    <w:rsid w:val="0056664A"/>
    <w:rsid w:val="0056690C"/>
    <w:rsid w:val="00566C02"/>
    <w:rsid w:val="00567E50"/>
    <w:rsid w:val="00570653"/>
    <w:rsid w:val="00570883"/>
    <w:rsid w:val="00570BA9"/>
    <w:rsid w:val="00570BC8"/>
    <w:rsid w:val="0057143D"/>
    <w:rsid w:val="005718C0"/>
    <w:rsid w:val="00572133"/>
    <w:rsid w:val="00572456"/>
    <w:rsid w:val="00572700"/>
    <w:rsid w:val="00573617"/>
    <w:rsid w:val="0057363E"/>
    <w:rsid w:val="00573981"/>
    <w:rsid w:val="00574016"/>
    <w:rsid w:val="00574084"/>
    <w:rsid w:val="005743E8"/>
    <w:rsid w:val="0057466F"/>
    <w:rsid w:val="005751DF"/>
    <w:rsid w:val="0057534E"/>
    <w:rsid w:val="00575398"/>
    <w:rsid w:val="005757F8"/>
    <w:rsid w:val="00575EB5"/>
    <w:rsid w:val="00576064"/>
    <w:rsid w:val="00577671"/>
    <w:rsid w:val="00577CC9"/>
    <w:rsid w:val="00581976"/>
    <w:rsid w:val="005823E1"/>
    <w:rsid w:val="00582420"/>
    <w:rsid w:val="005825D9"/>
    <w:rsid w:val="00582DDE"/>
    <w:rsid w:val="005835BC"/>
    <w:rsid w:val="00583C0C"/>
    <w:rsid w:val="00583FE1"/>
    <w:rsid w:val="005841FC"/>
    <w:rsid w:val="00584254"/>
    <w:rsid w:val="00584500"/>
    <w:rsid w:val="005849ED"/>
    <w:rsid w:val="00584C45"/>
    <w:rsid w:val="00584DFC"/>
    <w:rsid w:val="00584E9E"/>
    <w:rsid w:val="00585F11"/>
    <w:rsid w:val="005863BF"/>
    <w:rsid w:val="00586ABB"/>
    <w:rsid w:val="00586E26"/>
    <w:rsid w:val="00587D23"/>
    <w:rsid w:val="00591D19"/>
    <w:rsid w:val="0059255A"/>
    <w:rsid w:val="00592584"/>
    <w:rsid w:val="005943B3"/>
    <w:rsid w:val="00594BD6"/>
    <w:rsid w:val="00594EA5"/>
    <w:rsid w:val="00595413"/>
    <w:rsid w:val="005958BF"/>
    <w:rsid w:val="005964AC"/>
    <w:rsid w:val="00596643"/>
    <w:rsid w:val="00596BF8"/>
    <w:rsid w:val="00596E39"/>
    <w:rsid w:val="00596FE6"/>
    <w:rsid w:val="00597358"/>
    <w:rsid w:val="00597758"/>
    <w:rsid w:val="00597EF7"/>
    <w:rsid w:val="005A0B81"/>
    <w:rsid w:val="005A1310"/>
    <w:rsid w:val="005A193B"/>
    <w:rsid w:val="005A2862"/>
    <w:rsid w:val="005A2AEC"/>
    <w:rsid w:val="005A2C1B"/>
    <w:rsid w:val="005A2D61"/>
    <w:rsid w:val="005A432C"/>
    <w:rsid w:val="005A4368"/>
    <w:rsid w:val="005A43D4"/>
    <w:rsid w:val="005A449A"/>
    <w:rsid w:val="005A4707"/>
    <w:rsid w:val="005A5B7C"/>
    <w:rsid w:val="005A70B5"/>
    <w:rsid w:val="005A735B"/>
    <w:rsid w:val="005B0615"/>
    <w:rsid w:val="005B0C7B"/>
    <w:rsid w:val="005B171B"/>
    <w:rsid w:val="005B1A5B"/>
    <w:rsid w:val="005B2318"/>
    <w:rsid w:val="005B2548"/>
    <w:rsid w:val="005B2C61"/>
    <w:rsid w:val="005B2C7C"/>
    <w:rsid w:val="005B3728"/>
    <w:rsid w:val="005B37E2"/>
    <w:rsid w:val="005B4A2A"/>
    <w:rsid w:val="005B4CB5"/>
    <w:rsid w:val="005B5643"/>
    <w:rsid w:val="005B5A7A"/>
    <w:rsid w:val="005B5BE7"/>
    <w:rsid w:val="005B60AC"/>
    <w:rsid w:val="005B7BEE"/>
    <w:rsid w:val="005B7FD3"/>
    <w:rsid w:val="005C013C"/>
    <w:rsid w:val="005C0B72"/>
    <w:rsid w:val="005C1000"/>
    <w:rsid w:val="005C1ADD"/>
    <w:rsid w:val="005C2995"/>
    <w:rsid w:val="005C364F"/>
    <w:rsid w:val="005C3AEA"/>
    <w:rsid w:val="005C3EE7"/>
    <w:rsid w:val="005C4814"/>
    <w:rsid w:val="005C5BF0"/>
    <w:rsid w:val="005C5D22"/>
    <w:rsid w:val="005C6471"/>
    <w:rsid w:val="005C6816"/>
    <w:rsid w:val="005C6FD2"/>
    <w:rsid w:val="005C74FC"/>
    <w:rsid w:val="005D23AB"/>
    <w:rsid w:val="005D292D"/>
    <w:rsid w:val="005D2F87"/>
    <w:rsid w:val="005D467D"/>
    <w:rsid w:val="005D4AEC"/>
    <w:rsid w:val="005D4FC8"/>
    <w:rsid w:val="005D54C3"/>
    <w:rsid w:val="005D58E6"/>
    <w:rsid w:val="005D5A19"/>
    <w:rsid w:val="005D6A9C"/>
    <w:rsid w:val="005D77C4"/>
    <w:rsid w:val="005E0314"/>
    <w:rsid w:val="005E122C"/>
    <w:rsid w:val="005E18D8"/>
    <w:rsid w:val="005E26BE"/>
    <w:rsid w:val="005E3877"/>
    <w:rsid w:val="005E3DED"/>
    <w:rsid w:val="005E4262"/>
    <w:rsid w:val="005E4383"/>
    <w:rsid w:val="005E4A04"/>
    <w:rsid w:val="005E4A1A"/>
    <w:rsid w:val="005E58D9"/>
    <w:rsid w:val="005E7400"/>
    <w:rsid w:val="005E7517"/>
    <w:rsid w:val="005E7983"/>
    <w:rsid w:val="005E7EDF"/>
    <w:rsid w:val="005E7F2E"/>
    <w:rsid w:val="005F0A08"/>
    <w:rsid w:val="005F0B67"/>
    <w:rsid w:val="005F1647"/>
    <w:rsid w:val="005F1E8D"/>
    <w:rsid w:val="005F20B6"/>
    <w:rsid w:val="005F3341"/>
    <w:rsid w:val="005F3AC1"/>
    <w:rsid w:val="005F3C82"/>
    <w:rsid w:val="005F40C1"/>
    <w:rsid w:val="005F41EF"/>
    <w:rsid w:val="005F437D"/>
    <w:rsid w:val="005F4949"/>
    <w:rsid w:val="005F4A4A"/>
    <w:rsid w:val="005F4AE5"/>
    <w:rsid w:val="005F4AFA"/>
    <w:rsid w:val="005F4B1F"/>
    <w:rsid w:val="005F4D8F"/>
    <w:rsid w:val="005F4F71"/>
    <w:rsid w:val="005F5130"/>
    <w:rsid w:val="005F5A56"/>
    <w:rsid w:val="005F5CDD"/>
    <w:rsid w:val="005F63AF"/>
    <w:rsid w:val="005F6496"/>
    <w:rsid w:val="005F6567"/>
    <w:rsid w:val="005F75AA"/>
    <w:rsid w:val="005F771B"/>
    <w:rsid w:val="005F7829"/>
    <w:rsid w:val="006000A1"/>
    <w:rsid w:val="0060059B"/>
    <w:rsid w:val="00600751"/>
    <w:rsid w:val="00600C54"/>
    <w:rsid w:val="0060105F"/>
    <w:rsid w:val="00601563"/>
    <w:rsid w:val="006015E6"/>
    <w:rsid w:val="00601AED"/>
    <w:rsid w:val="006029D6"/>
    <w:rsid w:val="006030AE"/>
    <w:rsid w:val="0060310C"/>
    <w:rsid w:val="00603A9B"/>
    <w:rsid w:val="00604A74"/>
    <w:rsid w:val="00605BED"/>
    <w:rsid w:val="006066C4"/>
    <w:rsid w:val="006070BF"/>
    <w:rsid w:val="00607C37"/>
    <w:rsid w:val="00610226"/>
    <w:rsid w:val="00610317"/>
    <w:rsid w:val="006103D3"/>
    <w:rsid w:val="006109D8"/>
    <w:rsid w:val="00610B3E"/>
    <w:rsid w:val="00611F12"/>
    <w:rsid w:val="00612213"/>
    <w:rsid w:val="006123FB"/>
    <w:rsid w:val="006125E7"/>
    <w:rsid w:val="0061281F"/>
    <w:rsid w:val="00612946"/>
    <w:rsid w:val="00614194"/>
    <w:rsid w:val="00614354"/>
    <w:rsid w:val="0061452C"/>
    <w:rsid w:val="00615118"/>
    <w:rsid w:val="006154B4"/>
    <w:rsid w:val="00615C10"/>
    <w:rsid w:val="00615F45"/>
    <w:rsid w:val="00616AC0"/>
    <w:rsid w:val="00616B0C"/>
    <w:rsid w:val="006170DF"/>
    <w:rsid w:val="0061713E"/>
    <w:rsid w:val="00617ED9"/>
    <w:rsid w:val="006200FA"/>
    <w:rsid w:val="0062099D"/>
    <w:rsid w:val="00620B76"/>
    <w:rsid w:val="00620E89"/>
    <w:rsid w:val="00621582"/>
    <w:rsid w:val="00623728"/>
    <w:rsid w:val="0062430E"/>
    <w:rsid w:val="00624FD2"/>
    <w:rsid w:val="00625842"/>
    <w:rsid w:val="006261CB"/>
    <w:rsid w:val="00626F7A"/>
    <w:rsid w:val="00627A6B"/>
    <w:rsid w:val="00630345"/>
    <w:rsid w:val="00630460"/>
    <w:rsid w:val="00630667"/>
    <w:rsid w:val="00631073"/>
    <w:rsid w:val="00631510"/>
    <w:rsid w:val="00631632"/>
    <w:rsid w:val="00631DE2"/>
    <w:rsid w:val="00632020"/>
    <w:rsid w:val="006328E1"/>
    <w:rsid w:val="0063299B"/>
    <w:rsid w:val="00632A0C"/>
    <w:rsid w:val="00632BB2"/>
    <w:rsid w:val="00633551"/>
    <w:rsid w:val="0063399C"/>
    <w:rsid w:val="00634622"/>
    <w:rsid w:val="0063481F"/>
    <w:rsid w:val="00635255"/>
    <w:rsid w:val="006368A3"/>
    <w:rsid w:val="00636B5E"/>
    <w:rsid w:val="00636F91"/>
    <w:rsid w:val="00637118"/>
    <w:rsid w:val="0063715D"/>
    <w:rsid w:val="006371F9"/>
    <w:rsid w:val="00637C42"/>
    <w:rsid w:val="0064002D"/>
    <w:rsid w:val="00640736"/>
    <w:rsid w:val="006407A8"/>
    <w:rsid w:val="00640BF0"/>
    <w:rsid w:val="0064145C"/>
    <w:rsid w:val="006417E4"/>
    <w:rsid w:val="0064195E"/>
    <w:rsid w:val="00641A86"/>
    <w:rsid w:val="00642A9A"/>
    <w:rsid w:val="0064368E"/>
    <w:rsid w:val="00643E97"/>
    <w:rsid w:val="00644313"/>
    <w:rsid w:val="00644DE9"/>
    <w:rsid w:val="00645BE6"/>
    <w:rsid w:val="00645CBE"/>
    <w:rsid w:val="00645FC4"/>
    <w:rsid w:val="00646EAA"/>
    <w:rsid w:val="0064718C"/>
    <w:rsid w:val="006476EF"/>
    <w:rsid w:val="00651168"/>
    <w:rsid w:val="00651691"/>
    <w:rsid w:val="00653855"/>
    <w:rsid w:val="00654485"/>
    <w:rsid w:val="006544AF"/>
    <w:rsid w:val="00654CCC"/>
    <w:rsid w:val="00654DCE"/>
    <w:rsid w:val="00654FCD"/>
    <w:rsid w:val="00655BCA"/>
    <w:rsid w:val="00656CA5"/>
    <w:rsid w:val="00657D2E"/>
    <w:rsid w:val="006601F8"/>
    <w:rsid w:val="006606E0"/>
    <w:rsid w:val="00660F50"/>
    <w:rsid w:val="00661A99"/>
    <w:rsid w:val="00661FA3"/>
    <w:rsid w:val="00662585"/>
    <w:rsid w:val="00662B99"/>
    <w:rsid w:val="00664455"/>
    <w:rsid w:val="0066520F"/>
    <w:rsid w:val="006653F1"/>
    <w:rsid w:val="00665D04"/>
    <w:rsid w:val="0066637C"/>
    <w:rsid w:val="00666398"/>
    <w:rsid w:val="00666B67"/>
    <w:rsid w:val="006670A4"/>
    <w:rsid w:val="00670234"/>
    <w:rsid w:val="006704A9"/>
    <w:rsid w:val="00670598"/>
    <w:rsid w:val="00670FFA"/>
    <w:rsid w:val="006712AF"/>
    <w:rsid w:val="006717C6"/>
    <w:rsid w:val="00672145"/>
    <w:rsid w:val="0067320B"/>
    <w:rsid w:val="00673441"/>
    <w:rsid w:val="00673C03"/>
    <w:rsid w:val="0067456A"/>
    <w:rsid w:val="00675A44"/>
    <w:rsid w:val="00676A03"/>
    <w:rsid w:val="00677034"/>
    <w:rsid w:val="0067724D"/>
    <w:rsid w:val="006772CE"/>
    <w:rsid w:val="006773C0"/>
    <w:rsid w:val="00677991"/>
    <w:rsid w:val="00677D27"/>
    <w:rsid w:val="0067EF5B"/>
    <w:rsid w:val="006802C5"/>
    <w:rsid w:val="0068117D"/>
    <w:rsid w:val="0068157D"/>
    <w:rsid w:val="00681E87"/>
    <w:rsid w:val="00682616"/>
    <w:rsid w:val="0068274C"/>
    <w:rsid w:val="006829EB"/>
    <w:rsid w:val="00683118"/>
    <w:rsid w:val="0068339B"/>
    <w:rsid w:val="006833B4"/>
    <w:rsid w:val="006836F6"/>
    <w:rsid w:val="006843CD"/>
    <w:rsid w:val="0068463E"/>
    <w:rsid w:val="00684BA7"/>
    <w:rsid w:val="00684F22"/>
    <w:rsid w:val="006852E9"/>
    <w:rsid w:val="006852F7"/>
    <w:rsid w:val="006862CB"/>
    <w:rsid w:val="006862D4"/>
    <w:rsid w:val="00686DA9"/>
    <w:rsid w:val="00686EA2"/>
    <w:rsid w:val="00690814"/>
    <w:rsid w:val="00690D61"/>
    <w:rsid w:val="00692174"/>
    <w:rsid w:val="00692DE9"/>
    <w:rsid w:val="00692F7D"/>
    <w:rsid w:val="0069351F"/>
    <w:rsid w:val="00693A4D"/>
    <w:rsid w:val="00693BA4"/>
    <w:rsid w:val="00693E00"/>
    <w:rsid w:val="00693E44"/>
    <w:rsid w:val="0069466C"/>
    <w:rsid w:val="00694FA0"/>
    <w:rsid w:val="006953AC"/>
    <w:rsid w:val="00695816"/>
    <w:rsid w:val="006959BE"/>
    <w:rsid w:val="00695A84"/>
    <w:rsid w:val="0069607B"/>
    <w:rsid w:val="0069626E"/>
    <w:rsid w:val="00696279"/>
    <w:rsid w:val="006962C5"/>
    <w:rsid w:val="00696310"/>
    <w:rsid w:val="0069766C"/>
    <w:rsid w:val="00697C14"/>
    <w:rsid w:val="00697EFB"/>
    <w:rsid w:val="00697F57"/>
    <w:rsid w:val="006A1072"/>
    <w:rsid w:val="006A16C6"/>
    <w:rsid w:val="006A1DF7"/>
    <w:rsid w:val="006A2A10"/>
    <w:rsid w:val="006A2D52"/>
    <w:rsid w:val="006A2E2C"/>
    <w:rsid w:val="006A2E95"/>
    <w:rsid w:val="006A3144"/>
    <w:rsid w:val="006A369F"/>
    <w:rsid w:val="006A37D3"/>
    <w:rsid w:val="006A39D6"/>
    <w:rsid w:val="006A4A40"/>
    <w:rsid w:val="006A4DE3"/>
    <w:rsid w:val="006A586C"/>
    <w:rsid w:val="006A5F39"/>
    <w:rsid w:val="006A630A"/>
    <w:rsid w:val="006A67F7"/>
    <w:rsid w:val="006A762C"/>
    <w:rsid w:val="006A79EF"/>
    <w:rsid w:val="006A7D46"/>
    <w:rsid w:val="006B0969"/>
    <w:rsid w:val="006B0DEB"/>
    <w:rsid w:val="006B231F"/>
    <w:rsid w:val="006B2F76"/>
    <w:rsid w:val="006B3417"/>
    <w:rsid w:val="006B355F"/>
    <w:rsid w:val="006B4854"/>
    <w:rsid w:val="006B6C94"/>
    <w:rsid w:val="006B6E6B"/>
    <w:rsid w:val="006B73DE"/>
    <w:rsid w:val="006B7CCD"/>
    <w:rsid w:val="006B7E1A"/>
    <w:rsid w:val="006C0395"/>
    <w:rsid w:val="006C06BF"/>
    <w:rsid w:val="006C0E72"/>
    <w:rsid w:val="006C1A54"/>
    <w:rsid w:val="006C272C"/>
    <w:rsid w:val="006C282B"/>
    <w:rsid w:val="006C3FB4"/>
    <w:rsid w:val="006C58E1"/>
    <w:rsid w:val="006C666B"/>
    <w:rsid w:val="006C6CD1"/>
    <w:rsid w:val="006C705D"/>
    <w:rsid w:val="006D02CD"/>
    <w:rsid w:val="006D1EA9"/>
    <w:rsid w:val="006D2345"/>
    <w:rsid w:val="006D2C0C"/>
    <w:rsid w:val="006D2FDE"/>
    <w:rsid w:val="006D30DC"/>
    <w:rsid w:val="006D3100"/>
    <w:rsid w:val="006D3281"/>
    <w:rsid w:val="006D3BE8"/>
    <w:rsid w:val="006D3E9D"/>
    <w:rsid w:val="006D51CD"/>
    <w:rsid w:val="006D5407"/>
    <w:rsid w:val="006D5577"/>
    <w:rsid w:val="006D5E37"/>
    <w:rsid w:val="006D70A9"/>
    <w:rsid w:val="006D738B"/>
    <w:rsid w:val="006D78BE"/>
    <w:rsid w:val="006E02CD"/>
    <w:rsid w:val="006E103D"/>
    <w:rsid w:val="006E1136"/>
    <w:rsid w:val="006E1D08"/>
    <w:rsid w:val="006E22B7"/>
    <w:rsid w:val="006E2ED9"/>
    <w:rsid w:val="006E367F"/>
    <w:rsid w:val="006E41EC"/>
    <w:rsid w:val="006E43B0"/>
    <w:rsid w:val="006E4525"/>
    <w:rsid w:val="006E531D"/>
    <w:rsid w:val="006E53A0"/>
    <w:rsid w:val="006E60F8"/>
    <w:rsid w:val="006E61DB"/>
    <w:rsid w:val="006E6798"/>
    <w:rsid w:val="006E7EDB"/>
    <w:rsid w:val="006F0119"/>
    <w:rsid w:val="006F14E0"/>
    <w:rsid w:val="006F173C"/>
    <w:rsid w:val="006F1818"/>
    <w:rsid w:val="006F1853"/>
    <w:rsid w:val="006F1FD4"/>
    <w:rsid w:val="006F2AFE"/>
    <w:rsid w:val="006F2E5A"/>
    <w:rsid w:val="006F47AA"/>
    <w:rsid w:val="006F586A"/>
    <w:rsid w:val="006F7105"/>
    <w:rsid w:val="006F7310"/>
    <w:rsid w:val="006F7520"/>
    <w:rsid w:val="006F7679"/>
    <w:rsid w:val="006F7725"/>
    <w:rsid w:val="006F7C2D"/>
    <w:rsid w:val="007004B9"/>
    <w:rsid w:val="00700D2B"/>
    <w:rsid w:val="00701368"/>
    <w:rsid w:val="00702CB5"/>
    <w:rsid w:val="00702D14"/>
    <w:rsid w:val="00703025"/>
    <w:rsid w:val="00703260"/>
    <w:rsid w:val="0070346B"/>
    <w:rsid w:val="00705358"/>
    <w:rsid w:val="00705CFF"/>
    <w:rsid w:val="00706431"/>
    <w:rsid w:val="0070781F"/>
    <w:rsid w:val="00707E17"/>
    <w:rsid w:val="00710198"/>
    <w:rsid w:val="00710B52"/>
    <w:rsid w:val="00710DAA"/>
    <w:rsid w:val="007117F1"/>
    <w:rsid w:val="007119BB"/>
    <w:rsid w:val="00712909"/>
    <w:rsid w:val="0071303D"/>
    <w:rsid w:val="0071371A"/>
    <w:rsid w:val="00713AB0"/>
    <w:rsid w:val="00713C55"/>
    <w:rsid w:val="00714048"/>
    <w:rsid w:val="00715E10"/>
    <w:rsid w:val="00716259"/>
    <w:rsid w:val="007165B1"/>
    <w:rsid w:val="0071684B"/>
    <w:rsid w:val="00717016"/>
    <w:rsid w:val="00717636"/>
    <w:rsid w:val="007177A7"/>
    <w:rsid w:val="00717A60"/>
    <w:rsid w:val="00717CE1"/>
    <w:rsid w:val="00717E41"/>
    <w:rsid w:val="00717F32"/>
    <w:rsid w:val="00720D4E"/>
    <w:rsid w:val="00720F97"/>
    <w:rsid w:val="007212D5"/>
    <w:rsid w:val="0072166F"/>
    <w:rsid w:val="007216BE"/>
    <w:rsid w:val="0072174E"/>
    <w:rsid w:val="00721ACC"/>
    <w:rsid w:val="007223AA"/>
    <w:rsid w:val="00722C9D"/>
    <w:rsid w:val="00723DCA"/>
    <w:rsid w:val="00724246"/>
    <w:rsid w:val="007242D6"/>
    <w:rsid w:val="00724EC8"/>
    <w:rsid w:val="0072616C"/>
    <w:rsid w:val="0072631C"/>
    <w:rsid w:val="007307A9"/>
    <w:rsid w:val="0073162D"/>
    <w:rsid w:val="00733121"/>
    <w:rsid w:val="007331A3"/>
    <w:rsid w:val="007334D8"/>
    <w:rsid w:val="00733E27"/>
    <w:rsid w:val="00734126"/>
    <w:rsid w:val="00734565"/>
    <w:rsid w:val="00734C20"/>
    <w:rsid w:val="00735083"/>
    <w:rsid w:val="0073513A"/>
    <w:rsid w:val="00735420"/>
    <w:rsid w:val="007356D1"/>
    <w:rsid w:val="0073590E"/>
    <w:rsid w:val="0073591B"/>
    <w:rsid w:val="00735D96"/>
    <w:rsid w:val="00736CDF"/>
    <w:rsid w:val="007371B3"/>
    <w:rsid w:val="00737248"/>
    <w:rsid w:val="007374F9"/>
    <w:rsid w:val="0073797C"/>
    <w:rsid w:val="00737C4E"/>
    <w:rsid w:val="007416E0"/>
    <w:rsid w:val="00742CDD"/>
    <w:rsid w:val="00742EF4"/>
    <w:rsid w:val="0074344F"/>
    <w:rsid w:val="007435C5"/>
    <w:rsid w:val="007437AF"/>
    <w:rsid w:val="00743C4D"/>
    <w:rsid w:val="00743D40"/>
    <w:rsid w:val="00744535"/>
    <w:rsid w:val="0074468D"/>
    <w:rsid w:val="007449E9"/>
    <w:rsid w:val="00745CDD"/>
    <w:rsid w:val="00746425"/>
    <w:rsid w:val="00746A43"/>
    <w:rsid w:val="0074769A"/>
    <w:rsid w:val="00747A45"/>
    <w:rsid w:val="00747B41"/>
    <w:rsid w:val="007502C0"/>
    <w:rsid w:val="007504D9"/>
    <w:rsid w:val="00751D34"/>
    <w:rsid w:val="0075271D"/>
    <w:rsid w:val="00752BDA"/>
    <w:rsid w:val="00752CAA"/>
    <w:rsid w:val="00752FFB"/>
    <w:rsid w:val="0075309E"/>
    <w:rsid w:val="0075342A"/>
    <w:rsid w:val="00753774"/>
    <w:rsid w:val="00753CB4"/>
    <w:rsid w:val="00753F84"/>
    <w:rsid w:val="007546F5"/>
    <w:rsid w:val="00754AB9"/>
    <w:rsid w:val="00754B1A"/>
    <w:rsid w:val="00754D1B"/>
    <w:rsid w:val="00755127"/>
    <w:rsid w:val="0075569B"/>
    <w:rsid w:val="00756135"/>
    <w:rsid w:val="00757439"/>
    <w:rsid w:val="007578C7"/>
    <w:rsid w:val="00757B5D"/>
    <w:rsid w:val="00757F11"/>
    <w:rsid w:val="0075B484"/>
    <w:rsid w:val="007600B9"/>
    <w:rsid w:val="00760664"/>
    <w:rsid w:val="00760D13"/>
    <w:rsid w:val="00761118"/>
    <w:rsid w:val="00761BCE"/>
    <w:rsid w:val="0076206A"/>
    <w:rsid w:val="0076267F"/>
    <w:rsid w:val="00762C69"/>
    <w:rsid w:val="00763BAC"/>
    <w:rsid w:val="007645DE"/>
    <w:rsid w:val="0076493B"/>
    <w:rsid w:val="00764AB3"/>
    <w:rsid w:val="00765504"/>
    <w:rsid w:val="0076579C"/>
    <w:rsid w:val="0076655E"/>
    <w:rsid w:val="00766762"/>
    <w:rsid w:val="0076706B"/>
    <w:rsid w:val="00767537"/>
    <w:rsid w:val="00767572"/>
    <w:rsid w:val="00767B66"/>
    <w:rsid w:val="00767C3A"/>
    <w:rsid w:val="00770161"/>
    <w:rsid w:val="00770693"/>
    <w:rsid w:val="00770AB3"/>
    <w:rsid w:val="00770D0E"/>
    <w:rsid w:val="00771845"/>
    <w:rsid w:val="00771A34"/>
    <w:rsid w:val="0077231A"/>
    <w:rsid w:val="0077247C"/>
    <w:rsid w:val="00772539"/>
    <w:rsid w:val="007725D5"/>
    <w:rsid w:val="00772B28"/>
    <w:rsid w:val="00772D1F"/>
    <w:rsid w:val="0077399D"/>
    <w:rsid w:val="007746F8"/>
    <w:rsid w:val="007748E7"/>
    <w:rsid w:val="007748F6"/>
    <w:rsid w:val="00774BD9"/>
    <w:rsid w:val="00774C16"/>
    <w:rsid w:val="007752B9"/>
    <w:rsid w:val="007761C8"/>
    <w:rsid w:val="0077664B"/>
    <w:rsid w:val="0077690B"/>
    <w:rsid w:val="007776C6"/>
    <w:rsid w:val="007777BF"/>
    <w:rsid w:val="007779DE"/>
    <w:rsid w:val="00777D5F"/>
    <w:rsid w:val="00780A46"/>
    <w:rsid w:val="00780BE5"/>
    <w:rsid w:val="00781222"/>
    <w:rsid w:val="00781905"/>
    <w:rsid w:val="00781B24"/>
    <w:rsid w:val="00781E97"/>
    <w:rsid w:val="00782383"/>
    <w:rsid w:val="00782490"/>
    <w:rsid w:val="00782BA8"/>
    <w:rsid w:val="00782BF5"/>
    <w:rsid w:val="007832AE"/>
    <w:rsid w:val="00783D65"/>
    <w:rsid w:val="007841F2"/>
    <w:rsid w:val="00784246"/>
    <w:rsid w:val="00784B8F"/>
    <w:rsid w:val="00784BE8"/>
    <w:rsid w:val="007866FA"/>
    <w:rsid w:val="007875FF"/>
    <w:rsid w:val="00787B18"/>
    <w:rsid w:val="00790A0A"/>
    <w:rsid w:val="00790D1F"/>
    <w:rsid w:val="00790E19"/>
    <w:rsid w:val="00790EAD"/>
    <w:rsid w:val="0079229C"/>
    <w:rsid w:val="007928F8"/>
    <w:rsid w:val="00796095"/>
    <w:rsid w:val="007960A7"/>
    <w:rsid w:val="007960CF"/>
    <w:rsid w:val="00796B4A"/>
    <w:rsid w:val="00797ABF"/>
    <w:rsid w:val="007A0B2B"/>
    <w:rsid w:val="007A0BB1"/>
    <w:rsid w:val="007A0E3A"/>
    <w:rsid w:val="007A131A"/>
    <w:rsid w:val="007A15A0"/>
    <w:rsid w:val="007A1802"/>
    <w:rsid w:val="007A1AD4"/>
    <w:rsid w:val="007A2BD7"/>
    <w:rsid w:val="007A39A2"/>
    <w:rsid w:val="007A3C3F"/>
    <w:rsid w:val="007A3F61"/>
    <w:rsid w:val="007A4256"/>
    <w:rsid w:val="007A4AE3"/>
    <w:rsid w:val="007A4CB9"/>
    <w:rsid w:val="007A4D4E"/>
    <w:rsid w:val="007A5158"/>
    <w:rsid w:val="007A5668"/>
    <w:rsid w:val="007A6037"/>
    <w:rsid w:val="007A6E6B"/>
    <w:rsid w:val="007A7572"/>
    <w:rsid w:val="007B0787"/>
    <w:rsid w:val="007B0EC1"/>
    <w:rsid w:val="007B100A"/>
    <w:rsid w:val="007B1FEB"/>
    <w:rsid w:val="007B21A5"/>
    <w:rsid w:val="007B22EA"/>
    <w:rsid w:val="007B2A0D"/>
    <w:rsid w:val="007B2AD6"/>
    <w:rsid w:val="007B33AF"/>
    <w:rsid w:val="007B3623"/>
    <w:rsid w:val="007B3938"/>
    <w:rsid w:val="007B3D9A"/>
    <w:rsid w:val="007B517A"/>
    <w:rsid w:val="007B5EAC"/>
    <w:rsid w:val="007B662A"/>
    <w:rsid w:val="007B6BA2"/>
    <w:rsid w:val="007B76C3"/>
    <w:rsid w:val="007B777D"/>
    <w:rsid w:val="007B7B10"/>
    <w:rsid w:val="007C0B06"/>
    <w:rsid w:val="007C12CC"/>
    <w:rsid w:val="007C16A9"/>
    <w:rsid w:val="007C396F"/>
    <w:rsid w:val="007C42D4"/>
    <w:rsid w:val="007C436D"/>
    <w:rsid w:val="007C4B3E"/>
    <w:rsid w:val="007C5070"/>
    <w:rsid w:val="007C568B"/>
    <w:rsid w:val="007C69CE"/>
    <w:rsid w:val="007C6AEC"/>
    <w:rsid w:val="007C6EDE"/>
    <w:rsid w:val="007C70E3"/>
    <w:rsid w:val="007D0333"/>
    <w:rsid w:val="007D04A6"/>
    <w:rsid w:val="007D08B6"/>
    <w:rsid w:val="007D122B"/>
    <w:rsid w:val="007D1BD7"/>
    <w:rsid w:val="007D33B0"/>
    <w:rsid w:val="007D3F3C"/>
    <w:rsid w:val="007D46B0"/>
    <w:rsid w:val="007D4ED8"/>
    <w:rsid w:val="007D4FF9"/>
    <w:rsid w:val="007D67B4"/>
    <w:rsid w:val="007D7531"/>
    <w:rsid w:val="007D799D"/>
    <w:rsid w:val="007D7AAF"/>
    <w:rsid w:val="007D7BC8"/>
    <w:rsid w:val="007E0115"/>
    <w:rsid w:val="007E03CD"/>
    <w:rsid w:val="007E0595"/>
    <w:rsid w:val="007E070C"/>
    <w:rsid w:val="007E0B14"/>
    <w:rsid w:val="007E0F96"/>
    <w:rsid w:val="007E11A9"/>
    <w:rsid w:val="007E159A"/>
    <w:rsid w:val="007E1602"/>
    <w:rsid w:val="007E1A73"/>
    <w:rsid w:val="007E1E83"/>
    <w:rsid w:val="007E355D"/>
    <w:rsid w:val="007E366B"/>
    <w:rsid w:val="007E3CCC"/>
    <w:rsid w:val="007E440E"/>
    <w:rsid w:val="007E49FD"/>
    <w:rsid w:val="007E562B"/>
    <w:rsid w:val="007E59FA"/>
    <w:rsid w:val="007E5B7F"/>
    <w:rsid w:val="007E61FB"/>
    <w:rsid w:val="007E6807"/>
    <w:rsid w:val="007E73D0"/>
    <w:rsid w:val="007E7754"/>
    <w:rsid w:val="007E7997"/>
    <w:rsid w:val="007F02D3"/>
    <w:rsid w:val="007F04F3"/>
    <w:rsid w:val="007F245F"/>
    <w:rsid w:val="007F34A0"/>
    <w:rsid w:val="007F34D2"/>
    <w:rsid w:val="007F48AB"/>
    <w:rsid w:val="007F491B"/>
    <w:rsid w:val="007F4A39"/>
    <w:rsid w:val="007F4A73"/>
    <w:rsid w:val="007F57A5"/>
    <w:rsid w:val="007F61C5"/>
    <w:rsid w:val="007F79A4"/>
    <w:rsid w:val="007F7BFD"/>
    <w:rsid w:val="007F7DBD"/>
    <w:rsid w:val="007F7FF8"/>
    <w:rsid w:val="008009DC"/>
    <w:rsid w:val="00800ACC"/>
    <w:rsid w:val="00802688"/>
    <w:rsid w:val="00802CAD"/>
    <w:rsid w:val="00802E42"/>
    <w:rsid w:val="00802F0D"/>
    <w:rsid w:val="00803BB5"/>
    <w:rsid w:val="00803FB1"/>
    <w:rsid w:val="008049ED"/>
    <w:rsid w:val="00804CC4"/>
    <w:rsid w:val="00805278"/>
    <w:rsid w:val="008052F9"/>
    <w:rsid w:val="00805660"/>
    <w:rsid w:val="0080584A"/>
    <w:rsid w:val="008061BE"/>
    <w:rsid w:val="00806DCD"/>
    <w:rsid w:val="0080722D"/>
    <w:rsid w:val="008100F3"/>
    <w:rsid w:val="00810202"/>
    <w:rsid w:val="00810569"/>
    <w:rsid w:val="008105C4"/>
    <w:rsid w:val="00811195"/>
    <w:rsid w:val="0081136A"/>
    <w:rsid w:val="008116A5"/>
    <w:rsid w:val="00811B37"/>
    <w:rsid w:val="00811F94"/>
    <w:rsid w:val="00812A3F"/>
    <w:rsid w:val="00812CA1"/>
    <w:rsid w:val="00813195"/>
    <w:rsid w:val="0081347F"/>
    <w:rsid w:val="00814929"/>
    <w:rsid w:val="00814D30"/>
    <w:rsid w:val="008150F8"/>
    <w:rsid w:val="00815F2D"/>
    <w:rsid w:val="00816A06"/>
    <w:rsid w:val="0082034C"/>
    <w:rsid w:val="008211DA"/>
    <w:rsid w:val="0082156D"/>
    <w:rsid w:val="0082160B"/>
    <w:rsid w:val="0082178E"/>
    <w:rsid w:val="00823633"/>
    <w:rsid w:val="00823D14"/>
    <w:rsid w:val="00823D73"/>
    <w:rsid w:val="00824E8A"/>
    <w:rsid w:val="00825386"/>
    <w:rsid w:val="0082550D"/>
    <w:rsid w:val="00825593"/>
    <w:rsid w:val="00825A54"/>
    <w:rsid w:val="00825B0B"/>
    <w:rsid w:val="00826783"/>
    <w:rsid w:val="00826E27"/>
    <w:rsid w:val="00827065"/>
    <w:rsid w:val="0082729A"/>
    <w:rsid w:val="00827492"/>
    <w:rsid w:val="00830604"/>
    <w:rsid w:val="00830E68"/>
    <w:rsid w:val="00831DD0"/>
    <w:rsid w:val="00832AE6"/>
    <w:rsid w:val="00832E16"/>
    <w:rsid w:val="00833B00"/>
    <w:rsid w:val="00833E70"/>
    <w:rsid w:val="00834383"/>
    <w:rsid w:val="00834566"/>
    <w:rsid w:val="00834C13"/>
    <w:rsid w:val="00834F99"/>
    <w:rsid w:val="00835938"/>
    <w:rsid w:val="00836604"/>
    <w:rsid w:val="008366D7"/>
    <w:rsid w:val="00837D35"/>
    <w:rsid w:val="00837EDC"/>
    <w:rsid w:val="00840551"/>
    <w:rsid w:val="0084057C"/>
    <w:rsid w:val="00840DAA"/>
    <w:rsid w:val="0084197B"/>
    <w:rsid w:val="00841D54"/>
    <w:rsid w:val="00841ECA"/>
    <w:rsid w:val="00842699"/>
    <w:rsid w:val="00842975"/>
    <w:rsid w:val="00843FB8"/>
    <w:rsid w:val="00844029"/>
    <w:rsid w:val="0084411F"/>
    <w:rsid w:val="00844811"/>
    <w:rsid w:val="0084514E"/>
    <w:rsid w:val="008461F6"/>
    <w:rsid w:val="00846C3C"/>
    <w:rsid w:val="00846E2D"/>
    <w:rsid w:val="0084740A"/>
    <w:rsid w:val="00850B49"/>
    <w:rsid w:val="008528BA"/>
    <w:rsid w:val="00852CFC"/>
    <w:rsid w:val="008538A2"/>
    <w:rsid w:val="00854593"/>
    <w:rsid w:val="00854C66"/>
    <w:rsid w:val="00855407"/>
    <w:rsid w:val="008556AD"/>
    <w:rsid w:val="00855761"/>
    <w:rsid w:val="00855BC0"/>
    <w:rsid w:val="008560A0"/>
    <w:rsid w:val="0085611B"/>
    <w:rsid w:val="00857878"/>
    <w:rsid w:val="00857E1B"/>
    <w:rsid w:val="00860FDB"/>
    <w:rsid w:val="008616CF"/>
    <w:rsid w:val="008629A8"/>
    <w:rsid w:val="00863145"/>
    <w:rsid w:val="0086341D"/>
    <w:rsid w:val="008634C2"/>
    <w:rsid w:val="0086397F"/>
    <w:rsid w:val="00863EEA"/>
    <w:rsid w:val="0086469F"/>
    <w:rsid w:val="00864EEA"/>
    <w:rsid w:val="00865333"/>
    <w:rsid w:val="00865579"/>
    <w:rsid w:val="00865E4F"/>
    <w:rsid w:val="008664FF"/>
    <w:rsid w:val="00866663"/>
    <w:rsid w:val="00866A4A"/>
    <w:rsid w:val="00866CAE"/>
    <w:rsid w:val="008671B1"/>
    <w:rsid w:val="008675E8"/>
    <w:rsid w:val="008678B2"/>
    <w:rsid w:val="008700D5"/>
    <w:rsid w:val="008709C8"/>
    <w:rsid w:val="00870E60"/>
    <w:rsid w:val="00870ED6"/>
    <w:rsid w:val="00872098"/>
    <w:rsid w:val="00872C0A"/>
    <w:rsid w:val="008739C5"/>
    <w:rsid w:val="00873BE7"/>
    <w:rsid w:val="00873C16"/>
    <w:rsid w:val="00873FAA"/>
    <w:rsid w:val="008744FF"/>
    <w:rsid w:val="00874B36"/>
    <w:rsid w:val="008751EE"/>
    <w:rsid w:val="0087520E"/>
    <w:rsid w:val="00875377"/>
    <w:rsid w:val="0087567E"/>
    <w:rsid w:val="00876B4E"/>
    <w:rsid w:val="00876C88"/>
    <w:rsid w:val="00876CC1"/>
    <w:rsid w:val="0087706C"/>
    <w:rsid w:val="008778E3"/>
    <w:rsid w:val="008779D5"/>
    <w:rsid w:val="00877A08"/>
    <w:rsid w:val="008802A4"/>
    <w:rsid w:val="00881362"/>
    <w:rsid w:val="0088237E"/>
    <w:rsid w:val="00882B38"/>
    <w:rsid w:val="00883258"/>
    <w:rsid w:val="0088347F"/>
    <w:rsid w:val="00883AC1"/>
    <w:rsid w:val="00884599"/>
    <w:rsid w:val="00884EFF"/>
    <w:rsid w:val="00885564"/>
    <w:rsid w:val="0088580C"/>
    <w:rsid w:val="00885EC2"/>
    <w:rsid w:val="008861DD"/>
    <w:rsid w:val="00886A15"/>
    <w:rsid w:val="0088710F"/>
    <w:rsid w:val="008871EF"/>
    <w:rsid w:val="00890694"/>
    <w:rsid w:val="00890A98"/>
    <w:rsid w:val="00890C7B"/>
    <w:rsid w:val="00890D5D"/>
    <w:rsid w:val="00892239"/>
    <w:rsid w:val="008931EA"/>
    <w:rsid w:val="0089500F"/>
    <w:rsid w:val="008954B7"/>
    <w:rsid w:val="0089567E"/>
    <w:rsid w:val="00895BC1"/>
    <w:rsid w:val="00896147"/>
    <w:rsid w:val="008969ED"/>
    <w:rsid w:val="00897869"/>
    <w:rsid w:val="00897B9E"/>
    <w:rsid w:val="008A02E4"/>
    <w:rsid w:val="008A0C4B"/>
    <w:rsid w:val="008A1189"/>
    <w:rsid w:val="008A1CBB"/>
    <w:rsid w:val="008A20E5"/>
    <w:rsid w:val="008A2725"/>
    <w:rsid w:val="008A30D4"/>
    <w:rsid w:val="008A33A9"/>
    <w:rsid w:val="008A3693"/>
    <w:rsid w:val="008A4172"/>
    <w:rsid w:val="008A520F"/>
    <w:rsid w:val="008A5573"/>
    <w:rsid w:val="008A5987"/>
    <w:rsid w:val="008A59DB"/>
    <w:rsid w:val="008A650B"/>
    <w:rsid w:val="008A6964"/>
    <w:rsid w:val="008A78D8"/>
    <w:rsid w:val="008B0791"/>
    <w:rsid w:val="008B3E8F"/>
    <w:rsid w:val="008B3FCB"/>
    <w:rsid w:val="008B4D34"/>
    <w:rsid w:val="008B58ED"/>
    <w:rsid w:val="008B5DF3"/>
    <w:rsid w:val="008B60C3"/>
    <w:rsid w:val="008B6A02"/>
    <w:rsid w:val="008B6FDD"/>
    <w:rsid w:val="008C0056"/>
    <w:rsid w:val="008C0192"/>
    <w:rsid w:val="008C04A1"/>
    <w:rsid w:val="008C06CC"/>
    <w:rsid w:val="008C107E"/>
    <w:rsid w:val="008C15C4"/>
    <w:rsid w:val="008C175E"/>
    <w:rsid w:val="008C1832"/>
    <w:rsid w:val="008C1BA8"/>
    <w:rsid w:val="008C21E1"/>
    <w:rsid w:val="008C26BF"/>
    <w:rsid w:val="008C2AC5"/>
    <w:rsid w:val="008C3DFE"/>
    <w:rsid w:val="008C4170"/>
    <w:rsid w:val="008C4839"/>
    <w:rsid w:val="008C52B1"/>
    <w:rsid w:val="008C5604"/>
    <w:rsid w:val="008C57EB"/>
    <w:rsid w:val="008C6A09"/>
    <w:rsid w:val="008D0284"/>
    <w:rsid w:val="008D070B"/>
    <w:rsid w:val="008D09A1"/>
    <w:rsid w:val="008D1763"/>
    <w:rsid w:val="008D1F27"/>
    <w:rsid w:val="008D24C8"/>
    <w:rsid w:val="008D25F0"/>
    <w:rsid w:val="008D2F31"/>
    <w:rsid w:val="008D3099"/>
    <w:rsid w:val="008D3C41"/>
    <w:rsid w:val="008D48AF"/>
    <w:rsid w:val="008D54A7"/>
    <w:rsid w:val="008D5C57"/>
    <w:rsid w:val="008D61F5"/>
    <w:rsid w:val="008D6676"/>
    <w:rsid w:val="008D76F6"/>
    <w:rsid w:val="008D7A32"/>
    <w:rsid w:val="008D7E64"/>
    <w:rsid w:val="008E2203"/>
    <w:rsid w:val="008E2634"/>
    <w:rsid w:val="008E2E1F"/>
    <w:rsid w:val="008E3F73"/>
    <w:rsid w:val="008E3FF9"/>
    <w:rsid w:val="008E5B6F"/>
    <w:rsid w:val="008E5F1F"/>
    <w:rsid w:val="008E5F3E"/>
    <w:rsid w:val="008E6765"/>
    <w:rsid w:val="008E6D11"/>
    <w:rsid w:val="008E6DBC"/>
    <w:rsid w:val="008E70F1"/>
    <w:rsid w:val="008E755B"/>
    <w:rsid w:val="008E7B4E"/>
    <w:rsid w:val="008E7D70"/>
    <w:rsid w:val="008F03A4"/>
    <w:rsid w:val="008F0453"/>
    <w:rsid w:val="008F07B6"/>
    <w:rsid w:val="008F11A0"/>
    <w:rsid w:val="008F148E"/>
    <w:rsid w:val="008F1E78"/>
    <w:rsid w:val="008F2175"/>
    <w:rsid w:val="008F26C0"/>
    <w:rsid w:val="008F2D41"/>
    <w:rsid w:val="008F2F17"/>
    <w:rsid w:val="008F2F5C"/>
    <w:rsid w:val="008F33BF"/>
    <w:rsid w:val="008F36B5"/>
    <w:rsid w:val="008F3980"/>
    <w:rsid w:val="008F3B14"/>
    <w:rsid w:val="008F3FEB"/>
    <w:rsid w:val="008F4006"/>
    <w:rsid w:val="008F4093"/>
    <w:rsid w:val="008F49CA"/>
    <w:rsid w:val="008F5323"/>
    <w:rsid w:val="008F5797"/>
    <w:rsid w:val="008F5B50"/>
    <w:rsid w:val="008F67C4"/>
    <w:rsid w:val="008F72DB"/>
    <w:rsid w:val="008F7996"/>
    <w:rsid w:val="008F7F68"/>
    <w:rsid w:val="0090031D"/>
    <w:rsid w:val="00901A49"/>
    <w:rsid w:val="00901AA5"/>
    <w:rsid w:val="00901F6A"/>
    <w:rsid w:val="00902AB3"/>
    <w:rsid w:val="00902B27"/>
    <w:rsid w:val="009030A5"/>
    <w:rsid w:val="009033C0"/>
    <w:rsid w:val="0090363E"/>
    <w:rsid w:val="00903817"/>
    <w:rsid w:val="009043D9"/>
    <w:rsid w:val="00904C23"/>
    <w:rsid w:val="00905C30"/>
    <w:rsid w:val="00905D45"/>
    <w:rsid w:val="009062AE"/>
    <w:rsid w:val="00906D47"/>
    <w:rsid w:val="00907154"/>
    <w:rsid w:val="00907236"/>
    <w:rsid w:val="00907301"/>
    <w:rsid w:val="00910181"/>
    <w:rsid w:val="009104EA"/>
    <w:rsid w:val="00910E6B"/>
    <w:rsid w:val="00910FD8"/>
    <w:rsid w:val="009111BE"/>
    <w:rsid w:val="00911ADA"/>
    <w:rsid w:val="009121E1"/>
    <w:rsid w:val="009121E8"/>
    <w:rsid w:val="009122BC"/>
    <w:rsid w:val="00913C96"/>
    <w:rsid w:val="009154ED"/>
    <w:rsid w:val="009157FB"/>
    <w:rsid w:val="0091662A"/>
    <w:rsid w:val="0091699D"/>
    <w:rsid w:val="00917071"/>
    <w:rsid w:val="0091779B"/>
    <w:rsid w:val="00917ADA"/>
    <w:rsid w:val="00917DEF"/>
    <w:rsid w:val="00917DF9"/>
    <w:rsid w:val="00920116"/>
    <w:rsid w:val="009212A8"/>
    <w:rsid w:val="00921471"/>
    <w:rsid w:val="009218B2"/>
    <w:rsid w:val="009219E3"/>
    <w:rsid w:val="00921D13"/>
    <w:rsid w:val="009229C9"/>
    <w:rsid w:val="00923203"/>
    <w:rsid w:val="0092390A"/>
    <w:rsid w:val="00923B0D"/>
    <w:rsid w:val="00923D2B"/>
    <w:rsid w:val="00923DD5"/>
    <w:rsid w:val="0092478E"/>
    <w:rsid w:val="00925463"/>
    <w:rsid w:val="00925527"/>
    <w:rsid w:val="009256A1"/>
    <w:rsid w:val="009278D9"/>
    <w:rsid w:val="00930191"/>
    <w:rsid w:val="0093031E"/>
    <w:rsid w:val="00930495"/>
    <w:rsid w:val="00930881"/>
    <w:rsid w:val="009309B1"/>
    <w:rsid w:val="009328A9"/>
    <w:rsid w:val="00932EC2"/>
    <w:rsid w:val="009331A8"/>
    <w:rsid w:val="00933306"/>
    <w:rsid w:val="00933B48"/>
    <w:rsid w:val="00934658"/>
    <w:rsid w:val="0093481F"/>
    <w:rsid w:val="0093489D"/>
    <w:rsid w:val="0093557E"/>
    <w:rsid w:val="009357EC"/>
    <w:rsid w:val="009360E6"/>
    <w:rsid w:val="009361F5"/>
    <w:rsid w:val="00936330"/>
    <w:rsid w:val="00936819"/>
    <w:rsid w:val="0093687D"/>
    <w:rsid w:val="0093701A"/>
    <w:rsid w:val="009371A2"/>
    <w:rsid w:val="009377B9"/>
    <w:rsid w:val="00937A11"/>
    <w:rsid w:val="00937A15"/>
    <w:rsid w:val="00937F03"/>
    <w:rsid w:val="009405FD"/>
    <w:rsid w:val="00940CC7"/>
    <w:rsid w:val="009417F7"/>
    <w:rsid w:val="00941A83"/>
    <w:rsid w:val="0094200B"/>
    <w:rsid w:val="009426F3"/>
    <w:rsid w:val="009439C0"/>
    <w:rsid w:val="00943DDF"/>
    <w:rsid w:val="009442C4"/>
    <w:rsid w:val="00944B80"/>
    <w:rsid w:val="00945A14"/>
    <w:rsid w:val="00945F76"/>
    <w:rsid w:val="009471C2"/>
    <w:rsid w:val="00947A44"/>
    <w:rsid w:val="0095013E"/>
    <w:rsid w:val="0095076D"/>
    <w:rsid w:val="00951C29"/>
    <w:rsid w:val="00953203"/>
    <w:rsid w:val="009534C9"/>
    <w:rsid w:val="009540AA"/>
    <w:rsid w:val="00954ECA"/>
    <w:rsid w:val="00954F54"/>
    <w:rsid w:val="009550EF"/>
    <w:rsid w:val="009551C8"/>
    <w:rsid w:val="00955473"/>
    <w:rsid w:val="00955D5B"/>
    <w:rsid w:val="00956013"/>
    <w:rsid w:val="00956784"/>
    <w:rsid w:val="00956920"/>
    <w:rsid w:val="00957A03"/>
    <w:rsid w:val="00957A10"/>
    <w:rsid w:val="00957A60"/>
    <w:rsid w:val="00957CF2"/>
    <w:rsid w:val="00957E0A"/>
    <w:rsid w:val="00957FBD"/>
    <w:rsid w:val="00960625"/>
    <w:rsid w:val="0096143E"/>
    <w:rsid w:val="009617BF"/>
    <w:rsid w:val="00962BB5"/>
    <w:rsid w:val="00962F4C"/>
    <w:rsid w:val="00963013"/>
    <w:rsid w:val="00963C9F"/>
    <w:rsid w:val="00963CCB"/>
    <w:rsid w:val="00963F49"/>
    <w:rsid w:val="00964072"/>
    <w:rsid w:val="0096517C"/>
    <w:rsid w:val="009653BF"/>
    <w:rsid w:val="00965C82"/>
    <w:rsid w:val="0096657B"/>
    <w:rsid w:val="00966619"/>
    <w:rsid w:val="00966691"/>
    <w:rsid w:val="00966C84"/>
    <w:rsid w:val="009704D2"/>
    <w:rsid w:val="00970592"/>
    <w:rsid w:val="009720F4"/>
    <w:rsid w:val="009723F9"/>
    <w:rsid w:val="009724BE"/>
    <w:rsid w:val="009728B2"/>
    <w:rsid w:val="00972ADE"/>
    <w:rsid w:val="00972CF3"/>
    <w:rsid w:val="00972D41"/>
    <w:rsid w:val="00972F09"/>
    <w:rsid w:val="00973040"/>
    <w:rsid w:val="00973117"/>
    <w:rsid w:val="009734C8"/>
    <w:rsid w:val="0097491F"/>
    <w:rsid w:val="00974E3D"/>
    <w:rsid w:val="00975BFE"/>
    <w:rsid w:val="00975D9F"/>
    <w:rsid w:val="00975EB3"/>
    <w:rsid w:val="00976A7A"/>
    <w:rsid w:val="009772B8"/>
    <w:rsid w:val="00977DEC"/>
    <w:rsid w:val="00977F68"/>
    <w:rsid w:val="0098154A"/>
    <w:rsid w:val="009837C4"/>
    <w:rsid w:val="0098443C"/>
    <w:rsid w:val="009858C3"/>
    <w:rsid w:val="009859E6"/>
    <w:rsid w:val="00986107"/>
    <w:rsid w:val="00987971"/>
    <w:rsid w:val="00990AD5"/>
    <w:rsid w:val="009910C7"/>
    <w:rsid w:val="009912E4"/>
    <w:rsid w:val="00991526"/>
    <w:rsid w:val="00991A1C"/>
    <w:rsid w:val="00991A75"/>
    <w:rsid w:val="00991DED"/>
    <w:rsid w:val="009928D1"/>
    <w:rsid w:val="00992A88"/>
    <w:rsid w:val="00992D09"/>
    <w:rsid w:val="00992ED3"/>
    <w:rsid w:val="009934E9"/>
    <w:rsid w:val="00993EB3"/>
    <w:rsid w:val="009940C7"/>
    <w:rsid w:val="00994875"/>
    <w:rsid w:val="0099678F"/>
    <w:rsid w:val="00997A10"/>
    <w:rsid w:val="00997AAD"/>
    <w:rsid w:val="00997F6C"/>
    <w:rsid w:val="009A0487"/>
    <w:rsid w:val="009A0711"/>
    <w:rsid w:val="009A0718"/>
    <w:rsid w:val="009A0B59"/>
    <w:rsid w:val="009A0E76"/>
    <w:rsid w:val="009A0E8B"/>
    <w:rsid w:val="009A14BC"/>
    <w:rsid w:val="009A252C"/>
    <w:rsid w:val="009A2646"/>
    <w:rsid w:val="009A34E7"/>
    <w:rsid w:val="009A3E77"/>
    <w:rsid w:val="009A5BC4"/>
    <w:rsid w:val="009A65D7"/>
    <w:rsid w:val="009A694B"/>
    <w:rsid w:val="009B00F5"/>
    <w:rsid w:val="009B06C0"/>
    <w:rsid w:val="009B0BC5"/>
    <w:rsid w:val="009B0D59"/>
    <w:rsid w:val="009B0F6E"/>
    <w:rsid w:val="009B1028"/>
    <w:rsid w:val="009B1D8C"/>
    <w:rsid w:val="009B2907"/>
    <w:rsid w:val="009B34AC"/>
    <w:rsid w:val="009B47F9"/>
    <w:rsid w:val="009B5EBB"/>
    <w:rsid w:val="009B6304"/>
    <w:rsid w:val="009B64E4"/>
    <w:rsid w:val="009B6E9D"/>
    <w:rsid w:val="009B7971"/>
    <w:rsid w:val="009C1550"/>
    <w:rsid w:val="009C17CB"/>
    <w:rsid w:val="009C1BC3"/>
    <w:rsid w:val="009C238F"/>
    <w:rsid w:val="009C2DE2"/>
    <w:rsid w:val="009C3CB0"/>
    <w:rsid w:val="009C44E3"/>
    <w:rsid w:val="009C4CA6"/>
    <w:rsid w:val="009C56D1"/>
    <w:rsid w:val="009C5ED6"/>
    <w:rsid w:val="009C6035"/>
    <w:rsid w:val="009C6372"/>
    <w:rsid w:val="009C7C19"/>
    <w:rsid w:val="009D0B11"/>
    <w:rsid w:val="009D0CFF"/>
    <w:rsid w:val="009D0DE8"/>
    <w:rsid w:val="009D1470"/>
    <w:rsid w:val="009D18C2"/>
    <w:rsid w:val="009D1949"/>
    <w:rsid w:val="009D1B8E"/>
    <w:rsid w:val="009D2279"/>
    <w:rsid w:val="009D2920"/>
    <w:rsid w:val="009D2AAF"/>
    <w:rsid w:val="009D2F66"/>
    <w:rsid w:val="009D316B"/>
    <w:rsid w:val="009D3892"/>
    <w:rsid w:val="009D45F2"/>
    <w:rsid w:val="009D4791"/>
    <w:rsid w:val="009D5A36"/>
    <w:rsid w:val="009D6390"/>
    <w:rsid w:val="009D6A0C"/>
    <w:rsid w:val="009D6AA7"/>
    <w:rsid w:val="009D6BB5"/>
    <w:rsid w:val="009D6D7A"/>
    <w:rsid w:val="009D79F3"/>
    <w:rsid w:val="009D7A25"/>
    <w:rsid w:val="009E0497"/>
    <w:rsid w:val="009E1028"/>
    <w:rsid w:val="009E34D5"/>
    <w:rsid w:val="009E3F8C"/>
    <w:rsid w:val="009E4054"/>
    <w:rsid w:val="009E4138"/>
    <w:rsid w:val="009E42B9"/>
    <w:rsid w:val="009E42C4"/>
    <w:rsid w:val="009E50B2"/>
    <w:rsid w:val="009E5869"/>
    <w:rsid w:val="009E5C5B"/>
    <w:rsid w:val="009E78BD"/>
    <w:rsid w:val="009F0D32"/>
    <w:rsid w:val="009F150D"/>
    <w:rsid w:val="009F24E2"/>
    <w:rsid w:val="009F30FE"/>
    <w:rsid w:val="009F32FF"/>
    <w:rsid w:val="009F4D35"/>
    <w:rsid w:val="009F5A2B"/>
    <w:rsid w:val="009F617C"/>
    <w:rsid w:val="009F68DE"/>
    <w:rsid w:val="009F6DD9"/>
    <w:rsid w:val="009F7A5A"/>
    <w:rsid w:val="00A002F2"/>
    <w:rsid w:val="00A00614"/>
    <w:rsid w:val="00A0067D"/>
    <w:rsid w:val="00A00A43"/>
    <w:rsid w:val="00A01003"/>
    <w:rsid w:val="00A01066"/>
    <w:rsid w:val="00A01C60"/>
    <w:rsid w:val="00A021AC"/>
    <w:rsid w:val="00A025B7"/>
    <w:rsid w:val="00A03296"/>
    <w:rsid w:val="00A03735"/>
    <w:rsid w:val="00A03C15"/>
    <w:rsid w:val="00A03C92"/>
    <w:rsid w:val="00A04248"/>
    <w:rsid w:val="00A04B90"/>
    <w:rsid w:val="00A05048"/>
    <w:rsid w:val="00A06692"/>
    <w:rsid w:val="00A06828"/>
    <w:rsid w:val="00A070B7"/>
    <w:rsid w:val="00A0731B"/>
    <w:rsid w:val="00A077A7"/>
    <w:rsid w:val="00A077ED"/>
    <w:rsid w:val="00A07D14"/>
    <w:rsid w:val="00A07E3F"/>
    <w:rsid w:val="00A10E73"/>
    <w:rsid w:val="00A113A0"/>
    <w:rsid w:val="00A113C8"/>
    <w:rsid w:val="00A11817"/>
    <w:rsid w:val="00A11935"/>
    <w:rsid w:val="00A11B98"/>
    <w:rsid w:val="00A11D61"/>
    <w:rsid w:val="00A12218"/>
    <w:rsid w:val="00A123AC"/>
    <w:rsid w:val="00A12BD8"/>
    <w:rsid w:val="00A13691"/>
    <w:rsid w:val="00A13D80"/>
    <w:rsid w:val="00A13FE0"/>
    <w:rsid w:val="00A14752"/>
    <w:rsid w:val="00A1605A"/>
    <w:rsid w:val="00A16217"/>
    <w:rsid w:val="00A165A5"/>
    <w:rsid w:val="00A16B12"/>
    <w:rsid w:val="00A16F04"/>
    <w:rsid w:val="00A16F85"/>
    <w:rsid w:val="00A1754D"/>
    <w:rsid w:val="00A17C4D"/>
    <w:rsid w:val="00A17E1E"/>
    <w:rsid w:val="00A20564"/>
    <w:rsid w:val="00A21FD7"/>
    <w:rsid w:val="00A227B0"/>
    <w:rsid w:val="00A24EAA"/>
    <w:rsid w:val="00A25A2A"/>
    <w:rsid w:val="00A26163"/>
    <w:rsid w:val="00A26BC7"/>
    <w:rsid w:val="00A27023"/>
    <w:rsid w:val="00A27C06"/>
    <w:rsid w:val="00A27FD9"/>
    <w:rsid w:val="00A30410"/>
    <w:rsid w:val="00A3043E"/>
    <w:rsid w:val="00A3058A"/>
    <w:rsid w:val="00A31905"/>
    <w:rsid w:val="00A325E6"/>
    <w:rsid w:val="00A32E4F"/>
    <w:rsid w:val="00A33394"/>
    <w:rsid w:val="00A33BDD"/>
    <w:rsid w:val="00A34F83"/>
    <w:rsid w:val="00A36734"/>
    <w:rsid w:val="00A3675B"/>
    <w:rsid w:val="00A369AC"/>
    <w:rsid w:val="00A36A8E"/>
    <w:rsid w:val="00A36F0A"/>
    <w:rsid w:val="00A373F6"/>
    <w:rsid w:val="00A37576"/>
    <w:rsid w:val="00A37A77"/>
    <w:rsid w:val="00A37F13"/>
    <w:rsid w:val="00A405AA"/>
    <w:rsid w:val="00A4064A"/>
    <w:rsid w:val="00A41545"/>
    <w:rsid w:val="00A41B5D"/>
    <w:rsid w:val="00A42478"/>
    <w:rsid w:val="00A42994"/>
    <w:rsid w:val="00A42F19"/>
    <w:rsid w:val="00A43021"/>
    <w:rsid w:val="00A435A4"/>
    <w:rsid w:val="00A43D65"/>
    <w:rsid w:val="00A4461A"/>
    <w:rsid w:val="00A44730"/>
    <w:rsid w:val="00A449AC"/>
    <w:rsid w:val="00A44B8F"/>
    <w:rsid w:val="00A44DEA"/>
    <w:rsid w:val="00A4573E"/>
    <w:rsid w:val="00A459DE"/>
    <w:rsid w:val="00A45C89"/>
    <w:rsid w:val="00A4657D"/>
    <w:rsid w:val="00A47060"/>
    <w:rsid w:val="00A47E7D"/>
    <w:rsid w:val="00A50D02"/>
    <w:rsid w:val="00A50D99"/>
    <w:rsid w:val="00A51512"/>
    <w:rsid w:val="00A5187B"/>
    <w:rsid w:val="00A51A56"/>
    <w:rsid w:val="00A52A5B"/>
    <w:rsid w:val="00A52F4D"/>
    <w:rsid w:val="00A548E8"/>
    <w:rsid w:val="00A54A8F"/>
    <w:rsid w:val="00A54B9B"/>
    <w:rsid w:val="00A54F7B"/>
    <w:rsid w:val="00A5508E"/>
    <w:rsid w:val="00A55376"/>
    <w:rsid w:val="00A56337"/>
    <w:rsid w:val="00A568B2"/>
    <w:rsid w:val="00A56BD2"/>
    <w:rsid w:val="00A57204"/>
    <w:rsid w:val="00A60C01"/>
    <w:rsid w:val="00A6157A"/>
    <w:rsid w:val="00A61694"/>
    <w:rsid w:val="00A618D2"/>
    <w:rsid w:val="00A61FBA"/>
    <w:rsid w:val="00A62216"/>
    <w:rsid w:val="00A632C3"/>
    <w:rsid w:val="00A63D63"/>
    <w:rsid w:val="00A63F15"/>
    <w:rsid w:val="00A642E9"/>
    <w:rsid w:val="00A64761"/>
    <w:rsid w:val="00A65913"/>
    <w:rsid w:val="00A65A7E"/>
    <w:rsid w:val="00A65C8D"/>
    <w:rsid w:val="00A65D61"/>
    <w:rsid w:val="00A661BF"/>
    <w:rsid w:val="00A66550"/>
    <w:rsid w:val="00A6670F"/>
    <w:rsid w:val="00A67CE9"/>
    <w:rsid w:val="00A70484"/>
    <w:rsid w:val="00A70A4D"/>
    <w:rsid w:val="00A70DAD"/>
    <w:rsid w:val="00A71FC7"/>
    <w:rsid w:val="00A7229C"/>
    <w:rsid w:val="00A724A1"/>
    <w:rsid w:val="00A735C4"/>
    <w:rsid w:val="00A73E44"/>
    <w:rsid w:val="00A74436"/>
    <w:rsid w:val="00A74E0F"/>
    <w:rsid w:val="00A74EA5"/>
    <w:rsid w:val="00A75CAA"/>
    <w:rsid w:val="00A766F4"/>
    <w:rsid w:val="00A7772A"/>
    <w:rsid w:val="00A777DE"/>
    <w:rsid w:val="00A77AD4"/>
    <w:rsid w:val="00A806D1"/>
    <w:rsid w:val="00A8093F"/>
    <w:rsid w:val="00A80E09"/>
    <w:rsid w:val="00A80E9D"/>
    <w:rsid w:val="00A81071"/>
    <w:rsid w:val="00A815D8"/>
    <w:rsid w:val="00A8184E"/>
    <w:rsid w:val="00A819EB"/>
    <w:rsid w:val="00A825B9"/>
    <w:rsid w:val="00A82850"/>
    <w:rsid w:val="00A82967"/>
    <w:rsid w:val="00A82B69"/>
    <w:rsid w:val="00A82C3B"/>
    <w:rsid w:val="00A83209"/>
    <w:rsid w:val="00A84128"/>
    <w:rsid w:val="00A85088"/>
    <w:rsid w:val="00A851D9"/>
    <w:rsid w:val="00A851E3"/>
    <w:rsid w:val="00A8594E"/>
    <w:rsid w:val="00A86461"/>
    <w:rsid w:val="00A87341"/>
    <w:rsid w:val="00A8794E"/>
    <w:rsid w:val="00A87FD3"/>
    <w:rsid w:val="00A9012A"/>
    <w:rsid w:val="00A913E2"/>
    <w:rsid w:val="00A925F5"/>
    <w:rsid w:val="00A9312A"/>
    <w:rsid w:val="00A93620"/>
    <w:rsid w:val="00A93DF6"/>
    <w:rsid w:val="00A945BA"/>
    <w:rsid w:val="00A9513F"/>
    <w:rsid w:val="00A95239"/>
    <w:rsid w:val="00A954B7"/>
    <w:rsid w:val="00A962D9"/>
    <w:rsid w:val="00A96FD8"/>
    <w:rsid w:val="00A97030"/>
    <w:rsid w:val="00AA0728"/>
    <w:rsid w:val="00AA0754"/>
    <w:rsid w:val="00AA1311"/>
    <w:rsid w:val="00AA198A"/>
    <w:rsid w:val="00AA1D7A"/>
    <w:rsid w:val="00AA1EE9"/>
    <w:rsid w:val="00AA208F"/>
    <w:rsid w:val="00AA2253"/>
    <w:rsid w:val="00AA2E42"/>
    <w:rsid w:val="00AA34A1"/>
    <w:rsid w:val="00AA3890"/>
    <w:rsid w:val="00AA38E0"/>
    <w:rsid w:val="00AA423A"/>
    <w:rsid w:val="00AA4C62"/>
    <w:rsid w:val="00AA5114"/>
    <w:rsid w:val="00AA5771"/>
    <w:rsid w:val="00AA5EDD"/>
    <w:rsid w:val="00AA5F08"/>
    <w:rsid w:val="00AA6229"/>
    <w:rsid w:val="00AA62CD"/>
    <w:rsid w:val="00AA7083"/>
    <w:rsid w:val="00AA741B"/>
    <w:rsid w:val="00AA7CEE"/>
    <w:rsid w:val="00AB0A54"/>
    <w:rsid w:val="00AB0EE3"/>
    <w:rsid w:val="00AB0EF9"/>
    <w:rsid w:val="00AB12A0"/>
    <w:rsid w:val="00AB17C0"/>
    <w:rsid w:val="00AB19FE"/>
    <w:rsid w:val="00AB1C4A"/>
    <w:rsid w:val="00AB1F3F"/>
    <w:rsid w:val="00AB2E2D"/>
    <w:rsid w:val="00AB2FCB"/>
    <w:rsid w:val="00AB3856"/>
    <w:rsid w:val="00AB3C4D"/>
    <w:rsid w:val="00AB4781"/>
    <w:rsid w:val="00AB4937"/>
    <w:rsid w:val="00AB4AD7"/>
    <w:rsid w:val="00AB5AF4"/>
    <w:rsid w:val="00AB6401"/>
    <w:rsid w:val="00AB67B8"/>
    <w:rsid w:val="00AB782F"/>
    <w:rsid w:val="00AB7B18"/>
    <w:rsid w:val="00AB7B43"/>
    <w:rsid w:val="00AC08D2"/>
    <w:rsid w:val="00AC0957"/>
    <w:rsid w:val="00AC09B6"/>
    <w:rsid w:val="00AC14E3"/>
    <w:rsid w:val="00AC160D"/>
    <w:rsid w:val="00AC18BC"/>
    <w:rsid w:val="00AC1BEE"/>
    <w:rsid w:val="00AC1C67"/>
    <w:rsid w:val="00AC23AB"/>
    <w:rsid w:val="00AC23AF"/>
    <w:rsid w:val="00AC2606"/>
    <w:rsid w:val="00AC2AC6"/>
    <w:rsid w:val="00AC397E"/>
    <w:rsid w:val="00AC3BC4"/>
    <w:rsid w:val="00AC3E56"/>
    <w:rsid w:val="00AC4B2E"/>
    <w:rsid w:val="00AC4BDA"/>
    <w:rsid w:val="00AC5020"/>
    <w:rsid w:val="00AC5ABC"/>
    <w:rsid w:val="00AC5CD3"/>
    <w:rsid w:val="00AC6BBF"/>
    <w:rsid w:val="00AC75B7"/>
    <w:rsid w:val="00AC75D0"/>
    <w:rsid w:val="00AC7D9C"/>
    <w:rsid w:val="00AD092D"/>
    <w:rsid w:val="00AD0B5B"/>
    <w:rsid w:val="00AD0C81"/>
    <w:rsid w:val="00AD0E19"/>
    <w:rsid w:val="00AD1981"/>
    <w:rsid w:val="00AD31BD"/>
    <w:rsid w:val="00AD4254"/>
    <w:rsid w:val="00AD4608"/>
    <w:rsid w:val="00AD5EA0"/>
    <w:rsid w:val="00AD649C"/>
    <w:rsid w:val="00AE0368"/>
    <w:rsid w:val="00AE0766"/>
    <w:rsid w:val="00AE0E68"/>
    <w:rsid w:val="00AE119D"/>
    <w:rsid w:val="00AE177F"/>
    <w:rsid w:val="00AE1EED"/>
    <w:rsid w:val="00AE2CF0"/>
    <w:rsid w:val="00AE354D"/>
    <w:rsid w:val="00AE42A3"/>
    <w:rsid w:val="00AE4DB6"/>
    <w:rsid w:val="00AE53D2"/>
    <w:rsid w:val="00AE5499"/>
    <w:rsid w:val="00AE584E"/>
    <w:rsid w:val="00AE67DD"/>
    <w:rsid w:val="00AE68CA"/>
    <w:rsid w:val="00AE7650"/>
    <w:rsid w:val="00AF0330"/>
    <w:rsid w:val="00AF13BB"/>
    <w:rsid w:val="00AF143E"/>
    <w:rsid w:val="00AF231E"/>
    <w:rsid w:val="00AF2783"/>
    <w:rsid w:val="00AF29EC"/>
    <w:rsid w:val="00AF322A"/>
    <w:rsid w:val="00AF373D"/>
    <w:rsid w:val="00AF3A78"/>
    <w:rsid w:val="00AF4ECA"/>
    <w:rsid w:val="00AF57B3"/>
    <w:rsid w:val="00AF6380"/>
    <w:rsid w:val="00AF69FF"/>
    <w:rsid w:val="00AF6DB2"/>
    <w:rsid w:val="00AF6F78"/>
    <w:rsid w:val="00AF77D3"/>
    <w:rsid w:val="00AF7C21"/>
    <w:rsid w:val="00B0079B"/>
    <w:rsid w:val="00B00FED"/>
    <w:rsid w:val="00B02012"/>
    <w:rsid w:val="00B02BB3"/>
    <w:rsid w:val="00B032FE"/>
    <w:rsid w:val="00B03914"/>
    <w:rsid w:val="00B04E3B"/>
    <w:rsid w:val="00B050EA"/>
    <w:rsid w:val="00B05236"/>
    <w:rsid w:val="00B05DA8"/>
    <w:rsid w:val="00B1087A"/>
    <w:rsid w:val="00B10AF7"/>
    <w:rsid w:val="00B10D0A"/>
    <w:rsid w:val="00B10FC9"/>
    <w:rsid w:val="00B11180"/>
    <w:rsid w:val="00B11887"/>
    <w:rsid w:val="00B11937"/>
    <w:rsid w:val="00B11FE5"/>
    <w:rsid w:val="00B120A2"/>
    <w:rsid w:val="00B122ED"/>
    <w:rsid w:val="00B123D9"/>
    <w:rsid w:val="00B12498"/>
    <w:rsid w:val="00B124FA"/>
    <w:rsid w:val="00B12A87"/>
    <w:rsid w:val="00B12A94"/>
    <w:rsid w:val="00B12DE1"/>
    <w:rsid w:val="00B13369"/>
    <w:rsid w:val="00B13579"/>
    <w:rsid w:val="00B136AF"/>
    <w:rsid w:val="00B146F9"/>
    <w:rsid w:val="00B14ABA"/>
    <w:rsid w:val="00B14D18"/>
    <w:rsid w:val="00B150FE"/>
    <w:rsid w:val="00B16319"/>
    <w:rsid w:val="00B1688A"/>
    <w:rsid w:val="00B1699F"/>
    <w:rsid w:val="00B176C3"/>
    <w:rsid w:val="00B17F78"/>
    <w:rsid w:val="00B20741"/>
    <w:rsid w:val="00B20799"/>
    <w:rsid w:val="00B2108D"/>
    <w:rsid w:val="00B21927"/>
    <w:rsid w:val="00B21E09"/>
    <w:rsid w:val="00B221FC"/>
    <w:rsid w:val="00B2247D"/>
    <w:rsid w:val="00B224DB"/>
    <w:rsid w:val="00B23885"/>
    <w:rsid w:val="00B238C6"/>
    <w:rsid w:val="00B23D6D"/>
    <w:rsid w:val="00B23F7B"/>
    <w:rsid w:val="00B252B0"/>
    <w:rsid w:val="00B25B3A"/>
    <w:rsid w:val="00B25BE5"/>
    <w:rsid w:val="00B26C3D"/>
    <w:rsid w:val="00B27014"/>
    <w:rsid w:val="00B27352"/>
    <w:rsid w:val="00B275AC"/>
    <w:rsid w:val="00B27734"/>
    <w:rsid w:val="00B27CA0"/>
    <w:rsid w:val="00B27D36"/>
    <w:rsid w:val="00B316F4"/>
    <w:rsid w:val="00B31FF7"/>
    <w:rsid w:val="00B32201"/>
    <w:rsid w:val="00B3256C"/>
    <w:rsid w:val="00B32618"/>
    <w:rsid w:val="00B3268C"/>
    <w:rsid w:val="00B32DF2"/>
    <w:rsid w:val="00B3611A"/>
    <w:rsid w:val="00B366DB"/>
    <w:rsid w:val="00B36BBF"/>
    <w:rsid w:val="00B37667"/>
    <w:rsid w:val="00B401CC"/>
    <w:rsid w:val="00B4034C"/>
    <w:rsid w:val="00B404DD"/>
    <w:rsid w:val="00B4235B"/>
    <w:rsid w:val="00B43307"/>
    <w:rsid w:val="00B43A71"/>
    <w:rsid w:val="00B43BEC"/>
    <w:rsid w:val="00B44122"/>
    <w:rsid w:val="00B44B46"/>
    <w:rsid w:val="00B44BFF"/>
    <w:rsid w:val="00B463AE"/>
    <w:rsid w:val="00B46C82"/>
    <w:rsid w:val="00B46F31"/>
    <w:rsid w:val="00B4724E"/>
    <w:rsid w:val="00B477A9"/>
    <w:rsid w:val="00B47878"/>
    <w:rsid w:val="00B509AF"/>
    <w:rsid w:val="00B50E0D"/>
    <w:rsid w:val="00B5117D"/>
    <w:rsid w:val="00B513E3"/>
    <w:rsid w:val="00B51D0F"/>
    <w:rsid w:val="00B52175"/>
    <w:rsid w:val="00B521DF"/>
    <w:rsid w:val="00B528D0"/>
    <w:rsid w:val="00B531AF"/>
    <w:rsid w:val="00B532DB"/>
    <w:rsid w:val="00B53300"/>
    <w:rsid w:val="00B545CC"/>
    <w:rsid w:val="00B54794"/>
    <w:rsid w:val="00B548C4"/>
    <w:rsid w:val="00B54C42"/>
    <w:rsid w:val="00B54E03"/>
    <w:rsid w:val="00B558D3"/>
    <w:rsid w:val="00B55CDC"/>
    <w:rsid w:val="00B5603B"/>
    <w:rsid w:val="00B56203"/>
    <w:rsid w:val="00B56B4C"/>
    <w:rsid w:val="00B56DE1"/>
    <w:rsid w:val="00B56F2E"/>
    <w:rsid w:val="00B57DAC"/>
    <w:rsid w:val="00B601D3"/>
    <w:rsid w:val="00B60DFF"/>
    <w:rsid w:val="00B6120F"/>
    <w:rsid w:val="00B61938"/>
    <w:rsid w:val="00B629FE"/>
    <w:rsid w:val="00B62ADC"/>
    <w:rsid w:val="00B6352C"/>
    <w:rsid w:val="00B6371B"/>
    <w:rsid w:val="00B63B53"/>
    <w:rsid w:val="00B63E8B"/>
    <w:rsid w:val="00B6630C"/>
    <w:rsid w:val="00B66E36"/>
    <w:rsid w:val="00B6789B"/>
    <w:rsid w:val="00B70041"/>
    <w:rsid w:val="00B70508"/>
    <w:rsid w:val="00B7060E"/>
    <w:rsid w:val="00B70F81"/>
    <w:rsid w:val="00B712F8"/>
    <w:rsid w:val="00B718D1"/>
    <w:rsid w:val="00B723E3"/>
    <w:rsid w:val="00B72A6C"/>
    <w:rsid w:val="00B72B74"/>
    <w:rsid w:val="00B73E06"/>
    <w:rsid w:val="00B73EF1"/>
    <w:rsid w:val="00B74BE4"/>
    <w:rsid w:val="00B75436"/>
    <w:rsid w:val="00B75B9B"/>
    <w:rsid w:val="00B76407"/>
    <w:rsid w:val="00B76565"/>
    <w:rsid w:val="00B76B10"/>
    <w:rsid w:val="00B76FF1"/>
    <w:rsid w:val="00B77467"/>
    <w:rsid w:val="00B7774D"/>
    <w:rsid w:val="00B77F40"/>
    <w:rsid w:val="00B81D14"/>
    <w:rsid w:val="00B81FFB"/>
    <w:rsid w:val="00B8201F"/>
    <w:rsid w:val="00B823F0"/>
    <w:rsid w:val="00B824D9"/>
    <w:rsid w:val="00B82D8B"/>
    <w:rsid w:val="00B83A4E"/>
    <w:rsid w:val="00B83BBC"/>
    <w:rsid w:val="00B83E5F"/>
    <w:rsid w:val="00B83F38"/>
    <w:rsid w:val="00B840D1"/>
    <w:rsid w:val="00B84A80"/>
    <w:rsid w:val="00B85A87"/>
    <w:rsid w:val="00B85F1F"/>
    <w:rsid w:val="00B86D65"/>
    <w:rsid w:val="00B87585"/>
    <w:rsid w:val="00B87A93"/>
    <w:rsid w:val="00B87AF1"/>
    <w:rsid w:val="00B87C2E"/>
    <w:rsid w:val="00B91104"/>
    <w:rsid w:val="00B92128"/>
    <w:rsid w:val="00B92E6A"/>
    <w:rsid w:val="00B930DD"/>
    <w:rsid w:val="00B93A45"/>
    <w:rsid w:val="00B94111"/>
    <w:rsid w:val="00B94280"/>
    <w:rsid w:val="00B942DB"/>
    <w:rsid w:val="00B94304"/>
    <w:rsid w:val="00B94F0A"/>
    <w:rsid w:val="00B959E5"/>
    <w:rsid w:val="00B95AF7"/>
    <w:rsid w:val="00B95F31"/>
    <w:rsid w:val="00B95FED"/>
    <w:rsid w:val="00B96D9F"/>
    <w:rsid w:val="00B97438"/>
    <w:rsid w:val="00B97659"/>
    <w:rsid w:val="00BA0458"/>
    <w:rsid w:val="00BA0AD2"/>
    <w:rsid w:val="00BA0D28"/>
    <w:rsid w:val="00BA0F27"/>
    <w:rsid w:val="00BA18DA"/>
    <w:rsid w:val="00BA18F6"/>
    <w:rsid w:val="00BA2B7F"/>
    <w:rsid w:val="00BA301E"/>
    <w:rsid w:val="00BA3D46"/>
    <w:rsid w:val="00BA4452"/>
    <w:rsid w:val="00BA4854"/>
    <w:rsid w:val="00BA4CA8"/>
    <w:rsid w:val="00BA514D"/>
    <w:rsid w:val="00BA64D1"/>
    <w:rsid w:val="00BA6AF3"/>
    <w:rsid w:val="00BA71FB"/>
    <w:rsid w:val="00BA7204"/>
    <w:rsid w:val="00BA7297"/>
    <w:rsid w:val="00BB022A"/>
    <w:rsid w:val="00BB06DF"/>
    <w:rsid w:val="00BB0BF0"/>
    <w:rsid w:val="00BB1938"/>
    <w:rsid w:val="00BB251E"/>
    <w:rsid w:val="00BB2975"/>
    <w:rsid w:val="00BB2ACB"/>
    <w:rsid w:val="00BB3087"/>
    <w:rsid w:val="00BB3A48"/>
    <w:rsid w:val="00BB46E9"/>
    <w:rsid w:val="00BB4E62"/>
    <w:rsid w:val="00BB5FCE"/>
    <w:rsid w:val="00BB6A56"/>
    <w:rsid w:val="00BB751C"/>
    <w:rsid w:val="00BB7AD2"/>
    <w:rsid w:val="00BB7D8E"/>
    <w:rsid w:val="00BC0019"/>
    <w:rsid w:val="00BC02CC"/>
    <w:rsid w:val="00BC08E6"/>
    <w:rsid w:val="00BC0C26"/>
    <w:rsid w:val="00BC2200"/>
    <w:rsid w:val="00BC2329"/>
    <w:rsid w:val="00BC2F33"/>
    <w:rsid w:val="00BC3582"/>
    <w:rsid w:val="00BC4225"/>
    <w:rsid w:val="00BC48A5"/>
    <w:rsid w:val="00BC5481"/>
    <w:rsid w:val="00BC574C"/>
    <w:rsid w:val="00BC5A85"/>
    <w:rsid w:val="00BC5ABC"/>
    <w:rsid w:val="00BC5ED3"/>
    <w:rsid w:val="00BC5F4C"/>
    <w:rsid w:val="00BC68E8"/>
    <w:rsid w:val="00BC6D99"/>
    <w:rsid w:val="00BC7D89"/>
    <w:rsid w:val="00BD0836"/>
    <w:rsid w:val="00BD0F51"/>
    <w:rsid w:val="00BD1522"/>
    <w:rsid w:val="00BD19E0"/>
    <w:rsid w:val="00BD2DF0"/>
    <w:rsid w:val="00BD42A2"/>
    <w:rsid w:val="00BD4422"/>
    <w:rsid w:val="00BD5583"/>
    <w:rsid w:val="00BD5AF5"/>
    <w:rsid w:val="00BD64D4"/>
    <w:rsid w:val="00BD6554"/>
    <w:rsid w:val="00BD7896"/>
    <w:rsid w:val="00BE0C0E"/>
    <w:rsid w:val="00BE0FFD"/>
    <w:rsid w:val="00BE13B4"/>
    <w:rsid w:val="00BE1742"/>
    <w:rsid w:val="00BE295B"/>
    <w:rsid w:val="00BE2AB7"/>
    <w:rsid w:val="00BE2C84"/>
    <w:rsid w:val="00BE309F"/>
    <w:rsid w:val="00BE3332"/>
    <w:rsid w:val="00BE35F5"/>
    <w:rsid w:val="00BE4587"/>
    <w:rsid w:val="00BE464A"/>
    <w:rsid w:val="00BE474A"/>
    <w:rsid w:val="00BE4CE9"/>
    <w:rsid w:val="00BE5169"/>
    <w:rsid w:val="00BE5400"/>
    <w:rsid w:val="00BE6383"/>
    <w:rsid w:val="00BE68F3"/>
    <w:rsid w:val="00BE6E36"/>
    <w:rsid w:val="00BE739C"/>
    <w:rsid w:val="00BF0179"/>
    <w:rsid w:val="00BF01BE"/>
    <w:rsid w:val="00BF0BC8"/>
    <w:rsid w:val="00BF0E38"/>
    <w:rsid w:val="00BF14E0"/>
    <w:rsid w:val="00BF186C"/>
    <w:rsid w:val="00BF1C3E"/>
    <w:rsid w:val="00BF1E3B"/>
    <w:rsid w:val="00BF2269"/>
    <w:rsid w:val="00BF3528"/>
    <w:rsid w:val="00BF5107"/>
    <w:rsid w:val="00BF5450"/>
    <w:rsid w:val="00BF6B40"/>
    <w:rsid w:val="00BF745D"/>
    <w:rsid w:val="00C006A4"/>
    <w:rsid w:val="00C00CF3"/>
    <w:rsid w:val="00C01DCE"/>
    <w:rsid w:val="00C01E28"/>
    <w:rsid w:val="00C0213A"/>
    <w:rsid w:val="00C0228E"/>
    <w:rsid w:val="00C0244D"/>
    <w:rsid w:val="00C0321D"/>
    <w:rsid w:val="00C03955"/>
    <w:rsid w:val="00C04D35"/>
    <w:rsid w:val="00C051C3"/>
    <w:rsid w:val="00C05D13"/>
    <w:rsid w:val="00C05E87"/>
    <w:rsid w:val="00C05F45"/>
    <w:rsid w:val="00C068DC"/>
    <w:rsid w:val="00C0791B"/>
    <w:rsid w:val="00C108E6"/>
    <w:rsid w:val="00C109F5"/>
    <w:rsid w:val="00C1112B"/>
    <w:rsid w:val="00C11331"/>
    <w:rsid w:val="00C11853"/>
    <w:rsid w:val="00C1255C"/>
    <w:rsid w:val="00C1337A"/>
    <w:rsid w:val="00C140C7"/>
    <w:rsid w:val="00C140F5"/>
    <w:rsid w:val="00C15058"/>
    <w:rsid w:val="00C15421"/>
    <w:rsid w:val="00C15F9B"/>
    <w:rsid w:val="00C1603B"/>
    <w:rsid w:val="00C16AD0"/>
    <w:rsid w:val="00C16D30"/>
    <w:rsid w:val="00C17142"/>
    <w:rsid w:val="00C17393"/>
    <w:rsid w:val="00C1784E"/>
    <w:rsid w:val="00C17DF8"/>
    <w:rsid w:val="00C200DC"/>
    <w:rsid w:val="00C207AC"/>
    <w:rsid w:val="00C20A50"/>
    <w:rsid w:val="00C20A83"/>
    <w:rsid w:val="00C21231"/>
    <w:rsid w:val="00C2185D"/>
    <w:rsid w:val="00C21DE2"/>
    <w:rsid w:val="00C2411A"/>
    <w:rsid w:val="00C247FE"/>
    <w:rsid w:val="00C24927"/>
    <w:rsid w:val="00C24C5A"/>
    <w:rsid w:val="00C252C9"/>
    <w:rsid w:val="00C25EF8"/>
    <w:rsid w:val="00C26603"/>
    <w:rsid w:val="00C26D0A"/>
    <w:rsid w:val="00C27ACD"/>
    <w:rsid w:val="00C27FFB"/>
    <w:rsid w:val="00C3054F"/>
    <w:rsid w:val="00C30E61"/>
    <w:rsid w:val="00C319A1"/>
    <w:rsid w:val="00C31AE7"/>
    <w:rsid w:val="00C3207C"/>
    <w:rsid w:val="00C3218A"/>
    <w:rsid w:val="00C33536"/>
    <w:rsid w:val="00C336A7"/>
    <w:rsid w:val="00C337DD"/>
    <w:rsid w:val="00C33893"/>
    <w:rsid w:val="00C3452B"/>
    <w:rsid w:val="00C34A10"/>
    <w:rsid w:val="00C34EBF"/>
    <w:rsid w:val="00C34FAA"/>
    <w:rsid w:val="00C35527"/>
    <w:rsid w:val="00C35C1F"/>
    <w:rsid w:val="00C36CBE"/>
    <w:rsid w:val="00C37776"/>
    <w:rsid w:val="00C379E9"/>
    <w:rsid w:val="00C40564"/>
    <w:rsid w:val="00C40E20"/>
    <w:rsid w:val="00C41AD4"/>
    <w:rsid w:val="00C424EB"/>
    <w:rsid w:val="00C438A9"/>
    <w:rsid w:val="00C44161"/>
    <w:rsid w:val="00C45CA3"/>
    <w:rsid w:val="00C46160"/>
    <w:rsid w:val="00C46B63"/>
    <w:rsid w:val="00C478B3"/>
    <w:rsid w:val="00C479A1"/>
    <w:rsid w:val="00C47A81"/>
    <w:rsid w:val="00C47ABB"/>
    <w:rsid w:val="00C50C30"/>
    <w:rsid w:val="00C50C88"/>
    <w:rsid w:val="00C511C7"/>
    <w:rsid w:val="00C51984"/>
    <w:rsid w:val="00C51B7A"/>
    <w:rsid w:val="00C51E67"/>
    <w:rsid w:val="00C5235F"/>
    <w:rsid w:val="00C523DA"/>
    <w:rsid w:val="00C5250D"/>
    <w:rsid w:val="00C52800"/>
    <w:rsid w:val="00C53887"/>
    <w:rsid w:val="00C544E8"/>
    <w:rsid w:val="00C548AC"/>
    <w:rsid w:val="00C54B62"/>
    <w:rsid w:val="00C5514E"/>
    <w:rsid w:val="00C56447"/>
    <w:rsid w:val="00C56813"/>
    <w:rsid w:val="00C56D4D"/>
    <w:rsid w:val="00C5777A"/>
    <w:rsid w:val="00C577CC"/>
    <w:rsid w:val="00C5782A"/>
    <w:rsid w:val="00C57990"/>
    <w:rsid w:val="00C60287"/>
    <w:rsid w:val="00C60B0C"/>
    <w:rsid w:val="00C60BEB"/>
    <w:rsid w:val="00C61075"/>
    <w:rsid w:val="00C6160D"/>
    <w:rsid w:val="00C6163F"/>
    <w:rsid w:val="00C6263D"/>
    <w:rsid w:val="00C626C7"/>
    <w:rsid w:val="00C62762"/>
    <w:rsid w:val="00C62AFE"/>
    <w:rsid w:val="00C62FE9"/>
    <w:rsid w:val="00C6346E"/>
    <w:rsid w:val="00C635FE"/>
    <w:rsid w:val="00C6447C"/>
    <w:rsid w:val="00C64B8A"/>
    <w:rsid w:val="00C6537D"/>
    <w:rsid w:val="00C66387"/>
    <w:rsid w:val="00C66891"/>
    <w:rsid w:val="00C67B17"/>
    <w:rsid w:val="00C67D78"/>
    <w:rsid w:val="00C67E31"/>
    <w:rsid w:val="00C70524"/>
    <w:rsid w:val="00C70ABA"/>
    <w:rsid w:val="00C70BB5"/>
    <w:rsid w:val="00C70C07"/>
    <w:rsid w:val="00C70CBD"/>
    <w:rsid w:val="00C70F1B"/>
    <w:rsid w:val="00C73615"/>
    <w:rsid w:val="00C73E77"/>
    <w:rsid w:val="00C74688"/>
    <w:rsid w:val="00C74A5C"/>
    <w:rsid w:val="00C752AC"/>
    <w:rsid w:val="00C76012"/>
    <w:rsid w:val="00C764A2"/>
    <w:rsid w:val="00C76EC1"/>
    <w:rsid w:val="00C770B1"/>
    <w:rsid w:val="00C772BF"/>
    <w:rsid w:val="00C77385"/>
    <w:rsid w:val="00C77743"/>
    <w:rsid w:val="00C8052A"/>
    <w:rsid w:val="00C80683"/>
    <w:rsid w:val="00C808F8"/>
    <w:rsid w:val="00C8109D"/>
    <w:rsid w:val="00C81102"/>
    <w:rsid w:val="00C8144C"/>
    <w:rsid w:val="00C818CD"/>
    <w:rsid w:val="00C81EE7"/>
    <w:rsid w:val="00C8205A"/>
    <w:rsid w:val="00C82E89"/>
    <w:rsid w:val="00C83737"/>
    <w:rsid w:val="00C83B71"/>
    <w:rsid w:val="00C83DA1"/>
    <w:rsid w:val="00C8407C"/>
    <w:rsid w:val="00C84576"/>
    <w:rsid w:val="00C846B9"/>
    <w:rsid w:val="00C84723"/>
    <w:rsid w:val="00C84B60"/>
    <w:rsid w:val="00C84BC2"/>
    <w:rsid w:val="00C850A3"/>
    <w:rsid w:val="00C8546E"/>
    <w:rsid w:val="00C86873"/>
    <w:rsid w:val="00C90155"/>
    <w:rsid w:val="00C9037B"/>
    <w:rsid w:val="00C912EC"/>
    <w:rsid w:val="00C91F4E"/>
    <w:rsid w:val="00C92404"/>
    <w:rsid w:val="00C92EED"/>
    <w:rsid w:val="00C93D1B"/>
    <w:rsid w:val="00C93D8B"/>
    <w:rsid w:val="00C959F8"/>
    <w:rsid w:val="00C95ECD"/>
    <w:rsid w:val="00C95FE0"/>
    <w:rsid w:val="00C96482"/>
    <w:rsid w:val="00C96EAA"/>
    <w:rsid w:val="00C97722"/>
    <w:rsid w:val="00C97F02"/>
    <w:rsid w:val="00CA06BC"/>
    <w:rsid w:val="00CA09AB"/>
    <w:rsid w:val="00CA1B3D"/>
    <w:rsid w:val="00CA1BC5"/>
    <w:rsid w:val="00CA214C"/>
    <w:rsid w:val="00CA2679"/>
    <w:rsid w:val="00CA2D52"/>
    <w:rsid w:val="00CA3085"/>
    <w:rsid w:val="00CA32E8"/>
    <w:rsid w:val="00CA3587"/>
    <w:rsid w:val="00CA3C28"/>
    <w:rsid w:val="00CA3CB7"/>
    <w:rsid w:val="00CA3DCD"/>
    <w:rsid w:val="00CA485A"/>
    <w:rsid w:val="00CA4F27"/>
    <w:rsid w:val="00CA598C"/>
    <w:rsid w:val="00CA6FE0"/>
    <w:rsid w:val="00CB00B3"/>
    <w:rsid w:val="00CB04F6"/>
    <w:rsid w:val="00CB060C"/>
    <w:rsid w:val="00CB0D99"/>
    <w:rsid w:val="00CB1177"/>
    <w:rsid w:val="00CB1ABF"/>
    <w:rsid w:val="00CB2E89"/>
    <w:rsid w:val="00CB3361"/>
    <w:rsid w:val="00CB35AC"/>
    <w:rsid w:val="00CB39E4"/>
    <w:rsid w:val="00CB3DA1"/>
    <w:rsid w:val="00CB3EA3"/>
    <w:rsid w:val="00CB4006"/>
    <w:rsid w:val="00CB408C"/>
    <w:rsid w:val="00CB42D4"/>
    <w:rsid w:val="00CB4B95"/>
    <w:rsid w:val="00CB4C47"/>
    <w:rsid w:val="00CB50FB"/>
    <w:rsid w:val="00CB5350"/>
    <w:rsid w:val="00CB5595"/>
    <w:rsid w:val="00CB5A58"/>
    <w:rsid w:val="00CB5D02"/>
    <w:rsid w:val="00CB6839"/>
    <w:rsid w:val="00CB73C7"/>
    <w:rsid w:val="00CB74F7"/>
    <w:rsid w:val="00CB7D80"/>
    <w:rsid w:val="00CC033D"/>
    <w:rsid w:val="00CC0441"/>
    <w:rsid w:val="00CC0571"/>
    <w:rsid w:val="00CC095C"/>
    <w:rsid w:val="00CC0A76"/>
    <w:rsid w:val="00CC0D9F"/>
    <w:rsid w:val="00CC14DA"/>
    <w:rsid w:val="00CC2184"/>
    <w:rsid w:val="00CC2289"/>
    <w:rsid w:val="00CC2C5B"/>
    <w:rsid w:val="00CC45A7"/>
    <w:rsid w:val="00CC4D27"/>
    <w:rsid w:val="00CC532D"/>
    <w:rsid w:val="00CC54CD"/>
    <w:rsid w:val="00CC57B1"/>
    <w:rsid w:val="00CC5FE2"/>
    <w:rsid w:val="00CC6072"/>
    <w:rsid w:val="00CC6EB6"/>
    <w:rsid w:val="00CC6F8A"/>
    <w:rsid w:val="00CD0493"/>
    <w:rsid w:val="00CD0C1A"/>
    <w:rsid w:val="00CD0EF2"/>
    <w:rsid w:val="00CD16FE"/>
    <w:rsid w:val="00CD18DF"/>
    <w:rsid w:val="00CD1989"/>
    <w:rsid w:val="00CD1F19"/>
    <w:rsid w:val="00CD247E"/>
    <w:rsid w:val="00CD2690"/>
    <w:rsid w:val="00CD3876"/>
    <w:rsid w:val="00CD38D4"/>
    <w:rsid w:val="00CD3ED0"/>
    <w:rsid w:val="00CD4662"/>
    <w:rsid w:val="00CD500B"/>
    <w:rsid w:val="00CD51D1"/>
    <w:rsid w:val="00CD56D9"/>
    <w:rsid w:val="00CD6394"/>
    <w:rsid w:val="00CD6418"/>
    <w:rsid w:val="00CD666C"/>
    <w:rsid w:val="00CD6803"/>
    <w:rsid w:val="00CD6913"/>
    <w:rsid w:val="00CD784B"/>
    <w:rsid w:val="00CD789C"/>
    <w:rsid w:val="00CD78B7"/>
    <w:rsid w:val="00CE03A4"/>
    <w:rsid w:val="00CE0B80"/>
    <w:rsid w:val="00CE0C2B"/>
    <w:rsid w:val="00CE1816"/>
    <w:rsid w:val="00CE1F38"/>
    <w:rsid w:val="00CE2B9F"/>
    <w:rsid w:val="00CE30C4"/>
    <w:rsid w:val="00CE3E54"/>
    <w:rsid w:val="00CE46DC"/>
    <w:rsid w:val="00CE48F3"/>
    <w:rsid w:val="00CE6866"/>
    <w:rsid w:val="00CE6A27"/>
    <w:rsid w:val="00CE6D46"/>
    <w:rsid w:val="00CE6EEC"/>
    <w:rsid w:val="00CE70DD"/>
    <w:rsid w:val="00CE71A4"/>
    <w:rsid w:val="00CE7C3F"/>
    <w:rsid w:val="00CE7F3D"/>
    <w:rsid w:val="00CF006C"/>
    <w:rsid w:val="00CF0A0E"/>
    <w:rsid w:val="00CF11AE"/>
    <w:rsid w:val="00CF1207"/>
    <w:rsid w:val="00CF17E2"/>
    <w:rsid w:val="00CF1F8C"/>
    <w:rsid w:val="00CF2226"/>
    <w:rsid w:val="00CF277F"/>
    <w:rsid w:val="00CF28DD"/>
    <w:rsid w:val="00CF2AB8"/>
    <w:rsid w:val="00CF2E0B"/>
    <w:rsid w:val="00CF33AF"/>
    <w:rsid w:val="00CF3454"/>
    <w:rsid w:val="00CF4C6E"/>
    <w:rsid w:val="00CF71A9"/>
    <w:rsid w:val="00CF78B0"/>
    <w:rsid w:val="00CF7B29"/>
    <w:rsid w:val="00CF7C51"/>
    <w:rsid w:val="00D00E80"/>
    <w:rsid w:val="00D01FD0"/>
    <w:rsid w:val="00D025F4"/>
    <w:rsid w:val="00D037BA"/>
    <w:rsid w:val="00D03812"/>
    <w:rsid w:val="00D04141"/>
    <w:rsid w:val="00D045C6"/>
    <w:rsid w:val="00D048F7"/>
    <w:rsid w:val="00D05054"/>
    <w:rsid w:val="00D05B45"/>
    <w:rsid w:val="00D06AE3"/>
    <w:rsid w:val="00D10911"/>
    <w:rsid w:val="00D111F0"/>
    <w:rsid w:val="00D12568"/>
    <w:rsid w:val="00D125F6"/>
    <w:rsid w:val="00D1290D"/>
    <w:rsid w:val="00D12938"/>
    <w:rsid w:val="00D12C3C"/>
    <w:rsid w:val="00D13BFF"/>
    <w:rsid w:val="00D13D4F"/>
    <w:rsid w:val="00D14AF8"/>
    <w:rsid w:val="00D14CF9"/>
    <w:rsid w:val="00D165B4"/>
    <w:rsid w:val="00D1688B"/>
    <w:rsid w:val="00D168BF"/>
    <w:rsid w:val="00D17026"/>
    <w:rsid w:val="00D171ED"/>
    <w:rsid w:val="00D17430"/>
    <w:rsid w:val="00D17968"/>
    <w:rsid w:val="00D21209"/>
    <w:rsid w:val="00D2122A"/>
    <w:rsid w:val="00D218B4"/>
    <w:rsid w:val="00D21C37"/>
    <w:rsid w:val="00D21D78"/>
    <w:rsid w:val="00D21E6E"/>
    <w:rsid w:val="00D21F38"/>
    <w:rsid w:val="00D221EA"/>
    <w:rsid w:val="00D22271"/>
    <w:rsid w:val="00D22B85"/>
    <w:rsid w:val="00D231C0"/>
    <w:rsid w:val="00D238E3"/>
    <w:rsid w:val="00D241DE"/>
    <w:rsid w:val="00D243D0"/>
    <w:rsid w:val="00D24615"/>
    <w:rsid w:val="00D247D2"/>
    <w:rsid w:val="00D24ED0"/>
    <w:rsid w:val="00D25CE0"/>
    <w:rsid w:val="00D262E6"/>
    <w:rsid w:val="00D26670"/>
    <w:rsid w:val="00D267EB"/>
    <w:rsid w:val="00D26A23"/>
    <w:rsid w:val="00D26AEC"/>
    <w:rsid w:val="00D26B9A"/>
    <w:rsid w:val="00D2772F"/>
    <w:rsid w:val="00D27D6C"/>
    <w:rsid w:val="00D3043B"/>
    <w:rsid w:val="00D30745"/>
    <w:rsid w:val="00D311AF"/>
    <w:rsid w:val="00D31218"/>
    <w:rsid w:val="00D31E6A"/>
    <w:rsid w:val="00D31FDA"/>
    <w:rsid w:val="00D3217D"/>
    <w:rsid w:val="00D33580"/>
    <w:rsid w:val="00D347CA"/>
    <w:rsid w:val="00D3495A"/>
    <w:rsid w:val="00D349A1"/>
    <w:rsid w:val="00D34D16"/>
    <w:rsid w:val="00D353EA"/>
    <w:rsid w:val="00D36859"/>
    <w:rsid w:val="00D368E9"/>
    <w:rsid w:val="00D36D12"/>
    <w:rsid w:val="00D37360"/>
    <w:rsid w:val="00D4055A"/>
    <w:rsid w:val="00D42614"/>
    <w:rsid w:val="00D42910"/>
    <w:rsid w:val="00D4302A"/>
    <w:rsid w:val="00D436E8"/>
    <w:rsid w:val="00D43AC6"/>
    <w:rsid w:val="00D43B9C"/>
    <w:rsid w:val="00D44113"/>
    <w:rsid w:val="00D441F0"/>
    <w:rsid w:val="00D44655"/>
    <w:rsid w:val="00D500BB"/>
    <w:rsid w:val="00D50E62"/>
    <w:rsid w:val="00D51024"/>
    <w:rsid w:val="00D5175B"/>
    <w:rsid w:val="00D51C3C"/>
    <w:rsid w:val="00D528BE"/>
    <w:rsid w:val="00D52E66"/>
    <w:rsid w:val="00D53944"/>
    <w:rsid w:val="00D546AD"/>
    <w:rsid w:val="00D55162"/>
    <w:rsid w:val="00D55219"/>
    <w:rsid w:val="00D55747"/>
    <w:rsid w:val="00D559DA"/>
    <w:rsid w:val="00D56072"/>
    <w:rsid w:val="00D56767"/>
    <w:rsid w:val="00D56ACC"/>
    <w:rsid w:val="00D56B38"/>
    <w:rsid w:val="00D56F1D"/>
    <w:rsid w:val="00D60504"/>
    <w:rsid w:val="00D609E9"/>
    <w:rsid w:val="00D60EDE"/>
    <w:rsid w:val="00D61932"/>
    <w:rsid w:val="00D6216B"/>
    <w:rsid w:val="00D622DE"/>
    <w:rsid w:val="00D62A65"/>
    <w:rsid w:val="00D62CBF"/>
    <w:rsid w:val="00D64247"/>
    <w:rsid w:val="00D6440C"/>
    <w:rsid w:val="00D6579F"/>
    <w:rsid w:val="00D658D0"/>
    <w:rsid w:val="00D65CA5"/>
    <w:rsid w:val="00D661F9"/>
    <w:rsid w:val="00D67F9F"/>
    <w:rsid w:val="00D703A8"/>
    <w:rsid w:val="00D70A58"/>
    <w:rsid w:val="00D70B65"/>
    <w:rsid w:val="00D70E8B"/>
    <w:rsid w:val="00D70F8A"/>
    <w:rsid w:val="00D712F2"/>
    <w:rsid w:val="00D71EFE"/>
    <w:rsid w:val="00D726EC"/>
    <w:rsid w:val="00D73E19"/>
    <w:rsid w:val="00D73EA4"/>
    <w:rsid w:val="00D748D9"/>
    <w:rsid w:val="00D75556"/>
    <w:rsid w:val="00D7630A"/>
    <w:rsid w:val="00D763AA"/>
    <w:rsid w:val="00D767B1"/>
    <w:rsid w:val="00D768AF"/>
    <w:rsid w:val="00D76A76"/>
    <w:rsid w:val="00D76D67"/>
    <w:rsid w:val="00D7737E"/>
    <w:rsid w:val="00D77D2B"/>
    <w:rsid w:val="00D77D42"/>
    <w:rsid w:val="00D80347"/>
    <w:rsid w:val="00D80BA2"/>
    <w:rsid w:val="00D819E5"/>
    <w:rsid w:val="00D81D8D"/>
    <w:rsid w:val="00D82727"/>
    <w:rsid w:val="00D82801"/>
    <w:rsid w:val="00D8287F"/>
    <w:rsid w:val="00D82891"/>
    <w:rsid w:val="00D82914"/>
    <w:rsid w:val="00D82A4A"/>
    <w:rsid w:val="00D8323E"/>
    <w:rsid w:val="00D83B90"/>
    <w:rsid w:val="00D83FD9"/>
    <w:rsid w:val="00D84B16"/>
    <w:rsid w:val="00D84BA4"/>
    <w:rsid w:val="00D84EE6"/>
    <w:rsid w:val="00D85695"/>
    <w:rsid w:val="00D85833"/>
    <w:rsid w:val="00D8583A"/>
    <w:rsid w:val="00D859B7"/>
    <w:rsid w:val="00D85E3A"/>
    <w:rsid w:val="00D8626E"/>
    <w:rsid w:val="00D86BEE"/>
    <w:rsid w:val="00D86F6E"/>
    <w:rsid w:val="00D872D4"/>
    <w:rsid w:val="00D87C06"/>
    <w:rsid w:val="00D87D8A"/>
    <w:rsid w:val="00D9037A"/>
    <w:rsid w:val="00D90445"/>
    <w:rsid w:val="00D90B09"/>
    <w:rsid w:val="00D90CF0"/>
    <w:rsid w:val="00D90E67"/>
    <w:rsid w:val="00D92118"/>
    <w:rsid w:val="00D92EFD"/>
    <w:rsid w:val="00D930EF"/>
    <w:rsid w:val="00D9313E"/>
    <w:rsid w:val="00D9345B"/>
    <w:rsid w:val="00D93A3C"/>
    <w:rsid w:val="00D94311"/>
    <w:rsid w:val="00D957CF"/>
    <w:rsid w:val="00D96A1E"/>
    <w:rsid w:val="00D96D25"/>
    <w:rsid w:val="00D9725A"/>
    <w:rsid w:val="00DA0296"/>
    <w:rsid w:val="00DA0CB6"/>
    <w:rsid w:val="00DA2155"/>
    <w:rsid w:val="00DA2E98"/>
    <w:rsid w:val="00DA30B7"/>
    <w:rsid w:val="00DA3217"/>
    <w:rsid w:val="00DA3FE8"/>
    <w:rsid w:val="00DA4126"/>
    <w:rsid w:val="00DA43B9"/>
    <w:rsid w:val="00DA4F8D"/>
    <w:rsid w:val="00DA528D"/>
    <w:rsid w:val="00DA5349"/>
    <w:rsid w:val="00DA5EA6"/>
    <w:rsid w:val="00DA652B"/>
    <w:rsid w:val="00DA65D2"/>
    <w:rsid w:val="00DA6B49"/>
    <w:rsid w:val="00DA6E5C"/>
    <w:rsid w:val="00DA71EB"/>
    <w:rsid w:val="00DA74CD"/>
    <w:rsid w:val="00DA7FF5"/>
    <w:rsid w:val="00DB000B"/>
    <w:rsid w:val="00DB0916"/>
    <w:rsid w:val="00DB0925"/>
    <w:rsid w:val="00DB179C"/>
    <w:rsid w:val="00DB1D44"/>
    <w:rsid w:val="00DB21B7"/>
    <w:rsid w:val="00DB2660"/>
    <w:rsid w:val="00DB2707"/>
    <w:rsid w:val="00DB27BE"/>
    <w:rsid w:val="00DB3500"/>
    <w:rsid w:val="00DB3CA4"/>
    <w:rsid w:val="00DB46AF"/>
    <w:rsid w:val="00DB48F0"/>
    <w:rsid w:val="00DB4922"/>
    <w:rsid w:val="00DB5BBF"/>
    <w:rsid w:val="00DB6B98"/>
    <w:rsid w:val="00DB6DE4"/>
    <w:rsid w:val="00DB6E33"/>
    <w:rsid w:val="00DB7323"/>
    <w:rsid w:val="00DB7BE1"/>
    <w:rsid w:val="00DB7BEB"/>
    <w:rsid w:val="00DB7F72"/>
    <w:rsid w:val="00DC069D"/>
    <w:rsid w:val="00DC19EB"/>
    <w:rsid w:val="00DC1D1A"/>
    <w:rsid w:val="00DC221B"/>
    <w:rsid w:val="00DC23E3"/>
    <w:rsid w:val="00DC2F0A"/>
    <w:rsid w:val="00DC32E9"/>
    <w:rsid w:val="00DC3505"/>
    <w:rsid w:val="00DC5867"/>
    <w:rsid w:val="00DC6044"/>
    <w:rsid w:val="00DC63E2"/>
    <w:rsid w:val="00DC6721"/>
    <w:rsid w:val="00DC69D9"/>
    <w:rsid w:val="00DC6A05"/>
    <w:rsid w:val="00DC6BC0"/>
    <w:rsid w:val="00DC720E"/>
    <w:rsid w:val="00DC76EE"/>
    <w:rsid w:val="00DD01BC"/>
    <w:rsid w:val="00DD0299"/>
    <w:rsid w:val="00DD1556"/>
    <w:rsid w:val="00DD1704"/>
    <w:rsid w:val="00DD2324"/>
    <w:rsid w:val="00DD2BE0"/>
    <w:rsid w:val="00DD2E30"/>
    <w:rsid w:val="00DD3202"/>
    <w:rsid w:val="00DD32CF"/>
    <w:rsid w:val="00DD3947"/>
    <w:rsid w:val="00DD3A7F"/>
    <w:rsid w:val="00DD4468"/>
    <w:rsid w:val="00DD45B1"/>
    <w:rsid w:val="00DD4911"/>
    <w:rsid w:val="00DD4A34"/>
    <w:rsid w:val="00DD4B19"/>
    <w:rsid w:val="00DD5431"/>
    <w:rsid w:val="00DD592E"/>
    <w:rsid w:val="00DD6426"/>
    <w:rsid w:val="00DD65FE"/>
    <w:rsid w:val="00DD66A4"/>
    <w:rsid w:val="00DD6F7A"/>
    <w:rsid w:val="00DE0736"/>
    <w:rsid w:val="00DE0D53"/>
    <w:rsid w:val="00DE104F"/>
    <w:rsid w:val="00DE224A"/>
    <w:rsid w:val="00DE251A"/>
    <w:rsid w:val="00DE25C2"/>
    <w:rsid w:val="00DE28CE"/>
    <w:rsid w:val="00DE2F3B"/>
    <w:rsid w:val="00DE30EE"/>
    <w:rsid w:val="00DE3723"/>
    <w:rsid w:val="00DE4569"/>
    <w:rsid w:val="00DE4605"/>
    <w:rsid w:val="00DE4BEF"/>
    <w:rsid w:val="00DE501C"/>
    <w:rsid w:val="00DE5A1C"/>
    <w:rsid w:val="00DE5F65"/>
    <w:rsid w:val="00DE5FFA"/>
    <w:rsid w:val="00DE659E"/>
    <w:rsid w:val="00DE7097"/>
    <w:rsid w:val="00DE7412"/>
    <w:rsid w:val="00DF0045"/>
    <w:rsid w:val="00DF06F6"/>
    <w:rsid w:val="00DF0A65"/>
    <w:rsid w:val="00DF160C"/>
    <w:rsid w:val="00DF169E"/>
    <w:rsid w:val="00DF1BBC"/>
    <w:rsid w:val="00DF1DD8"/>
    <w:rsid w:val="00DF2C76"/>
    <w:rsid w:val="00DF2F38"/>
    <w:rsid w:val="00DF3341"/>
    <w:rsid w:val="00DF33EA"/>
    <w:rsid w:val="00DF3689"/>
    <w:rsid w:val="00DF4450"/>
    <w:rsid w:val="00DF5242"/>
    <w:rsid w:val="00DF556D"/>
    <w:rsid w:val="00DF5B11"/>
    <w:rsid w:val="00DF73EE"/>
    <w:rsid w:val="00DF7FDC"/>
    <w:rsid w:val="00E00DBF"/>
    <w:rsid w:val="00E01BE8"/>
    <w:rsid w:val="00E021D2"/>
    <w:rsid w:val="00E02A65"/>
    <w:rsid w:val="00E02F2E"/>
    <w:rsid w:val="00E03825"/>
    <w:rsid w:val="00E04450"/>
    <w:rsid w:val="00E048DE"/>
    <w:rsid w:val="00E0491A"/>
    <w:rsid w:val="00E06433"/>
    <w:rsid w:val="00E0678A"/>
    <w:rsid w:val="00E06ACE"/>
    <w:rsid w:val="00E06C31"/>
    <w:rsid w:val="00E0745F"/>
    <w:rsid w:val="00E07AD7"/>
    <w:rsid w:val="00E100B4"/>
    <w:rsid w:val="00E10C97"/>
    <w:rsid w:val="00E11004"/>
    <w:rsid w:val="00E1158D"/>
    <w:rsid w:val="00E11A76"/>
    <w:rsid w:val="00E11BCB"/>
    <w:rsid w:val="00E11E96"/>
    <w:rsid w:val="00E11FB9"/>
    <w:rsid w:val="00E12BC3"/>
    <w:rsid w:val="00E12CBA"/>
    <w:rsid w:val="00E12FC7"/>
    <w:rsid w:val="00E131AC"/>
    <w:rsid w:val="00E13336"/>
    <w:rsid w:val="00E13473"/>
    <w:rsid w:val="00E1391B"/>
    <w:rsid w:val="00E13C0E"/>
    <w:rsid w:val="00E14829"/>
    <w:rsid w:val="00E148F7"/>
    <w:rsid w:val="00E14BC9"/>
    <w:rsid w:val="00E14C11"/>
    <w:rsid w:val="00E14C82"/>
    <w:rsid w:val="00E15C80"/>
    <w:rsid w:val="00E16AD2"/>
    <w:rsid w:val="00E16B03"/>
    <w:rsid w:val="00E17022"/>
    <w:rsid w:val="00E17470"/>
    <w:rsid w:val="00E1773E"/>
    <w:rsid w:val="00E17F2F"/>
    <w:rsid w:val="00E21A5F"/>
    <w:rsid w:val="00E21B62"/>
    <w:rsid w:val="00E21C25"/>
    <w:rsid w:val="00E22293"/>
    <w:rsid w:val="00E22FAA"/>
    <w:rsid w:val="00E23048"/>
    <w:rsid w:val="00E230F6"/>
    <w:rsid w:val="00E23AC6"/>
    <w:rsid w:val="00E24CDA"/>
    <w:rsid w:val="00E255B8"/>
    <w:rsid w:val="00E264C4"/>
    <w:rsid w:val="00E26661"/>
    <w:rsid w:val="00E26B9F"/>
    <w:rsid w:val="00E26D67"/>
    <w:rsid w:val="00E272F3"/>
    <w:rsid w:val="00E27CC0"/>
    <w:rsid w:val="00E27F4E"/>
    <w:rsid w:val="00E307AB"/>
    <w:rsid w:val="00E314B8"/>
    <w:rsid w:val="00E32512"/>
    <w:rsid w:val="00E33064"/>
    <w:rsid w:val="00E3489A"/>
    <w:rsid w:val="00E35800"/>
    <w:rsid w:val="00E3599C"/>
    <w:rsid w:val="00E3741C"/>
    <w:rsid w:val="00E37D0C"/>
    <w:rsid w:val="00E38E51"/>
    <w:rsid w:val="00E40A56"/>
    <w:rsid w:val="00E41128"/>
    <w:rsid w:val="00E4156E"/>
    <w:rsid w:val="00E419B6"/>
    <w:rsid w:val="00E4232B"/>
    <w:rsid w:val="00E42770"/>
    <w:rsid w:val="00E4364B"/>
    <w:rsid w:val="00E43CAF"/>
    <w:rsid w:val="00E43FDC"/>
    <w:rsid w:val="00E4400F"/>
    <w:rsid w:val="00E441FC"/>
    <w:rsid w:val="00E44319"/>
    <w:rsid w:val="00E44449"/>
    <w:rsid w:val="00E456E3"/>
    <w:rsid w:val="00E458FA"/>
    <w:rsid w:val="00E46202"/>
    <w:rsid w:val="00E4710C"/>
    <w:rsid w:val="00E47E48"/>
    <w:rsid w:val="00E5139D"/>
    <w:rsid w:val="00E513BC"/>
    <w:rsid w:val="00E513E1"/>
    <w:rsid w:val="00E52B87"/>
    <w:rsid w:val="00E52E0E"/>
    <w:rsid w:val="00E53C86"/>
    <w:rsid w:val="00E5494E"/>
    <w:rsid w:val="00E54B39"/>
    <w:rsid w:val="00E54E39"/>
    <w:rsid w:val="00E5504E"/>
    <w:rsid w:val="00E55242"/>
    <w:rsid w:val="00E55F02"/>
    <w:rsid w:val="00E56D6D"/>
    <w:rsid w:val="00E570C0"/>
    <w:rsid w:val="00E5719C"/>
    <w:rsid w:val="00E5725F"/>
    <w:rsid w:val="00E573D8"/>
    <w:rsid w:val="00E574E0"/>
    <w:rsid w:val="00E57ACE"/>
    <w:rsid w:val="00E57B8F"/>
    <w:rsid w:val="00E61308"/>
    <w:rsid w:val="00E61853"/>
    <w:rsid w:val="00E61856"/>
    <w:rsid w:val="00E61ADA"/>
    <w:rsid w:val="00E61AF2"/>
    <w:rsid w:val="00E61C66"/>
    <w:rsid w:val="00E62074"/>
    <w:rsid w:val="00E62745"/>
    <w:rsid w:val="00E634A6"/>
    <w:rsid w:val="00E63649"/>
    <w:rsid w:val="00E63AC7"/>
    <w:rsid w:val="00E65115"/>
    <w:rsid w:val="00E6531C"/>
    <w:rsid w:val="00E65581"/>
    <w:rsid w:val="00E667E7"/>
    <w:rsid w:val="00E6716E"/>
    <w:rsid w:val="00E676F6"/>
    <w:rsid w:val="00E679A2"/>
    <w:rsid w:val="00E679CF"/>
    <w:rsid w:val="00E70A6B"/>
    <w:rsid w:val="00E70F19"/>
    <w:rsid w:val="00E714F9"/>
    <w:rsid w:val="00E71706"/>
    <w:rsid w:val="00E71788"/>
    <w:rsid w:val="00E721A7"/>
    <w:rsid w:val="00E729D9"/>
    <w:rsid w:val="00E72C40"/>
    <w:rsid w:val="00E7311B"/>
    <w:rsid w:val="00E73676"/>
    <w:rsid w:val="00E736A7"/>
    <w:rsid w:val="00E7418D"/>
    <w:rsid w:val="00E741BB"/>
    <w:rsid w:val="00E75B28"/>
    <w:rsid w:val="00E765F0"/>
    <w:rsid w:val="00E80980"/>
    <w:rsid w:val="00E80C8A"/>
    <w:rsid w:val="00E811F3"/>
    <w:rsid w:val="00E8177B"/>
    <w:rsid w:val="00E821E0"/>
    <w:rsid w:val="00E82880"/>
    <w:rsid w:val="00E82CB8"/>
    <w:rsid w:val="00E82E2B"/>
    <w:rsid w:val="00E82EEB"/>
    <w:rsid w:val="00E83271"/>
    <w:rsid w:val="00E835BC"/>
    <w:rsid w:val="00E83675"/>
    <w:rsid w:val="00E8392F"/>
    <w:rsid w:val="00E843D9"/>
    <w:rsid w:val="00E84825"/>
    <w:rsid w:val="00E85485"/>
    <w:rsid w:val="00E85606"/>
    <w:rsid w:val="00E8571D"/>
    <w:rsid w:val="00E85975"/>
    <w:rsid w:val="00E85A9C"/>
    <w:rsid w:val="00E85E33"/>
    <w:rsid w:val="00E86310"/>
    <w:rsid w:val="00E863BD"/>
    <w:rsid w:val="00E90492"/>
    <w:rsid w:val="00E90873"/>
    <w:rsid w:val="00E90926"/>
    <w:rsid w:val="00E90B0A"/>
    <w:rsid w:val="00E90C3D"/>
    <w:rsid w:val="00E90C47"/>
    <w:rsid w:val="00E90CD3"/>
    <w:rsid w:val="00E90E09"/>
    <w:rsid w:val="00E9166A"/>
    <w:rsid w:val="00E91A15"/>
    <w:rsid w:val="00E92264"/>
    <w:rsid w:val="00E9253A"/>
    <w:rsid w:val="00E93305"/>
    <w:rsid w:val="00E93E24"/>
    <w:rsid w:val="00E94121"/>
    <w:rsid w:val="00E94B04"/>
    <w:rsid w:val="00E94E8F"/>
    <w:rsid w:val="00E9547C"/>
    <w:rsid w:val="00E969FA"/>
    <w:rsid w:val="00E96D4F"/>
    <w:rsid w:val="00E97335"/>
    <w:rsid w:val="00E9738A"/>
    <w:rsid w:val="00E97433"/>
    <w:rsid w:val="00E97F1F"/>
    <w:rsid w:val="00E97F3D"/>
    <w:rsid w:val="00EA04CB"/>
    <w:rsid w:val="00EA0ABE"/>
    <w:rsid w:val="00EA1ADA"/>
    <w:rsid w:val="00EA1DC6"/>
    <w:rsid w:val="00EA25DA"/>
    <w:rsid w:val="00EA45A7"/>
    <w:rsid w:val="00EA4A1A"/>
    <w:rsid w:val="00EA508C"/>
    <w:rsid w:val="00EA522B"/>
    <w:rsid w:val="00EA6233"/>
    <w:rsid w:val="00EA7DF5"/>
    <w:rsid w:val="00EB03B0"/>
    <w:rsid w:val="00EB0A69"/>
    <w:rsid w:val="00EB0D45"/>
    <w:rsid w:val="00EB16D0"/>
    <w:rsid w:val="00EB18D0"/>
    <w:rsid w:val="00EB1A67"/>
    <w:rsid w:val="00EB2EBA"/>
    <w:rsid w:val="00EB3806"/>
    <w:rsid w:val="00EB5643"/>
    <w:rsid w:val="00EB5696"/>
    <w:rsid w:val="00EB60B1"/>
    <w:rsid w:val="00EB6115"/>
    <w:rsid w:val="00EB6B00"/>
    <w:rsid w:val="00EB6B22"/>
    <w:rsid w:val="00EB788E"/>
    <w:rsid w:val="00EB7C7D"/>
    <w:rsid w:val="00EC02A0"/>
    <w:rsid w:val="00EC0451"/>
    <w:rsid w:val="00EC073F"/>
    <w:rsid w:val="00EC0E40"/>
    <w:rsid w:val="00EC1140"/>
    <w:rsid w:val="00EC1742"/>
    <w:rsid w:val="00EC1BEE"/>
    <w:rsid w:val="00EC2124"/>
    <w:rsid w:val="00EC27F7"/>
    <w:rsid w:val="00EC2888"/>
    <w:rsid w:val="00EC2D7F"/>
    <w:rsid w:val="00EC42F2"/>
    <w:rsid w:val="00EC452C"/>
    <w:rsid w:val="00EC4E1B"/>
    <w:rsid w:val="00EC5A8B"/>
    <w:rsid w:val="00EC5AEF"/>
    <w:rsid w:val="00EC5B30"/>
    <w:rsid w:val="00EC5F6A"/>
    <w:rsid w:val="00EC61CA"/>
    <w:rsid w:val="00EC6490"/>
    <w:rsid w:val="00EC73B7"/>
    <w:rsid w:val="00ED02DC"/>
    <w:rsid w:val="00ED196B"/>
    <w:rsid w:val="00ED1D58"/>
    <w:rsid w:val="00ED1FC6"/>
    <w:rsid w:val="00ED2051"/>
    <w:rsid w:val="00ED2F02"/>
    <w:rsid w:val="00ED3378"/>
    <w:rsid w:val="00ED3B40"/>
    <w:rsid w:val="00ED3C0A"/>
    <w:rsid w:val="00ED3FF0"/>
    <w:rsid w:val="00ED40E8"/>
    <w:rsid w:val="00ED48CC"/>
    <w:rsid w:val="00ED538C"/>
    <w:rsid w:val="00ED60C7"/>
    <w:rsid w:val="00ED64E6"/>
    <w:rsid w:val="00ED69C9"/>
    <w:rsid w:val="00ED7657"/>
    <w:rsid w:val="00EE143E"/>
    <w:rsid w:val="00EE1BA6"/>
    <w:rsid w:val="00EE1EC7"/>
    <w:rsid w:val="00EE2042"/>
    <w:rsid w:val="00EE269D"/>
    <w:rsid w:val="00EE36B7"/>
    <w:rsid w:val="00EE49FB"/>
    <w:rsid w:val="00EE5013"/>
    <w:rsid w:val="00EE503C"/>
    <w:rsid w:val="00EE54D5"/>
    <w:rsid w:val="00EE5879"/>
    <w:rsid w:val="00EE66FA"/>
    <w:rsid w:val="00EE7613"/>
    <w:rsid w:val="00EF0569"/>
    <w:rsid w:val="00EF1242"/>
    <w:rsid w:val="00EF136D"/>
    <w:rsid w:val="00EF17A5"/>
    <w:rsid w:val="00EF2B8D"/>
    <w:rsid w:val="00EF31CD"/>
    <w:rsid w:val="00EF352C"/>
    <w:rsid w:val="00EF3536"/>
    <w:rsid w:val="00EF38A2"/>
    <w:rsid w:val="00EF39AE"/>
    <w:rsid w:val="00EF4B61"/>
    <w:rsid w:val="00EF5102"/>
    <w:rsid w:val="00EF563A"/>
    <w:rsid w:val="00EF6BA2"/>
    <w:rsid w:val="00EF6CEC"/>
    <w:rsid w:val="00F018D2"/>
    <w:rsid w:val="00F01D0D"/>
    <w:rsid w:val="00F01D6B"/>
    <w:rsid w:val="00F020BD"/>
    <w:rsid w:val="00F020C1"/>
    <w:rsid w:val="00F02239"/>
    <w:rsid w:val="00F02552"/>
    <w:rsid w:val="00F02A8E"/>
    <w:rsid w:val="00F033E1"/>
    <w:rsid w:val="00F037BF"/>
    <w:rsid w:val="00F04582"/>
    <w:rsid w:val="00F057E1"/>
    <w:rsid w:val="00F063F5"/>
    <w:rsid w:val="00F06BC4"/>
    <w:rsid w:val="00F07345"/>
    <w:rsid w:val="00F07C93"/>
    <w:rsid w:val="00F105D9"/>
    <w:rsid w:val="00F10620"/>
    <w:rsid w:val="00F107CB"/>
    <w:rsid w:val="00F10A19"/>
    <w:rsid w:val="00F1121A"/>
    <w:rsid w:val="00F114AE"/>
    <w:rsid w:val="00F1170A"/>
    <w:rsid w:val="00F11DE4"/>
    <w:rsid w:val="00F11FBA"/>
    <w:rsid w:val="00F12045"/>
    <w:rsid w:val="00F12CFA"/>
    <w:rsid w:val="00F13418"/>
    <w:rsid w:val="00F13E8A"/>
    <w:rsid w:val="00F154E4"/>
    <w:rsid w:val="00F159BA"/>
    <w:rsid w:val="00F15C0F"/>
    <w:rsid w:val="00F16099"/>
    <w:rsid w:val="00F16200"/>
    <w:rsid w:val="00F16EA0"/>
    <w:rsid w:val="00F17A8E"/>
    <w:rsid w:val="00F17F4D"/>
    <w:rsid w:val="00F21F2D"/>
    <w:rsid w:val="00F2332D"/>
    <w:rsid w:val="00F2359E"/>
    <w:rsid w:val="00F2398A"/>
    <w:rsid w:val="00F24036"/>
    <w:rsid w:val="00F24D4F"/>
    <w:rsid w:val="00F2586E"/>
    <w:rsid w:val="00F2617F"/>
    <w:rsid w:val="00F26BEB"/>
    <w:rsid w:val="00F273F7"/>
    <w:rsid w:val="00F30656"/>
    <w:rsid w:val="00F30E07"/>
    <w:rsid w:val="00F323FE"/>
    <w:rsid w:val="00F327F0"/>
    <w:rsid w:val="00F32A13"/>
    <w:rsid w:val="00F32C41"/>
    <w:rsid w:val="00F32D7A"/>
    <w:rsid w:val="00F336C9"/>
    <w:rsid w:val="00F3464F"/>
    <w:rsid w:val="00F34760"/>
    <w:rsid w:val="00F35528"/>
    <w:rsid w:val="00F35B25"/>
    <w:rsid w:val="00F35D61"/>
    <w:rsid w:val="00F35DA6"/>
    <w:rsid w:val="00F36188"/>
    <w:rsid w:val="00F367DE"/>
    <w:rsid w:val="00F36868"/>
    <w:rsid w:val="00F371BA"/>
    <w:rsid w:val="00F378F8"/>
    <w:rsid w:val="00F37D42"/>
    <w:rsid w:val="00F40246"/>
    <w:rsid w:val="00F40728"/>
    <w:rsid w:val="00F40DA7"/>
    <w:rsid w:val="00F415A0"/>
    <w:rsid w:val="00F42430"/>
    <w:rsid w:val="00F42988"/>
    <w:rsid w:val="00F430BF"/>
    <w:rsid w:val="00F43668"/>
    <w:rsid w:val="00F4374D"/>
    <w:rsid w:val="00F4395D"/>
    <w:rsid w:val="00F43E5E"/>
    <w:rsid w:val="00F458A8"/>
    <w:rsid w:val="00F46DB8"/>
    <w:rsid w:val="00F4744A"/>
    <w:rsid w:val="00F47953"/>
    <w:rsid w:val="00F47C1D"/>
    <w:rsid w:val="00F47DB1"/>
    <w:rsid w:val="00F5084B"/>
    <w:rsid w:val="00F50911"/>
    <w:rsid w:val="00F50DAF"/>
    <w:rsid w:val="00F51064"/>
    <w:rsid w:val="00F5128E"/>
    <w:rsid w:val="00F51EA5"/>
    <w:rsid w:val="00F5282C"/>
    <w:rsid w:val="00F52D08"/>
    <w:rsid w:val="00F52E1C"/>
    <w:rsid w:val="00F54547"/>
    <w:rsid w:val="00F54564"/>
    <w:rsid w:val="00F54596"/>
    <w:rsid w:val="00F54D3E"/>
    <w:rsid w:val="00F54DD3"/>
    <w:rsid w:val="00F54F1B"/>
    <w:rsid w:val="00F55982"/>
    <w:rsid w:val="00F55E35"/>
    <w:rsid w:val="00F572D4"/>
    <w:rsid w:val="00F57517"/>
    <w:rsid w:val="00F60214"/>
    <w:rsid w:val="00F602EE"/>
    <w:rsid w:val="00F60832"/>
    <w:rsid w:val="00F61152"/>
    <w:rsid w:val="00F618CD"/>
    <w:rsid w:val="00F61B23"/>
    <w:rsid w:val="00F61B63"/>
    <w:rsid w:val="00F627D7"/>
    <w:rsid w:val="00F62976"/>
    <w:rsid w:val="00F62DA6"/>
    <w:rsid w:val="00F6329B"/>
    <w:rsid w:val="00F63A24"/>
    <w:rsid w:val="00F63BFE"/>
    <w:rsid w:val="00F671A7"/>
    <w:rsid w:val="00F70696"/>
    <w:rsid w:val="00F71428"/>
    <w:rsid w:val="00F739F5"/>
    <w:rsid w:val="00F73F5C"/>
    <w:rsid w:val="00F7574B"/>
    <w:rsid w:val="00F75A13"/>
    <w:rsid w:val="00F75FD8"/>
    <w:rsid w:val="00F760D6"/>
    <w:rsid w:val="00F764A4"/>
    <w:rsid w:val="00F76729"/>
    <w:rsid w:val="00F7681A"/>
    <w:rsid w:val="00F7759B"/>
    <w:rsid w:val="00F77605"/>
    <w:rsid w:val="00F80B7A"/>
    <w:rsid w:val="00F80DE7"/>
    <w:rsid w:val="00F82264"/>
    <w:rsid w:val="00F824A7"/>
    <w:rsid w:val="00F8257B"/>
    <w:rsid w:val="00F82A2C"/>
    <w:rsid w:val="00F82B60"/>
    <w:rsid w:val="00F8316E"/>
    <w:rsid w:val="00F839CC"/>
    <w:rsid w:val="00F841EF"/>
    <w:rsid w:val="00F85474"/>
    <w:rsid w:val="00F85981"/>
    <w:rsid w:val="00F859C3"/>
    <w:rsid w:val="00F86610"/>
    <w:rsid w:val="00F86CA1"/>
    <w:rsid w:val="00F87241"/>
    <w:rsid w:val="00F874AD"/>
    <w:rsid w:val="00F8762D"/>
    <w:rsid w:val="00F92081"/>
    <w:rsid w:val="00F92268"/>
    <w:rsid w:val="00F92626"/>
    <w:rsid w:val="00F92821"/>
    <w:rsid w:val="00F93C0A"/>
    <w:rsid w:val="00F950AD"/>
    <w:rsid w:val="00F95451"/>
    <w:rsid w:val="00F95FD5"/>
    <w:rsid w:val="00F96055"/>
    <w:rsid w:val="00F9641B"/>
    <w:rsid w:val="00F970AE"/>
    <w:rsid w:val="00F97459"/>
    <w:rsid w:val="00F97B7E"/>
    <w:rsid w:val="00FA0026"/>
    <w:rsid w:val="00FA078C"/>
    <w:rsid w:val="00FA1638"/>
    <w:rsid w:val="00FA1C57"/>
    <w:rsid w:val="00FA220C"/>
    <w:rsid w:val="00FA35B9"/>
    <w:rsid w:val="00FA3AA5"/>
    <w:rsid w:val="00FA3D69"/>
    <w:rsid w:val="00FA439D"/>
    <w:rsid w:val="00FA440C"/>
    <w:rsid w:val="00FA5673"/>
    <w:rsid w:val="00FA5C89"/>
    <w:rsid w:val="00FA6809"/>
    <w:rsid w:val="00FA7332"/>
    <w:rsid w:val="00FA7432"/>
    <w:rsid w:val="00FA75AE"/>
    <w:rsid w:val="00FA7C49"/>
    <w:rsid w:val="00FB1F74"/>
    <w:rsid w:val="00FB3103"/>
    <w:rsid w:val="00FB36A0"/>
    <w:rsid w:val="00FB4418"/>
    <w:rsid w:val="00FB4442"/>
    <w:rsid w:val="00FB4D3B"/>
    <w:rsid w:val="00FB5F49"/>
    <w:rsid w:val="00FB6BDB"/>
    <w:rsid w:val="00FB6DF1"/>
    <w:rsid w:val="00FC0498"/>
    <w:rsid w:val="00FC0577"/>
    <w:rsid w:val="00FC1069"/>
    <w:rsid w:val="00FC195A"/>
    <w:rsid w:val="00FC25C0"/>
    <w:rsid w:val="00FC3170"/>
    <w:rsid w:val="00FC3B84"/>
    <w:rsid w:val="00FC447A"/>
    <w:rsid w:val="00FC45B3"/>
    <w:rsid w:val="00FC49B8"/>
    <w:rsid w:val="00FC4A23"/>
    <w:rsid w:val="00FC4BDB"/>
    <w:rsid w:val="00FC4C72"/>
    <w:rsid w:val="00FC5E35"/>
    <w:rsid w:val="00FC5E77"/>
    <w:rsid w:val="00FC645E"/>
    <w:rsid w:val="00FC7306"/>
    <w:rsid w:val="00FD0008"/>
    <w:rsid w:val="00FD023F"/>
    <w:rsid w:val="00FD08B0"/>
    <w:rsid w:val="00FD0BC2"/>
    <w:rsid w:val="00FD0D37"/>
    <w:rsid w:val="00FD0DF1"/>
    <w:rsid w:val="00FD11C6"/>
    <w:rsid w:val="00FD1279"/>
    <w:rsid w:val="00FD1E16"/>
    <w:rsid w:val="00FD1FBC"/>
    <w:rsid w:val="00FD24C5"/>
    <w:rsid w:val="00FD28C9"/>
    <w:rsid w:val="00FD2E9B"/>
    <w:rsid w:val="00FD2F2A"/>
    <w:rsid w:val="00FD371D"/>
    <w:rsid w:val="00FD394C"/>
    <w:rsid w:val="00FD469F"/>
    <w:rsid w:val="00FD4E31"/>
    <w:rsid w:val="00FD4EB5"/>
    <w:rsid w:val="00FD6087"/>
    <w:rsid w:val="00FD6422"/>
    <w:rsid w:val="00FD674F"/>
    <w:rsid w:val="00FD69AF"/>
    <w:rsid w:val="00FD7066"/>
    <w:rsid w:val="00FE0F2F"/>
    <w:rsid w:val="00FE1090"/>
    <w:rsid w:val="00FE1493"/>
    <w:rsid w:val="00FE25AF"/>
    <w:rsid w:val="00FE25C6"/>
    <w:rsid w:val="00FE2BC9"/>
    <w:rsid w:val="00FE2DA1"/>
    <w:rsid w:val="00FE2FC3"/>
    <w:rsid w:val="00FE3522"/>
    <w:rsid w:val="00FE5937"/>
    <w:rsid w:val="00FE5A42"/>
    <w:rsid w:val="00FE6542"/>
    <w:rsid w:val="00FE6620"/>
    <w:rsid w:val="00FE67BF"/>
    <w:rsid w:val="00FE6847"/>
    <w:rsid w:val="00FE723D"/>
    <w:rsid w:val="00FE7C3C"/>
    <w:rsid w:val="00FF0536"/>
    <w:rsid w:val="00FF0590"/>
    <w:rsid w:val="00FF0A19"/>
    <w:rsid w:val="00FF187B"/>
    <w:rsid w:val="00FF1A5B"/>
    <w:rsid w:val="00FF1B91"/>
    <w:rsid w:val="00FF1E1E"/>
    <w:rsid w:val="00FF1EA2"/>
    <w:rsid w:val="00FF2B32"/>
    <w:rsid w:val="00FF2F91"/>
    <w:rsid w:val="00FF3418"/>
    <w:rsid w:val="00FF378B"/>
    <w:rsid w:val="00FF3E8F"/>
    <w:rsid w:val="00FF52B1"/>
    <w:rsid w:val="00FF53A9"/>
    <w:rsid w:val="00FF5AAE"/>
    <w:rsid w:val="00FF6FAD"/>
    <w:rsid w:val="00FF74A6"/>
    <w:rsid w:val="00FF7743"/>
    <w:rsid w:val="02D62F4A"/>
    <w:rsid w:val="032EE477"/>
    <w:rsid w:val="047E246B"/>
    <w:rsid w:val="04BA89DA"/>
    <w:rsid w:val="04CAD4E2"/>
    <w:rsid w:val="0536D666"/>
    <w:rsid w:val="056CCF1C"/>
    <w:rsid w:val="0607AC48"/>
    <w:rsid w:val="06A4B628"/>
    <w:rsid w:val="076D13EB"/>
    <w:rsid w:val="07F88F85"/>
    <w:rsid w:val="09C1836E"/>
    <w:rsid w:val="0A8F6B19"/>
    <w:rsid w:val="0B8AC722"/>
    <w:rsid w:val="0C26E83B"/>
    <w:rsid w:val="0CA2CB10"/>
    <w:rsid w:val="0D7E9D75"/>
    <w:rsid w:val="0DB83771"/>
    <w:rsid w:val="110EAD30"/>
    <w:rsid w:val="11D3667F"/>
    <w:rsid w:val="11F07960"/>
    <w:rsid w:val="11FE6446"/>
    <w:rsid w:val="14B9098F"/>
    <w:rsid w:val="14D1E2E4"/>
    <w:rsid w:val="14EA5FAD"/>
    <w:rsid w:val="1619C660"/>
    <w:rsid w:val="17636E76"/>
    <w:rsid w:val="17CF82B2"/>
    <w:rsid w:val="19A73C21"/>
    <w:rsid w:val="1A5F51BC"/>
    <w:rsid w:val="1A600FF4"/>
    <w:rsid w:val="1B294B69"/>
    <w:rsid w:val="1B3368D3"/>
    <w:rsid w:val="1B741968"/>
    <w:rsid w:val="1C73DC30"/>
    <w:rsid w:val="1C896240"/>
    <w:rsid w:val="1D65CEF7"/>
    <w:rsid w:val="1DAF0255"/>
    <w:rsid w:val="1E4C4B98"/>
    <w:rsid w:val="1E525D27"/>
    <w:rsid w:val="1FAD512A"/>
    <w:rsid w:val="200BFD8E"/>
    <w:rsid w:val="203BCFD1"/>
    <w:rsid w:val="20D368EF"/>
    <w:rsid w:val="2189D222"/>
    <w:rsid w:val="233324E9"/>
    <w:rsid w:val="2604D236"/>
    <w:rsid w:val="2828C7F9"/>
    <w:rsid w:val="28AFD8E0"/>
    <w:rsid w:val="2A8888C2"/>
    <w:rsid w:val="2B15D972"/>
    <w:rsid w:val="2CA27081"/>
    <w:rsid w:val="2CED4EE6"/>
    <w:rsid w:val="2D3F0747"/>
    <w:rsid w:val="2ED5A363"/>
    <w:rsid w:val="2F872E12"/>
    <w:rsid w:val="2FF5BEF7"/>
    <w:rsid w:val="34477999"/>
    <w:rsid w:val="34BD7FDD"/>
    <w:rsid w:val="35BE6DF4"/>
    <w:rsid w:val="375D68AE"/>
    <w:rsid w:val="37C4ADA1"/>
    <w:rsid w:val="397C159E"/>
    <w:rsid w:val="3C00CC98"/>
    <w:rsid w:val="3C68E293"/>
    <w:rsid w:val="3CD615B2"/>
    <w:rsid w:val="3D5459F0"/>
    <w:rsid w:val="3D6D0657"/>
    <w:rsid w:val="3E5422B1"/>
    <w:rsid w:val="3EA6D0B5"/>
    <w:rsid w:val="3EDB712A"/>
    <w:rsid w:val="3FC3ECD7"/>
    <w:rsid w:val="4077EF69"/>
    <w:rsid w:val="40A07B2F"/>
    <w:rsid w:val="41D40148"/>
    <w:rsid w:val="41E5D42F"/>
    <w:rsid w:val="4287B730"/>
    <w:rsid w:val="4315F119"/>
    <w:rsid w:val="433BA05E"/>
    <w:rsid w:val="442FEAE4"/>
    <w:rsid w:val="444C1D44"/>
    <w:rsid w:val="4520FB9B"/>
    <w:rsid w:val="456EF8C8"/>
    <w:rsid w:val="45807C7E"/>
    <w:rsid w:val="45B71E30"/>
    <w:rsid w:val="46C9FD73"/>
    <w:rsid w:val="47981736"/>
    <w:rsid w:val="47DFB226"/>
    <w:rsid w:val="481980E9"/>
    <w:rsid w:val="48F26F24"/>
    <w:rsid w:val="492CA800"/>
    <w:rsid w:val="49443CBD"/>
    <w:rsid w:val="49CE6052"/>
    <w:rsid w:val="4A6F76D4"/>
    <w:rsid w:val="4A71FD44"/>
    <w:rsid w:val="4B44C435"/>
    <w:rsid w:val="4B93708A"/>
    <w:rsid w:val="4C31E665"/>
    <w:rsid w:val="4D7991D8"/>
    <w:rsid w:val="4D8CBCD1"/>
    <w:rsid w:val="4DB02F51"/>
    <w:rsid w:val="4DB9FD30"/>
    <w:rsid w:val="4E81A7FC"/>
    <w:rsid w:val="4FB20571"/>
    <w:rsid w:val="50F04BD0"/>
    <w:rsid w:val="50F8C606"/>
    <w:rsid w:val="536F1EDF"/>
    <w:rsid w:val="53A353FC"/>
    <w:rsid w:val="53E68438"/>
    <w:rsid w:val="546955AA"/>
    <w:rsid w:val="54DE9FF5"/>
    <w:rsid w:val="55433870"/>
    <w:rsid w:val="564EE5C8"/>
    <w:rsid w:val="56A91FF7"/>
    <w:rsid w:val="56E0A083"/>
    <w:rsid w:val="576AB269"/>
    <w:rsid w:val="57982A2D"/>
    <w:rsid w:val="57B4FA71"/>
    <w:rsid w:val="5871B74A"/>
    <w:rsid w:val="58B13098"/>
    <w:rsid w:val="590F2947"/>
    <w:rsid w:val="5B8046F9"/>
    <w:rsid w:val="5BABDCC9"/>
    <w:rsid w:val="5C004423"/>
    <w:rsid w:val="5C0D4997"/>
    <w:rsid w:val="5D13FD74"/>
    <w:rsid w:val="5D241FF1"/>
    <w:rsid w:val="5D2EFD3F"/>
    <w:rsid w:val="5E428E6B"/>
    <w:rsid w:val="5E582939"/>
    <w:rsid w:val="6062389F"/>
    <w:rsid w:val="60990681"/>
    <w:rsid w:val="60DAACB4"/>
    <w:rsid w:val="61E64D76"/>
    <w:rsid w:val="621F04F3"/>
    <w:rsid w:val="62660162"/>
    <w:rsid w:val="6320AF70"/>
    <w:rsid w:val="63DC8880"/>
    <w:rsid w:val="63EE12C0"/>
    <w:rsid w:val="643029A9"/>
    <w:rsid w:val="66368FE2"/>
    <w:rsid w:val="66A024CE"/>
    <w:rsid w:val="66EC8384"/>
    <w:rsid w:val="678B2028"/>
    <w:rsid w:val="67B5FC9F"/>
    <w:rsid w:val="68BBC436"/>
    <w:rsid w:val="68C0F79A"/>
    <w:rsid w:val="68E08FCD"/>
    <w:rsid w:val="699381D1"/>
    <w:rsid w:val="6BEEAA7B"/>
    <w:rsid w:val="6C06E87A"/>
    <w:rsid w:val="6C77A654"/>
    <w:rsid w:val="6D269C3B"/>
    <w:rsid w:val="6DA76E0A"/>
    <w:rsid w:val="6E6D784E"/>
    <w:rsid w:val="6F784598"/>
    <w:rsid w:val="701DC32E"/>
    <w:rsid w:val="704DB0AD"/>
    <w:rsid w:val="70A0B688"/>
    <w:rsid w:val="73D0188B"/>
    <w:rsid w:val="764E84CC"/>
    <w:rsid w:val="7700316A"/>
    <w:rsid w:val="778136D3"/>
    <w:rsid w:val="782CE172"/>
    <w:rsid w:val="795B5279"/>
    <w:rsid w:val="798EE964"/>
    <w:rsid w:val="7A06BA38"/>
    <w:rsid w:val="7D178B6D"/>
    <w:rsid w:val="7E5F9046"/>
    <w:rsid w:val="7F026711"/>
    <w:rsid w:val="7F79B152"/>
    <w:rsid w:val="7FB6995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9E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832"/>
    <w:pPr>
      <w:spacing w:after="100" w:line="264" w:lineRule="auto"/>
    </w:pPr>
    <w:rPr>
      <w:rFonts w:ascii="Arial" w:hAnsi="Arial"/>
    </w:rPr>
  </w:style>
  <w:style w:type="paragraph" w:styleId="Heading1">
    <w:name w:val="heading 1"/>
    <w:basedOn w:val="Normal"/>
    <w:next w:val="Normal"/>
    <w:link w:val="Heading1Char"/>
    <w:uiPriority w:val="9"/>
    <w:qFormat/>
    <w:rsid w:val="00A06692"/>
    <w:pPr>
      <w:keepNext/>
      <w:keepLines/>
      <w:spacing w:before="240" w:after="240" w:line="276" w:lineRule="auto"/>
      <w:outlineLvl w:val="0"/>
    </w:pPr>
    <w:rPr>
      <w:rFonts w:eastAsiaTheme="majorEastAsia" w:cstheme="majorBidi"/>
      <w:b/>
      <w:color w:val="4B0885" w:themeColor="text2"/>
      <w:sz w:val="56"/>
      <w:szCs w:val="32"/>
    </w:rPr>
  </w:style>
  <w:style w:type="paragraph" w:styleId="Heading2">
    <w:name w:val="heading 2"/>
    <w:basedOn w:val="Normal"/>
    <w:next w:val="Normal"/>
    <w:link w:val="Heading2Char"/>
    <w:uiPriority w:val="9"/>
    <w:unhideWhenUsed/>
    <w:qFormat/>
    <w:rsid w:val="00761118"/>
    <w:pPr>
      <w:keepNext/>
      <w:keepLines/>
      <w:spacing w:before="240" w:after="120" w:line="276" w:lineRule="auto"/>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761118"/>
    <w:pPr>
      <w:keepNext/>
      <w:keepLines/>
      <w:spacing w:before="240" w:after="120" w:line="276" w:lineRule="auto"/>
      <w:outlineLvl w:val="2"/>
    </w:pPr>
    <w:rPr>
      <w:rFonts w:eastAsiaTheme="majorEastAsia" w:cstheme="majorBidi"/>
      <w:b/>
      <w:color w:val="4B0885" w:themeColor="text2"/>
      <w:sz w:val="26"/>
      <w:szCs w:val="24"/>
    </w:rPr>
  </w:style>
  <w:style w:type="paragraph" w:styleId="Heading4">
    <w:name w:val="heading 4"/>
    <w:basedOn w:val="Normal"/>
    <w:next w:val="Normal"/>
    <w:link w:val="Heading4Char"/>
    <w:uiPriority w:val="9"/>
    <w:unhideWhenUsed/>
    <w:qFormat/>
    <w:rsid w:val="00107680"/>
    <w:pPr>
      <w:spacing w:before="240" w:after="80" w:line="276" w:lineRule="auto"/>
      <w:outlineLvl w:val="3"/>
    </w:pPr>
    <w:rPr>
      <w:rFonts w:cs="Arial"/>
      <w:b/>
      <w:bCs/>
      <w:color w:val="012749" w:themeColor="accent3"/>
    </w:rPr>
  </w:style>
  <w:style w:type="paragraph" w:styleId="Heading5">
    <w:name w:val="heading 5"/>
    <w:basedOn w:val="Normal"/>
    <w:next w:val="Normal"/>
    <w:link w:val="Heading5Char"/>
    <w:uiPriority w:val="9"/>
    <w:unhideWhenUsed/>
    <w:qFormat/>
    <w:rsid w:val="005D2F87"/>
    <w:pPr>
      <w:spacing w:before="240" w:after="80" w:line="276" w:lineRule="auto"/>
      <w:outlineLvl w:val="4"/>
    </w:pPr>
    <w:rPr>
      <w:rFonts w:cs="Arial"/>
      <w:color w:val="4B0885" w:themeColor="text2"/>
      <w:szCs w:val="19"/>
    </w:rPr>
  </w:style>
  <w:style w:type="paragraph" w:styleId="Heading6">
    <w:name w:val="heading 6"/>
    <w:basedOn w:val="Normal"/>
    <w:next w:val="Normal"/>
    <w:link w:val="Heading6Char"/>
    <w:uiPriority w:val="9"/>
    <w:unhideWhenUsed/>
    <w:qFormat/>
    <w:rsid w:val="00D12938"/>
    <w:pPr>
      <w:keepNext/>
      <w:keepLines/>
      <w:spacing w:before="240" w:after="0" w:line="276" w:lineRule="auto"/>
      <w:outlineLvl w:val="5"/>
    </w:pPr>
    <w:rPr>
      <w:rFonts w:eastAsiaTheme="majorEastAsia" w:cstheme="majorBidi"/>
      <w:color w:val="341461" w:themeColor="accent1" w:themeShade="7F"/>
    </w:rPr>
  </w:style>
  <w:style w:type="paragraph" w:styleId="Heading7">
    <w:name w:val="heading 7"/>
    <w:basedOn w:val="Normal"/>
    <w:next w:val="Normal"/>
    <w:link w:val="Heading7Char"/>
    <w:uiPriority w:val="9"/>
    <w:unhideWhenUsed/>
    <w:qFormat/>
    <w:rsid w:val="00642A9A"/>
    <w:pPr>
      <w:keepNext/>
      <w:keepLines/>
      <w:spacing w:before="240" w:after="0"/>
      <w:outlineLvl w:val="6"/>
    </w:pPr>
    <w:rPr>
      <w:rFonts w:asciiTheme="majorHAnsi" w:eastAsiaTheme="majorEastAsia" w:hAnsiTheme="majorHAnsi" w:cstheme="majorBidi"/>
      <w:i/>
      <w:iCs/>
      <w:color w:val="341461" w:themeColor="accent1" w:themeShade="7F"/>
    </w:rPr>
  </w:style>
  <w:style w:type="paragraph" w:styleId="Heading8">
    <w:name w:val="heading 8"/>
    <w:basedOn w:val="Normal"/>
    <w:next w:val="Normal"/>
    <w:link w:val="Heading8Char"/>
    <w:uiPriority w:val="9"/>
    <w:semiHidden/>
    <w:unhideWhenUsed/>
    <w:qFormat/>
    <w:rsid w:val="00642A9A"/>
    <w:pPr>
      <w:keepNext/>
      <w:keepLines/>
      <w:spacing w:before="2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42A9A"/>
    <w:pPr>
      <w:keepNext/>
      <w:keepLines/>
      <w:spacing w:before="2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UnresolvedMention">
    <w:name w:val="Unresolved Mention"/>
    <w:basedOn w:val="DefaultParagraphFont"/>
    <w:uiPriority w:val="99"/>
    <w:semiHidden/>
    <w:unhideWhenUsed/>
    <w:rsid w:val="00E82EEB"/>
    <w:rPr>
      <w:color w:val="605E5C"/>
      <w:shd w:val="clear" w:color="auto" w:fill="E1DFDD"/>
    </w:rPr>
  </w:style>
  <w:style w:type="paragraph" w:styleId="Footer">
    <w:name w:val="footer"/>
    <w:basedOn w:val="Normal"/>
    <w:link w:val="FooterChar"/>
    <w:uiPriority w:val="99"/>
    <w:unhideWhenUsed/>
    <w:rsid w:val="00991526"/>
    <w:pPr>
      <w:tabs>
        <w:tab w:val="right" w:pos="9026"/>
      </w:tabs>
      <w:spacing w:before="20" w:after="0" w:line="240" w:lineRule="auto"/>
    </w:pPr>
    <w:rPr>
      <w:sz w:val="17"/>
      <w:szCs w:val="17"/>
    </w:rPr>
  </w:style>
  <w:style w:type="character" w:customStyle="1" w:styleId="FooterChar">
    <w:name w:val="Footer Char"/>
    <w:basedOn w:val="DefaultParagraphFont"/>
    <w:link w:val="Footer"/>
    <w:uiPriority w:val="99"/>
    <w:rsid w:val="00991526"/>
    <w:rPr>
      <w:color w:val="000000" w:themeColor="text1"/>
      <w:sz w:val="17"/>
      <w:szCs w:val="17"/>
    </w:rPr>
  </w:style>
  <w:style w:type="paragraph" w:styleId="Title">
    <w:name w:val="Title"/>
    <w:basedOn w:val="Normal"/>
    <w:next w:val="Normal"/>
    <w:link w:val="TitleChar"/>
    <w:uiPriority w:val="10"/>
    <w:qFormat/>
    <w:rsid w:val="0050749F"/>
    <w:pPr>
      <w:spacing w:before="4600" w:after="240" w:line="252" w:lineRule="auto"/>
    </w:pPr>
    <w:rPr>
      <w:rFonts w:asciiTheme="majorHAnsi" w:eastAsiaTheme="majorEastAsia" w:hAnsiTheme="majorHAnsi" w:cstheme="majorBidi"/>
      <w:b/>
      <w:color w:val="4B0885" w:themeColor="text2"/>
      <w:spacing w:val="-2"/>
      <w:kern w:val="28"/>
      <w:sz w:val="80"/>
      <w:szCs w:val="80"/>
    </w:rPr>
  </w:style>
  <w:style w:type="character" w:customStyle="1" w:styleId="TitleChar">
    <w:name w:val="Title Char"/>
    <w:basedOn w:val="DefaultParagraphFont"/>
    <w:link w:val="Title"/>
    <w:uiPriority w:val="10"/>
    <w:rsid w:val="0050749F"/>
    <w:rPr>
      <w:rFonts w:asciiTheme="majorHAnsi" w:eastAsiaTheme="majorEastAsia" w:hAnsiTheme="majorHAnsi" w:cstheme="majorBidi"/>
      <w:b/>
      <w:color w:val="4B0885" w:themeColor="text2"/>
      <w:spacing w:val="-2"/>
      <w:kern w:val="28"/>
      <w:sz w:val="80"/>
      <w:szCs w:val="80"/>
    </w:rPr>
  </w:style>
  <w:style w:type="character" w:customStyle="1" w:styleId="Heading1Char">
    <w:name w:val="Heading 1 Char"/>
    <w:basedOn w:val="DefaultParagraphFont"/>
    <w:link w:val="Heading1"/>
    <w:uiPriority w:val="9"/>
    <w:rsid w:val="00A06692"/>
    <w:rPr>
      <w:rFonts w:ascii="Arial" w:eastAsiaTheme="majorEastAsia" w:hAnsi="Arial" w:cstheme="majorBidi"/>
      <w:b/>
      <w:color w:val="4B0885" w:themeColor="text2"/>
      <w:sz w:val="56"/>
      <w:szCs w:val="32"/>
    </w:rPr>
  </w:style>
  <w:style w:type="paragraph" w:styleId="TOCHeading">
    <w:name w:val="TOC Heading"/>
    <w:basedOn w:val="Heading1"/>
    <w:next w:val="Normal"/>
    <w:uiPriority w:val="39"/>
    <w:unhideWhenUsed/>
    <w:qFormat/>
    <w:rsid w:val="007177A7"/>
    <w:pPr>
      <w:outlineLvl w:val="9"/>
    </w:pPr>
    <w:rPr>
      <w:lang w:val="en-US"/>
    </w:rPr>
  </w:style>
  <w:style w:type="paragraph" w:styleId="ListParagraph">
    <w:name w:val="List Paragraph"/>
    <w:aliases w:val="Bullet Point"/>
    <w:basedOn w:val="Normal"/>
    <w:link w:val="ListParagraphChar"/>
    <w:uiPriority w:val="34"/>
    <w:qFormat/>
    <w:rsid w:val="00761118"/>
    <w:pPr>
      <w:numPr>
        <w:numId w:val="43"/>
      </w:numPr>
      <w:ind w:left="357" w:hanging="357"/>
      <w:contextualSpacing/>
    </w:pPr>
  </w:style>
  <w:style w:type="table" w:styleId="TableGrid">
    <w:name w:val="Table Grid"/>
    <w:basedOn w:val="TableNormal"/>
    <w:uiPriority w:val="39"/>
    <w:rsid w:val="00F43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7DBD"/>
    <w:rPr>
      <w:sz w:val="16"/>
      <w:szCs w:val="16"/>
    </w:rPr>
  </w:style>
  <w:style w:type="paragraph" w:styleId="CommentText">
    <w:name w:val="annotation text"/>
    <w:basedOn w:val="Normal"/>
    <w:link w:val="CommentTextChar"/>
    <w:uiPriority w:val="99"/>
    <w:unhideWhenUsed/>
    <w:rsid w:val="007F7DBD"/>
    <w:pPr>
      <w:spacing w:line="240" w:lineRule="auto"/>
    </w:pPr>
    <w:rPr>
      <w:sz w:val="20"/>
      <w:szCs w:val="20"/>
    </w:rPr>
  </w:style>
  <w:style w:type="character" w:customStyle="1" w:styleId="CommentTextChar">
    <w:name w:val="Comment Text Char"/>
    <w:basedOn w:val="DefaultParagraphFont"/>
    <w:link w:val="CommentText"/>
    <w:uiPriority w:val="99"/>
    <w:rsid w:val="007F7DBD"/>
    <w:rPr>
      <w:sz w:val="20"/>
      <w:szCs w:val="20"/>
    </w:rPr>
  </w:style>
  <w:style w:type="paragraph" w:styleId="CommentSubject">
    <w:name w:val="annotation subject"/>
    <w:basedOn w:val="CommentText"/>
    <w:next w:val="CommentText"/>
    <w:link w:val="CommentSubjectChar"/>
    <w:uiPriority w:val="99"/>
    <w:semiHidden/>
    <w:unhideWhenUsed/>
    <w:rsid w:val="007F7DBD"/>
    <w:rPr>
      <w:b/>
      <w:bCs/>
    </w:rPr>
  </w:style>
  <w:style w:type="character" w:customStyle="1" w:styleId="CommentSubjectChar">
    <w:name w:val="Comment Subject Char"/>
    <w:basedOn w:val="CommentTextChar"/>
    <w:link w:val="CommentSubject"/>
    <w:uiPriority w:val="99"/>
    <w:semiHidden/>
    <w:rsid w:val="007F7DBD"/>
    <w:rPr>
      <w:b/>
      <w:bCs/>
      <w:sz w:val="20"/>
      <w:szCs w:val="20"/>
    </w:rPr>
  </w:style>
  <w:style w:type="paragraph" w:styleId="NoSpacing">
    <w:name w:val="No Spacing"/>
    <w:uiPriority w:val="1"/>
    <w:qFormat/>
    <w:rsid w:val="006C282B"/>
    <w:pPr>
      <w:spacing w:after="0" w:line="240" w:lineRule="auto"/>
    </w:pPr>
    <w:rPr>
      <w:rFonts w:ascii="Arial" w:hAnsi="Arial"/>
    </w:rPr>
  </w:style>
  <w:style w:type="table" w:styleId="PlainTable4">
    <w:name w:val="Plain Table 4"/>
    <w:basedOn w:val="TableNormal"/>
    <w:uiPriority w:val="44"/>
    <w:rsid w:val="006066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Bullet">
    <w:name w:val="List Bullet"/>
    <w:basedOn w:val="Normal"/>
    <w:qFormat/>
    <w:rsid w:val="006C282B"/>
    <w:pPr>
      <w:numPr>
        <w:numId w:val="1"/>
      </w:numPr>
      <w:spacing w:after="120"/>
      <w:ind w:left="284" w:hanging="284"/>
    </w:pPr>
    <w:rPr>
      <w:rFonts w:eastAsia="SimSun" w:cs="Times New Roman"/>
      <w:spacing w:val="-1"/>
      <w:szCs w:val="20"/>
      <w:lang w:val="en-GB" w:eastAsia="en-GB"/>
    </w:rPr>
  </w:style>
  <w:style w:type="character" w:customStyle="1" w:styleId="Heading2Char">
    <w:name w:val="Heading 2 Char"/>
    <w:basedOn w:val="DefaultParagraphFont"/>
    <w:link w:val="Heading2"/>
    <w:uiPriority w:val="9"/>
    <w:rsid w:val="00761118"/>
    <w:rPr>
      <w:rFonts w:ascii="Arial" w:eastAsiaTheme="majorEastAsia" w:hAnsi="Arial" w:cstheme="majorBidi"/>
      <w:b/>
      <w:sz w:val="32"/>
      <w:szCs w:val="26"/>
    </w:rPr>
  </w:style>
  <w:style w:type="paragraph" w:styleId="TOC1">
    <w:name w:val="toc 1"/>
    <w:basedOn w:val="Normal"/>
    <w:next w:val="Normal"/>
    <w:uiPriority w:val="39"/>
    <w:unhideWhenUsed/>
    <w:rsid w:val="00A3043E"/>
    <w:rPr>
      <w:b/>
      <w:color w:val="4B0885" w:themeColor="text2"/>
    </w:rPr>
  </w:style>
  <w:style w:type="character" w:customStyle="1" w:styleId="Heading3Char">
    <w:name w:val="Heading 3 Char"/>
    <w:basedOn w:val="DefaultParagraphFont"/>
    <w:link w:val="Heading3"/>
    <w:uiPriority w:val="9"/>
    <w:rsid w:val="00761118"/>
    <w:rPr>
      <w:rFonts w:ascii="Arial" w:eastAsiaTheme="majorEastAsia" w:hAnsi="Arial" w:cstheme="majorBidi"/>
      <w:b/>
      <w:color w:val="4B0885" w:themeColor="text2"/>
      <w:sz w:val="26"/>
      <w:szCs w:val="24"/>
    </w:rPr>
  </w:style>
  <w:style w:type="paragraph" w:styleId="TOC2">
    <w:name w:val="toc 2"/>
    <w:basedOn w:val="Normal"/>
    <w:next w:val="Normal"/>
    <w:uiPriority w:val="39"/>
    <w:unhideWhenUsed/>
    <w:rsid w:val="00233A75"/>
    <w:pPr>
      <w:ind w:left="227"/>
    </w:pPr>
  </w:style>
  <w:style w:type="paragraph" w:styleId="TOC4">
    <w:name w:val="toc 4"/>
    <w:basedOn w:val="Normal"/>
    <w:next w:val="Normal"/>
    <w:autoRedefine/>
    <w:uiPriority w:val="39"/>
    <w:unhideWhenUsed/>
    <w:rsid w:val="007B2AD6"/>
    <w:pPr>
      <w:tabs>
        <w:tab w:val="right" w:leader="dot" w:pos="9016"/>
      </w:tabs>
      <w:ind w:left="220"/>
    </w:pPr>
  </w:style>
  <w:style w:type="paragraph" w:styleId="TOC3">
    <w:name w:val="toc 3"/>
    <w:basedOn w:val="Normal"/>
    <w:next w:val="Normal"/>
    <w:uiPriority w:val="39"/>
    <w:unhideWhenUsed/>
    <w:rsid w:val="00233A75"/>
    <w:pPr>
      <w:tabs>
        <w:tab w:val="right" w:leader="dot" w:pos="9016"/>
      </w:tabs>
      <w:ind w:left="454"/>
    </w:pPr>
  </w:style>
  <w:style w:type="paragraph" w:styleId="TOC5">
    <w:name w:val="toc 5"/>
    <w:basedOn w:val="Normal"/>
    <w:next w:val="Normal"/>
    <w:autoRedefine/>
    <w:uiPriority w:val="39"/>
    <w:unhideWhenUsed/>
    <w:rsid w:val="007B2AD6"/>
    <w:pPr>
      <w:tabs>
        <w:tab w:val="right" w:leader="dot" w:pos="9016"/>
      </w:tabs>
      <w:ind w:left="220"/>
    </w:pPr>
  </w:style>
  <w:style w:type="character" w:styleId="Hyperlink">
    <w:name w:val="Hyperlink"/>
    <w:basedOn w:val="DefaultParagraphFont"/>
    <w:uiPriority w:val="99"/>
    <w:unhideWhenUsed/>
    <w:rsid w:val="00A93DF6"/>
    <w:rPr>
      <w:color w:val="013D74" w:themeColor="hyperlink"/>
      <w:u w:val="single"/>
    </w:rPr>
  </w:style>
  <w:style w:type="paragraph" w:styleId="ListBullet2">
    <w:name w:val="List Bullet 2"/>
    <w:basedOn w:val="Normal"/>
    <w:qFormat/>
    <w:rsid w:val="006C282B"/>
    <w:pPr>
      <w:numPr>
        <w:ilvl w:val="1"/>
        <w:numId w:val="1"/>
      </w:numPr>
      <w:spacing w:after="110"/>
      <w:ind w:left="568" w:hanging="284"/>
    </w:pPr>
    <w:rPr>
      <w:rFonts w:eastAsia="SimSun" w:cs="Times New Roman"/>
      <w:spacing w:val="-1"/>
      <w:szCs w:val="20"/>
      <w:lang w:val="en-GB" w:eastAsia="en-GB"/>
    </w:rPr>
  </w:style>
  <w:style w:type="paragraph" w:styleId="ListBullet3">
    <w:name w:val="List Bullet 3"/>
    <w:basedOn w:val="Normal"/>
    <w:rsid w:val="00BE68F3"/>
    <w:pPr>
      <w:numPr>
        <w:ilvl w:val="2"/>
        <w:numId w:val="1"/>
      </w:numPr>
      <w:spacing w:line="240" w:lineRule="atLeast"/>
    </w:pPr>
    <w:rPr>
      <w:rFonts w:eastAsia="SimSun" w:cs="Times New Roman"/>
      <w:spacing w:val="-1"/>
      <w:szCs w:val="20"/>
      <w:lang w:val="en-GB" w:eastAsia="en-GB"/>
    </w:rPr>
  </w:style>
  <w:style w:type="paragraph" w:styleId="ListBullet4">
    <w:name w:val="List Bullet 4"/>
    <w:basedOn w:val="ListBullet3"/>
    <w:semiHidden/>
    <w:rsid w:val="00597EF7"/>
    <w:pPr>
      <w:numPr>
        <w:ilvl w:val="3"/>
      </w:numPr>
    </w:pPr>
  </w:style>
  <w:style w:type="character" w:customStyle="1" w:styleId="Heading4Char">
    <w:name w:val="Heading 4 Char"/>
    <w:basedOn w:val="DefaultParagraphFont"/>
    <w:link w:val="Heading4"/>
    <w:uiPriority w:val="9"/>
    <w:rsid w:val="00107680"/>
    <w:rPr>
      <w:rFonts w:ascii="Arial" w:hAnsi="Arial" w:cs="Arial"/>
      <w:b/>
      <w:bCs/>
      <w:color w:val="012749" w:themeColor="accent3"/>
    </w:rPr>
  </w:style>
  <w:style w:type="character" w:customStyle="1" w:styleId="Heading5Char">
    <w:name w:val="Heading 5 Char"/>
    <w:basedOn w:val="DefaultParagraphFont"/>
    <w:link w:val="Heading5"/>
    <w:uiPriority w:val="9"/>
    <w:rsid w:val="005D2F87"/>
    <w:rPr>
      <w:rFonts w:ascii="Arial" w:hAnsi="Arial" w:cs="Arial"/>
      <w:color w:val="4B0885" w:themeColor="text2"/>
      <w:szCs w:val="19"/>
    </w:rPr>
  </w:style>
  <w:style w:type="character" w:customStyle="1" w:styleId="Heading6Char">
    <w:name w:val="Heading 6 Char"/>
    <w:basedOn w:val="DefaultParagraphFont"/>
    <w:link w:val="Heading6"/>
    <w:uiPriority w:val="9"/>
    <w:rsid w:val="00D12938"/>
    <w:rPr>
      <w:rFonts w:ascii="Arial" w:eastAsiaTheme="majorEastAsia" w:hAnsi="Arial" w:cstheme="majorBidi"/>
      <w:color w:val="341461" w:themeColor="accent1" w:themeShade="7F"/>
    </w:rPr>
  </w:style>
  <w:style w:type="character" w:customStyle="1" w:styleId="Heading7Char">
    <w:name w:val="Heading 7 Char"/>
    <w:basedOn w:val="DefaultParagraphFont"/>
    <w:link w:val="Heading7"/>
    <w:uiPriority w:val="9"/>
    <w:rsid w:val="00642A9A"/>
    <w:rPr>
      <w:rFonts w:asciiTheme="majorHAnsi" w:eastAsiaTheme="majorEastAsia" w:hAnsiTheme="majorHAnsi" w:cstheme="majorBidi"/>
      <w:i/>
      <w:iCs/>
      <w:color w:val="341461" w:themeColor="accent1" w:themeShade="7F"/>
    </w:rPr>
  </w:style>
  <w:style w:type="paragraph" w:styleId="Header">
    <w:name w:val="header"/>
    <w:basedOn w:val="Normal"/>
    <w:link w:val="HeaderChar"/>
    <w:uiPriority w:val="99"/>
    <w:unhideWhenUsed/>
    <w:rsid w:val="00C40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E20"/>
    <w:rPr>
      <w:rFonts w:ascii="Arial" w:hAnsi="Arial"/>
      <w:color w:val="000000" w:themeColor="text1"/>
    </w:rPr>
  </w:style>
  <w:style w:type="paragraph" w:styleId="Caption">
    <w:name w:val="caption"/>
    <w:basedOn w:val="Normal"/>
    <w:next w:val="Normal"/>
    <w:uiPriority w:val="35"/>
    <w:unhideWhenUsed/>
    <w:qFormat/>
    <w:rsid w:val="00642A9A"/>
    <w:pPr>
      <w:keepNext/>
      <w:spacing w:before="320" w:after="200" w:line="240" w:lineRule="auto"/>
    </w:pPr>
    <w:rPr>
      <w:b/>
      <w:bCs/>
      <w:sz w:val="18"/>
      <w:szCs w:val="18"/>
    </w:rPr>
  </w:style>
  <w:style w:type="paragraph" w:styleId="Subtitle">
    <w:name w:val="Subtitle"/>
    <w:basedOn w:val="Normal"/>
    <w:next w:val="Normal"/>
    <w:link w:val="SubtitleChar"/>
    <w:uiPriority w:val="11"/>
    <w:qFormat/>
    <w:rsid w:val="00DA0CB6"/>
    <w:pPr>
      <w:numPr>
        <w:ilvl w:val="1"/>
      </w:numPr>
      <w:spacing w:before="480" w:after="160"/>
    </w:pPr>
    <w:rPr>
      <w:rFonts w:asciiTheme="majorHAnsi" w:eastAsiaTheme="minorEastAsia" w:hAnsiTheme="majorHAnsi"/>
      <w:color w:val="4B0885" w:themeColor="text2"/>
      <w:sz w:val="48"/>
      <w:szCs w:val="48"/>
    </w:rPr>
  </w:style>
  <w:style w:type="character" w:customStyle="1" w:styleId="SubtitleChar">
    <w:name w:val="Subtitle Char"/>
    <w:basedOn w:val="DefaultParagraphFont"/>
    <w:link w:val="Subtitle"/>
    <w:uiPriority w:val="11"/>
    <w:rsid w:val="00DA0CB6"/>
    <w:rPr>
      <w:rFonts w:asciiTheme="majorHAnsi" w:eastAsiaTheme="minorEastAsia" w:hAnsiTheme="majorHAnsi"/>
      <w:color w:val="4B0885" w:themeColor="text2"/>
      <w:sz w:val="48"/>
      <w:szCs w:val="48"/>
    </w:rPr>
  </w:style>
  <w:style w:type="paragraph" w:customStyle="1" w:styleId="Spacer">
    <w:name w:val="Spacer"/>
    <w:basedOn w:val="NoSpacing"/>
    <w:qFormat/>
    <w:rsid w:val="00506CD7"/>
    <w:pPr>
      <w:tabs>
        <w:tab w:val="left" w:pos="2906"/>
      </w:tabs>
    </w:pPr>
    <w:rPr>
      <w:rFonts w:ascii="Times New Roman" w:hAnsi="Times New Roman" w:cs="Times New Roman"/>
      <w:bCs/>
      <w:noProof/>
      <w:color w:val="E55493" w:themeColor="accent6" w:themeTint="99"/>
      <w:spacing w:val="-5"/>
      <w:sz w:val="6"/>
      <w:szCs w:val="23"/>
    </w:rPr>
  </w:style>
  <w:style w:type="character" w:styleId="PlaceholderText">
    <w:name w:val="Placeholder Text"/>
    <w:basedOn w:val="DefaultParagraphFont"/>
    <w:uiPriority w:val="99"/>
    <w:semiHidden/>
    <w:rsid w:val="00C6447C"/>
    <w:rPr>
      <w:color w:val="808080"/>
    </w:rPr>
  </w:style>
  <w:style w:type="paragraph" w:customStyle="1" w:styleId="Source">
    <w:name w:val="Source"/>
    <w:basedOn w:val="Normal"/>
    <w:next w:val="Normal"/>
    <w:uiPriority w:val="17"/>
    <w:qFormat/>
    <w:rsid w:val="00AF2783"/>
    <w:pPr>
      <w:spacing w:before="120" w:after="120"/>
    </w:pPr>
    <w:rPr>
      <w:sz w:val="18"/>
      <w:szCs w:val="18"/>
    </w:rPr>
  </w:style>
  <w:style w:type="paragraph" w:styleId="MacroText">
    <w:name w:val="macro"/>
    <w:link w:val="MacroTextChar"/>
    <w:uiPriority w:val="99"/>
    <w:unhideWhenUsed/>
    <w:rsid w:val="00AF278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uiPriority w:val="99"/>
    <w:rsid w:val="00AF2783"/>
    <w:rPr>
      <w:rFonts w:ascii="Consolas" w:hAnsi="Consolas"/>
      <w:sz w:val="20"/>
      <w:szCs w:val="20"/>
    </w:rPr>
  </w:style>
  <w:style w:type="table" w:customStyle="1" w:styleId="JSATable1">
    <w:name w:val="JSA Table 1"/>
    <w:basedOn w:val="TableNormal"/>
    <w:uiPriority w:val="99"/>
    <w:rsid w:val="00D73EA4"/>
    <w:pPr>
      <w:spacing w:after="0" w:line="240" w:lineRule="auto"/>
    </w:pPr>
    <w:tblPr>
      <w:tblStyleRowBandSize w:val="1"/>
      <w:tblBorders>
        <w:bottom w:val="single" w:sz="4" w:space="0" w:color="4B0885"/>
      </w:tblBorders>
    </w:tblPr>
    <w:tblStylePr w:type="firstRow">
      <w:tblPr/>
      <w:tcPr>
        <w:shd w:val="clear" w:color="auto" w:fill="2F005F"/>
      </w:tcPr>
    </w:tblStylePr>
    <w:tblStylePr w:type="band2Horz">
      <w:tblPr/>
      <w:tcPr>
        <w:shd w:val="clear" w:color="auto" w:fill="E6E6E6"/>
      </w:tcPr>
    </w:tblStylePr>
  </w:style>
  <w:style w:type="table" w:customStyle="1" w:styleId="JSATable2">
    <w:name w:val="JSA Table 2"/>
    <w:basedOn w:val="TableNormal"/>
    <w:uiPriority w:val="99"/>
    <w:rsid w:val="00A74E0F"/>
    <w:pPr>
      <w:spacing w:after="0" w:line="240" w:lineRule="auto"/>
    </w:pPr>
    <w:tblPr>
      <w:tblStyleRowBandSize w:val="1"/>
      <w:tblBorders>
        <w:bottom w:val="single" w:sz="4" w:space="0" w:color="A584C2"/>
      </w:tblBorders>
    </w:tblPr>
    <w:tblStylePr w:type="firstRow">
      <w:rPr>
        <w:rFonts w:asciiTheme="majorHAnsi" w:hAnsiTheme="majorHAnsi"/>
        <w:color w:val="FFFFFF" w:themeColor="background1"/>
        <w:sz w:val="22"/>
      </w:rPr>
      <w:tblPr/>
      <w:tcPr>
        <w:shd w:val="clear" w:color="auto" w:fill="012749" w:themeFill="accent3"/>
      </w:tcPr>
    </w:tblStylePr>
    <w:tblStylePr w:type="band2Horz">
      <w:tblPr/>
      <w:tcPr>
        <w:shd w:val="clear" w:color="auto" w:fill="E6E6E6"/>
      </w:tcPr>
    </w:tblStylePr>
  </w:style>
  <w:style w:type="paragraph" w:styleId="Index7">
    <w:name w:val="index 7"/>
    <w:basedOn w:val="Normal"/>
    <w:next w:val="Normal"/>
    <w:autoRedefine/>
    <w:uiPriority w:val="99"/>
    <w:semiHidden/>
    <w:unhideWhenUsed/>
    <w:rsid w:val="00244550"/>
    <w:pPr>
      <w:spacing w:before="240" w:after="0" w:line="240" w:lineRule="auto"/>
      <w:ind w:left="1542" w:hanging="221"/>
    </w:pPr>
  </w:style>
  <w:style w:type="character" w:customStyle="1" w:styleId="Heading8Char">
    <w:name w:val="Heading 8 Char"/>
    <w:basedOn w:val="DefaultParagraphFont"/>
    <w:link w:val="Heading8"/>
    <w:uiPriority w:val="9"/>
    <w:semiHidden/>
    <w:rsid w:val="00642A9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42A9A"/>
    <w:rPr>
      <w:rFonts w:asciiTheme="majorHAnsi" w:eastAsiaTheme="majorEastAsia" w:hAnsiTheme="majorHAnsi" w:cstheme="majorBidi"/>
      <w:i/>
      <w:iCs/>
      <w:color w:val="272727" w:themeColor="text1" w:themeTint="D8"/>
      <w:sz w:val="21"/>
      <w:szCs w:val="21"/>
    </w:rPr>
  </w:style>
  <w:style w:type="character" w:customStyle="1" w:styleId="StrongandEmphasis">
    <w:name w:val="Strong and Emphasis"/>
    <w:basedOn w:val="DefaultParagraphFont"/>
    <w:uiPriority w:val="1"/>
    <w:qFormat/>
    <w:rsid w:val="00D12938"/>
    <w:rPr>
      <w:rFonts w:ascii="Arial" w:hAnsi="Arial"/>
      <w:b/>
      <w:i/>
      <w:sz w:val="22"/>
    </w:rPr>
  </w:style>
  <w:style w:type="character" w:styleId="Emphasis">
    <w:name w:val="Emphasis"/>
    <w:basedOn w:val="DefaultParagraphFont"/>
    <w:uiPriority w:val="20"/>
    <w:qFormat/>
    <w:rsid w:val="002927DB"/>
    <w:rPr>
      <w:rFonts w:ascii="Arial" w:hAnsi="Arial"/>
      <w:i/>
      <w:iCs/>
      <w:sz w:val="22"/>
    </w:rPr>
  </w:style>
  <w:style w:type="character" w:styleId="Strong">
    <w:name w:val="Strong"/>
    <w:basedOn w:val="DefaultParagraphFont"/>
    <w:uiPriority w:val="22"/>
    <w:qFormat/>
    <w:rsid w:val="00DB0916"/>
    <w:rPr>
      <w:rFonts w:ascii="Arial" w:hAnsi="Arial"/>
      <w:b/>
      <w:bCs/>
      <w:sz w:val="22"/>
    </w:rPr>
  </w:style>
  <w:style w:type="paragraph" w:styleId="Quote">
    <w:name w:val="Quote"/>
    <w:basedOn w:val="Normal"/>
    <w:next w:val="Normal"/>
    <w:link w:val="QuoteChar"/>
    <w:uiPriority w:val="29"/>
    <w:qFormat/>
    <w:rsid w:val="00DB09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B0916"/>
    <w:rPr>
      <w:rFonts w:ascii="Arial" w:hAnsi="Arial"/>
      <w:i/>
      <w:iCs/>
      <w:color w:val="404040" w:themeColor="text1" w:themeTint="BF"/>
    </w:rPr>
  </w:style>
  <w:style w:type="character" w:styleId="IntenseEmphasis">
    <w:name w:val="Intense Emphasis"/>
    <w:basedOn w:val="DefaultParagraphFont"/>
    <w:uiPriority w:val="21"/>
    <w:qFormat/>
    <w:rsid w:val="00AC2606"/>
    <w:rPr>
      <w:i/>
      <w:iCs/>
      <w:color w:val="4E1E92" w:themeColor="accent1" w:themeShade="BF"/>
    </w:rPr>
  </w:style>
  <w:style w:type="paragraph" w:styleId="IntenseQuote">
    <w:name w:val="Intense Quote"/>
    <w:basedOn w:val="Normal"/>
    <w:next w:val="Normal"/>
    <w:link w:val="IntenseQuoteChar"/>
    <w:uiPriority w:val="30"/>
    <w:qFormat/>
    <w:rsid w:val="00293C51"/>
    <w:pPr>
      <w:pBdr>
        <w:top w:val="single" w:sz="4" w:space="10" w:color="4E1E92" w:themeColor="accent1" w:themeShade="BF"/>
        <w:bottom w:val="single" w:sz="4" w:space="10" w:color="4E1E92" w:themeColor="accent1" w:themeShade="BF"/>
      </w:pBdr>
      <w:spacing w:before="360" w:after="360" w:line="259" w:lineRule="auto"/>
      <w:ind w:left="864" w:right="864"/>
      <w:jc w:val="center"/>
    </w:pPr>
    <w:rPr>
      <w:rFonts w:asciiTheme="minorHAnsi" w:hAnsiTheme="minorHAnsi"/>
      <w:i/>
      <w:iCs/>
      <w:color w:val="4E1E92"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293C51"/>
    <w:rPr>
      <w:i/>
      <w:iCs/>
      <w:color w:val="4E1E92" w:themeColor="accent1" w:themeShade="BF"/>
      <w:kern w:val="2"/>
      <w:sz w:val="24"/>
      <w14:ligatures w14:val="standardContextual"/>
    </w:rPr>
  </w:style>
  <w:style w:type="character" w:styleId="IntenseReference">
    <w:name w:val="Intense Reference"/>
    <w:basedOn w:val="DefaultParagraphFont"/>
    <w:uiPriority w:val="32"/>
    <w:qFormat/>
    <w:rsid w:val="00AC2606"/>
    <w:rPr>
      <w:b/>
      <w:bCs/>
      <w:smallCaps/>
      <w:color w:val="4E1E92" w:themeColor="accent1" w:themeShade="BF"/>
      <w:spacing w:val="5"/>
    </w:rPr>
  </w:style>
  <w:style w:type="paragraph" w:customStyle="1" w:styleId="ChartorTableNote">
    <w:name w:val="Chart or Table Note"/>
    <w:basedOn w:val="Normal"/>
    <w:rsid w:val="008C1832"/>
    <w:pPr>
      <w:spacing w:before="120" w:after="120"/>
    </w:pPr>
    <w:rPr>
      <w:rFonts w:cs="Arial"/>
      <w:sz w:val="18"/>
      <w:szCs w:val="18"/>
      <w:lang w:val="en-US"/>
    </w:rPr>
  </w:style>
  <w:style w:type="paragraph" w:customStyle="1" w:styleId="BoxHeadingBox11">
    <w:name w:val="Box Heading Box 1.1"/>
    <w:basedOn w:val="Normal"/>
    <w:next w:val="Normal"/>
    <w:rsid w:val="00AC2606"/>
    <w:pPr>
      <w:keepNext/>
      <w:numPr>
        <w:ilvl w:val="5"/>
        <w:numId w:val="9"/>
      </w:numPr>
      <w:spacing w:before="240" w:after="120" w:line="240" w:lineRule="auto"/>
      <w:ind w:left="0" w:firstLine="0"/>
    </w:pPr>
    <w:rPr>
      <w:rFonts w:ascii="Calibri Light" w:eastAsia="Times New Roman" w:hAnsi="Calibri Light" w:cs="Times New Roman"/>
      <w:b/>
      <w:bCs/>
      <w:color w:val="6929C4" w:themeColor="accent1"/>
      <w:kern w:val="18"/>
      <w:sz w:val="26"/>
      <w:szCs w:val="26"/>
    </w:rPr>
  </w:style>
  <w:style w:type="paragraph" w:customStyle="1" w:styleId="ChartMainHeading">
    <w:name w:val="Chart Main Heading"/>
    <w:basedOn w:val="TableMainHeading"/>
    <w:next w:val="Normal"/>
    <w:rsid w:val="00AC2606"/>
    <w:pPr>
      <w:numPr>
        <w:ilvl w:val="7"/>
      </w:numPr>
      <w:ind w:left="0" w:firstLine="0"/>
    </w:pPr>
  </w:style>
  <w:style w:type="paragraph" w:customStyle="1" w:styleId="TableMainHeading">
    <w:name w:val="Table Main Heading"/>
    <w:basedOn w:val="Normal"/>
    <w:next w:val="Normal"/>
    <w:rsid w:val="00AC2606"/>
    <w:pPr>
      <w:keepNext/>
      <w:numPr>
        <w:ilvl w:val="8"/>
        <w:numId w:val="9"/>
      </w:numPr>
      <w:pBdr>
        <w:top w:val="single" w:sz="12" w:space="3" w:color="6929C4" w:themeColor="accent1"/>
      </w:pBdr>
      <w:spacing w:before="360" w:after="120" w:line="240" w:lineRule="auto"/>
      <w:outlineLvl w:val="3"/>
    </w:pPr>
    <w:rPr>
      <w:rFonts w:ascii="Calibri Light" w:eastAsia="Times New Roman" w:hAnsi="Calibri Light" w:cs="Times New Roman"/>
      <w:b/>
      <w:color w:val="6929C4" w:themeColor="accent1"/>
      <w:kern w:val="18"/>
      <w:sz w:val="24"/>
      <w:szCs w:val="20"/>
      <w:lang w:eastAsia="en-AU"/>
    </w:rPr>
  </w:style>
  <w:style w:type="paragraph" w:customStyle="1" w:styleId="Heading1Numbered">
    <w:name w:val="Heading 1 Numbered"/>
    <w:basedOn w:val="Heading1"/>
    <w:next w:val="Normal"/>
    <w:qFormat/>
    <w:rsid w:val="00AC2606"/>
    <w:pPr>
      <w:keepLines w:val="0"/>
      <w:numPr>
        <w:numId w:val="9"/>
      </w:numPr>
      <w:tabs>
        <w:tab w:val="num" w:pos="360"/>
      </w:tabs>
      <w:spacing w:before="360" w:after="480" w:line="520" w:lineRule="exact"/>
      <w:ind w:left="0" w:firstLine="0"/>
    </w:pPr>
    <w:rPr>
      <w:rFonts w:ascii="Calibri" w:eastAsia="Times New Roman" w:hAnsi="Calibri" w:cs="Arial"/>
      <w:color w:val="012749" w:themeColor="accent3"/>
      <w:kern w:val="32"/>
      <w:sz w:val="48"/>
      <w:szCs w:val="36"/>
      <w:lang w:eastAsia="en-AU"/>
    </w:rPr>
  </w:style>
  <w:style w:type="paragraph" w:customStyle="1" w:styleId="Heading2Numbered">
    <w:name w:val="Heading 2 Numbered"/>
    <w:basedOn w:val="Heading2"/>
    <w:next w:val="Normal"/>
    <w:qFormat/>
    <w:rsid w:val="00AC2606"/>
    <w:pPr>
      <w:keepLines w:val="0"/>
      <w:numPr>
        <w:ilvl w:val="1"/>
        <w:numId w:val="9"/>
      </w:numPr>
      <w:tabs>
        <w:tab w:val="num" w:pos="360"/>
      </w:tabs>
      <w:spacing w:before="480" w:after="240" w:line="240" w:lineRule="auto"/>
      <w:ind w:left="0" w:firstLine="0"/>
    </w:pPr>
    <w:rPr>
      <w:rFonts w:ascii="Calibri" w:eastAsia="Times New Roman" w:hAnsi="Calibri" w:cs="Arial"/>
      <w:b w:val="0"/>
      <w:iCs/>
      <w:color w:val="2C384A"/>
      <w:kern w:val="32"/>
      <w:sz w:val="36"/>
      <w:szCs w:val="28"/>
      <w:lang w:eastAsia="en-AU"/>
    </w:rPr>
  </w:style>
  <w:style w:type="paragraph" w:customStyle="1" w:styleId="Heading3Numbered">
    <w:name w:val="Heading 3 Numbered"/>
    <w:basedOn w:val="Heading3"/>
    <w:rsid w:val="00AC2606"/>
    <w:pPr>
      <w:keepLines w:val="0"/>
      <w:numPr>
        <w:ilvl w:val="2"/>
        <w:numId w:val="9"/>
      </w:numPr>
      <w:tabs>
        <w:tab w:val="num" w:pos="360"/>
      </w:tabs>
      <w:spacing w:before="320" w:after="240" w:line="240" w:lineRule="auto"/>
      <w:ind w:left="0" w:firstLine="0"/>
    </w:pPr>
    <w:rPr>
      <w:rFonts w:ascii="Calibri" w:eastAsia="Times New Roman" w:hAnsi="Calibri" w:cs="Arial"/>
      <w:b w:val="0"/>
      <w:color w:val="009D9A" w:themeColor="accent2"/>
      <w:kern w:val="32"/>
      <w:sz w:val="32"/>
      <w:szCs w:val="26"/>
      <w:lang w:eastAsia="en-AU"/>
    </w:rPr>
  </w:style>
  <w:style w:type="paragraph" w:customStyle="1" w:styleId="Heading4Numbered">
    <w:name w:val="Heading 4 Numbered"/>
    <w:basedOn w:val="Heading4"/>
    <w:next w:val="Normal"/>
    <w:unhideWhenUsed/>
    <w:rsid w:val="00AC2606"/>
    <w:pPr>
      <w:keepNext/>
      <w:numPr>
        <w:ilvl w:val="3"/>
        <w:numId w:val="9"/>
      </w:numPr>
      <w:tabs>
        <w:tab w:val="num" w:pos="360"/>
      </w:tabs>
      <w:spacing w:after="120" w:line="240" w:lineRule="auto"/>
      <w:ind w:left="0" w:firstLine="0"/>
    </w:pPr>
    <w:rPr>
      <w:rFonts w:asciiTheme="majorHAnsi" w:eastAsia="Times New Roman" w:hAnsiTheme="majorHAnsi"/>
      <w:b w:val="0"/>
      <w:bCs w:val="0"/>
      <w:color w:val="6929C4" w:themeColor="accent1"/>
      <w:kern w:val="32"/>
      <w:sz w:val="28"/>
      <w:szCs w:val="26"/>
      <w:lang w:eastAsia="en-AU"/>
    </w:rPr>
  </w:style>
  <w:style w:type="paragraph" w:customStyle="1" w:styleId="Heading5Numbered">
    <w:name w:val="Heading 5 Numbered"/>
    <w:basedOn w:val="Heading5"/>
    <w:next w:val="Normal"/>
    <w:unhideWhenUsed/>
    <w:rsid w:val="00AC2606"/>
    <w:pPr>
      <w:keepNext/>
      <w:numPr>
        <w:ilvl w:val="4"/>
        <w:numId w:val="9"/>
      </w:numPr>
      <w:spacing w:before="180" w:after="120" w:line="240" w:lineRule="auto"/>
    </w:pPr>
    <w:rPr>
      <w:rFonts w:asciiTheme="majorHAnsi" w:eastAsia="Times New Roman" w:hAnsiTheme="majorHAnsi"/>
      <w:iCs/>
      <w:color w:val="009D9A" w:themeColor="accent2"/>
      <w:kern w:val="32"/>
      <w:sz w:val="24"/>
      <w:szCs w:val="36"/>
      <w:lang w:eastAsia="en-AU"/>
    </w:rPr>
  </w:style>
  <w:style w:type="paragraph" w:customStyle="1" w:styleId="FigureMainHeading">
    <w:name w:val="Figure Main Heading"/>
    <w:basedOn w:val="ChartMainHeading"/>
    <w:qFormat/>
    <w:rsid w:val="00AC2606"/>
    <w:pPr>
      <w:numPr>
        <w:ilvl w:val="6"/>
      </w:numPr>
    </w:pPr>
  </w:style>
  <w:style w:type="paragraph" w:styleId="NormalWeb">
    <w:name w:val="Normal (Web)"/>
    <w:basedOn w:val="Normal"/>
    <w:uiPriority w:val="99"/>
    <w:semiHidden/>
    <w:unhideWhenUsed/>
    <w:rsid w:val="00AC2606"/>
    <w:pPr>
      <w:spacing w:after="160" w:line="259" w:lineRule="auto"/>
    </w:pPr>
    <w:rPr>
      <w:rFonts w:ascii="Times New Roman" w:hAnsi="Times New Roman" w:cs="Times New Roman"/>
      <w:kern w:val="2"/>
      <w:sz w:val="24"/>
      <w:szCs w:val="24"/>
      <w14:ligatures w14:val="standardContextual"/>
    </w:rPr>
  </w:style>
  <w:style w:type="paragraph" w:styleId="Revision">
    <w:name w:val="Revision"/>
    <w:hidden/>
    <w:uiPriority w:val="99"/>
    <w:semiHidden/>
    <w:rsid w:val="00AC2606"/>
    <w:pPr>
      <w:spacing w:after="0" w:line="240" w:lineRule="auto"/>
    </w:pPr>
    <w:rPr>
      <w:kern w:val="2"/>
      <w14:ligatures w14:val="standardContextual"/>
    </w:rPr>
  </w:style>
  <w:style w:type="character" w:styleId="FootnoteReference">
    <w:name w:val="footnote reference"/>
    <w:aliases w:val="FC,(NECG) Footnote Reference,Footnote sign,Footnote sign1,EN Footnote Reference,number,SUPERS"/>
    <w:basedOn w:val="DefaultParagraphFont"/>
    <w:uiPriority w:val="99"/>
    <w:unhideWhenUsed/>
    <w:rsid w:val="00AC2606"/>
    <w:rPr>
      <w:vertAlign w:val="superscript"/>
    </w:rPr>
  </w:style>
  <w:style w:type="paragraph" w:customStyle="1" w:styleId="Footnote">
    <w:name w:val="Footnote"/>
    <w:basedOn w:val="FootnoteText"/>
    <w:link w:val="FootnoteChar"/>
    <w:qFormat/>
    <w:rsid w:val="00AC2606"/>
    <w:pPr>
      <w:spacing w:after="60"/>
      <w:ind w:left="170" w:hanging="170"/>
    </w:pPr>
    <w:rPr>
      <w:rFonts w:ascii="Arial" w:hAnsi="Arial"/>
      <w:kern w:val="0"/>
      <w:sz w:val="18"/>
      <w:szCs w:val="18"/>
      <w14:ligatures w14:val="none"/>
    </w:rPr>
  </w:style>
  <w:style w:type="character" w:customStyle="1" w:styleId="FootnoteChar">
    <w:name w:val="Footnote Char"/>
    <w:basedOn w:val="FootnoteTextChar"/>
    <w:link w:val="Footnote"/>
    <w:rsid w:val="00AC2606"/>
    <w:rPr>
      <w:kern w:val="2"/>
      <w:sz w:val="18"/>
      <w:szCs w:val="18"/>
      <w14:ligatures w14:val="standardContextual"/>
    </w:rPr>
  </w:style>
  <w:style w:type="paragraph" w:styleId="FootnoteText">
    <w:name w:val="footnote text"/>
    <w:aliases w:val="Footnote Text Char1 Char,Footnote Text Char Char1 Char,Footnote Text Char Char Char Char Char1,Footnote Text Char Char Char,Footnote Text Char Char Char Char"/>
    <w:basedOn w:val="Normal"/>
    <w:link w:val="FootnoteTextChar"/>
    <w:uiPriority w:val="99"/>
    <w:unhideWhenUsed/>
    <w:qFormat/>
    <w:rsid w:val="00AC2606"/>
    <w:pPr>
      <w:spacing w:after="0" w:line="240" w:lineRule="auto"/>
    </w:pPr>
    <w:rPr>
      <w:rFonts w:asciiTheme="minorHAnsi" w:hAnsiTheme="minorHAnsi"/>
      <w:kern w:val="2"/>
      <w:sz w:val="20"/>
      <w:szCs w:val="20"/>
      <w14:ligatures w14:val="standardContextual"/>
    </w:rPr>
  </w:style>
  <w:style w:type="character" w:customStyle="1" w:styleId="FootnoteTextChar">
    <w:name w:val="Footnote Text Char"/>
    <w:aliases w:val="Footnote Text Char1 Char Char,Footnote Text Char Char1 Char Char,Footnote Text Char Char Char Char Char1 Char,Footnote Text Char Char Char Char1,Footnote Text Char Char Char Char Char"/>
    <w:basedOn w:val="DefaultParagraphFont"/>
    <w:link w:val="FootnoteText"/>
    <w:uiPriority w:val="99"/>
    <w:rsid w:val="00AC2606"/>
    <w:rPr>
      <w:kern w:val="2"/>
      <w:sz w:val="20"/>
      <w:szCs w:val="20"/>
      <w14:ligatures w14:val="standardContextual"/>
    </w:rPr>
  </w:style>
  <w:style w:type="paragraph" w:customStyle="1" w:styleId="Chaptergap">
    <w:name w:val="Chapter gap"/>
    <w:basedOn w:val="Normal"/>
    <w:qFormat/>
    <w:rsid w:val="00A06692"/>
    <w:pPr>
      <w:spacing w:after="3400"/>
    </w:pPr>
  </w:style>
  <w:style w:type="character" w:customStyle="1" w:styleId="ListParagraphChar">
    <w:name w:val="List Paragraph Char"/>
    <w:aliases w:val="Bullet Point Char"/>
    <w:basedOn w:val="DefaultParagraphFont"/>
    <w:link w:val="ListParagraph"/>
    <w:uiPriority w:val="34"/>
    <w:qFormat/>
    <w:rsid w:val="00761118"/>
    <w:rPr>
      <w:rFonts w:ascii="Arial" w:hAnsi="Arial"/>
    </w:rPr>
  </w:style>
  <w:style w:type="character" w:styleId="Mention">
    <w:name w:val="Mention"/>
    <w:basedOn w:val="DefaultParagraphFont"/>
    <w:uiPriority w:val="99"/>
    <w:unhideWhenUsed/>
    <w:rsid w:val="00AC2606"/>
    <w:rPr>
      <w:color w:val="2B579A"/>
      <w:shd w:val="clear" w:color="auto" w:fill="E1DFDD"/>
    </w:rPr>
  </w:style>
  <w:style w:type="paragraph" w:styleId="ListContinue3">
    <w:name w:val="List Continue 3"/>
    <w:basedOn w:val="Normal"/>
    <w:uiPriority w:val="99"/>
    <w:unhideWhenUsed/>
    <w:rsid w:val="00A17C4D"/>
    <w:pPr>
      <w:spacing w:after="120"/>
      <w:ind w:left="849"/>
      <w:contextualSpacing/>
    </w:pPr>
  </w:style>
  <w:style w:type="paragraph" w:customStyle="1" w:styleId="ChartGraphic">
    <w:name w:val="Chart Graphic"/>
    <w:basedOn w:val="Normal"/>
    <w:next w:val="Normal"/>
    <w:link w:val="ChartGraphicChar"/>
    <w:rsid w:val="00AC2606"/>
    <w:pPr>
      <w:keepNext/>
      <w:spacing w:before="120" w:after="240" w:line="240" w:lineRule="auto"/>
      <w:jc w:val="center"/>
    </w:pPr>
    <w:rPr>
      <w:rFonts w:ascii="Calibri Light" w:eastAsia="Times New Roman" w:hAnsi="Calibri Light" w:cs="Times New Roman"/>
      <w:color w:val="009D9A" w:themeColor="accent2"/>
      <w:kern w:val="18"/>
      <w:sz w:val="20"/>
      <w:szCs w:val="20"/>
      <w:lang w:eastAsia="en-AU"/>
    </w:rPr>
  </w:style>
  <w:style w:type="character" w:customStyle="1" w:styleId="ChartGraphicChar">
    <w:name w:val="Chart Graphic Char"/>
    <w:basedOn w:val="DefaultParagraphFont"/>
    <w:link w:val="ChartGraphic"/>
    <w:rsid w:val="00AC2606"/>
    <w:rPr>
      <w:rFonts w:ascii="Calibri Light" w:eastAsia="Times New Roman" w:hAnsi="Calibri Light" w:cs="Times New Roman"/>
      <w:color w:val="009D9A" w:themeColor="accent2"/>
      <w:kern w:val="18"/>
      <w:sz w:val="20"/>
      <w:szCs w:val="20"/>
      <w:lang w:eastAsia="en-AU"/>
    </w:rPr>
  </w:style>
  <w:style w:type="paragraph" w:styleId="Bibliography">
    <w:name w:val="Bibliography"/>
    <w:basedOn w:val="Normal"/>
    <w:next w:val="Normal"/>
    <w:uiPriority w:val="37"/>
    <w:unhideWhenUsed/>
    <w:rsid w:val="00AC2606"/>
    <w:pPr>
      <w:spacing w:after="160" w:line="259" w:lineRule="auto"/>
    </w:pPr>
    <w:rPr>
      <w:rFonts w:asciiTheme="minorHAnsi" w:hAnsiTheme="minorHAnsi"/>
      <w:kern w:val="2"/>
      <w14:ligatures w14:val="standardContextual"/>
    </w:rPr>
  </w:style>
  <w:style w:type="paragraph" w:styleId="EndnoteText">
    <w:name w:val="endnote text"/>
    <w:basedOn w:val="Normal"/>
    <w:link w:val="EndnoteTextChar"/>
    <w:uiPriority w:val="99"/>
    <w:semiHidden/>
    <w:unhideWhenUsed/>
    <w:rsid w:val="00AC2606"/>
    <w:pPr>
      <w:spacing w:after="0" w:line="240" w:lineRule="auto"/>
    </w:pPr>
    <w:rPr>
      <w:rFonts w:asciiTheme="minorHAnsi" w:hAnsiTheme="minorHAnsi"/>
      <w:kern w:val="2"/>
      <w:sz w:val="20"/>
      <w:szCs w:val="20"/>
      <w14:ligatures w14:val="standardContextual"/>
    </w:rPr>
  </w:style>
  <w:style w:type="character" w:customStyle="1" w:styleId="EndnoteTextChar">
    <w:name w:val="Endnote Text Char"/>
    <w:basedOn w:val="DefaultParagraphFont"/>
    <w:link w:val="EndnoteText"/>
    <w:uiPriority w:val="99"/>
    <w:semiHidden/>
    <w:rsid w:val="00AC2606"/>
    <w:rPr>
      <w:kern w:val="2"/>
      <w:sz w:val="20"/>
      <w:szCs w:val="20"/>
      <w14:ligatures w14:val="standardContextual"/>
    </w:rPr>
  </w:style>
  <w:style w:type="character" w:styleId="EndnoteReference">
    <w:name w:val="endnote reference"/>
    <w:basedOn w:val="DefaultParagraphFont"/>
    <w:uiPriority w:val="99"/>
    <w:semiHidden/>
    <w:unhideWhenUsed/>
    <w:rsid w:val="00AC2606"/>
    <w:rPr>
      <w:vertAlign w:val="superscript"/>
    </w:rPr>
  </w:style>
  <w:style w:type="character" w:customStyle="1" w:styleId="eop">
    <w:name w:val="eop"/>
    <w:basedOn w:val="DefaultParagraphFont"/>
    <w:rsid w:val="00AC2606"/>
  </w:style>
  <w:style w:type="paragraph" w:styleId="TableofFigures">
    <w:name w:val="table of figures"/>
    <w:basedOn w:val="Normal"/>
    <w:next w:val="Normal"/>
    <w:uiPriority w:val="99"/>
    <w:unhideWhenUsed/>
    <w:rsid w:val="00100010"/>
    <w:pPr>
      <w:spacing w:after="0"/>
    </w:pPr>
  </w:style>
  <w:style w:type="character" w:styleId="FollowedHyperlink">
    <w:name w:val="FollowedHyperlink"/>
    <w:basedOn w:val="DefaultParagraphFont"/>
    <w:uiPriority w:val="99"/>
    <w:semiHidden/>
    <w:unhideWhenUsed/>
    <w:rsid w:val="00CC54CD"/>
    <w:rPr>
      <w:color w:val="4B0885" w:themeColor="followedHyperlink"/>
      <w:u w:val="single"/>
    </w:rPr>
  </w:style>
  <w:style w:type="paragraph" w:customStyle="1" w:styleId="ListParagraphMaster">
    <w:name w:val="List Paragraph Master"/>
    <w:basedOn w:val="ListParagraph"/>
    <w:qFormat/>
    <w:rsid w:val="002E5472"/>
    <w:pPr>
      <w:numPr>
        <w:numId w:val="26"/>
      </w:numPr>
      <w:spacing w:before="120" w:after="120" w:line="259" w:lineRule="auto"/>
      <w:ind w:left="714" w:hanging="357"/>
      <w:contextualSpacing w:val="0"/>
    </w:pPr>
    <w:rPr>
      <w:rFonts w:cs="Arial"/>
    </w:rPr>
  </w:style>
  <w:style w:type="paragraph" w:customStyle="1" w:styleId="Keythemes">
    <w:name w:val="Key themes"/>
    <w:basedOn w:val="Normal"/>
    <w:qFormat/>
    <w:rsid w:val="00761118"/>
    <w:rPr>
      <w:rFonts w:cs="Arial"/>
      <w:b/>
      <w:bCs/>
    </w:rPr>
  </w:style>
  <w:style w:type="paragraph" w:styleId="TOC6">
    <w:name w:val="toc 6"/>
    <w:basedOn w:val="Normal"/>
    <w:next w:val="Normal"/>
    <w:autoRedefine/>
    <w:uiPriority w:val="39"/>
    <w:unhideWhenUsed/>
    <w:rsid w:val="00FB1F74"/>
    <w:pPr>
      <w:spacing w:line="278" w:lineRule="auto"/>
      <w:ind w:left="1200"/>
    </w:pPr>
    <w:rPr>
      <w:rFonts w:asciiTheme="minorHAnsi" w:eastAsiaTheme="minorEastAsia" w:hAnsiTheme="minorHAnsi"/>
      <w:kern w:val="2"/>
      <w:sz w:val="24"/>
      <w:szCs w:val="24"/>
      <w:lang w:eastAsia="en-AU"/>
      <w14:ligatures w14:val="standardContextual"/>
    </w:rPr>
  </w:style>
  <w:style w:type="paragraph" w:styleId="TOC7">
    <w:name w:val="toc 7"/>
    <w:basedOn w:val="Normal"/>
    <w:next w:val="Normal"/>
    <w:autoRedefine/>
    <w:uiPriority w:val="39"/>
    <w:unhideWhenUsed/>
    <w:rsid w:val="00FB1F74"/>
    <w:pPr>
      <w:spacing w:line="278" w:lineRule="auto"/>
      <w:ind w:left="1440"/>
    </w:pPr>
    <w:rPr>
      <w:rFonts w:asciiTheme="minorHAnsi" w:eastAsiaTheme="minorEastAsia" w:hAnsiTheme="minorHAnsi"/>
      <w:kern w:val="2"/>
      <w:sz w:val="24"/>
      <w:szCs w:val="24"/>
      <w:lang w:eastAsia="en-AU"/>
      <w14:ligatures w14:val="standardContextual"/>
    </w:rPr>
  </w:style>
  <w:style w:type="paragraph" w:styleId="TOC8">
    <w:name w:val="toc 8"/>
    <w:basedOn w:val="Normal"/>
    <w:next w:val="Normal"/>
    <w:autoRedefine/>
    <w:uiPriority w:val="39"/>
    <w:unhideWhenUsed/>
    <w:rsid w:val="00FB1F74"/>
    <w:pPr>
      <w:spacing w:line="278" w:lineRule="auto"/>
      <w:ind w:left="1680"/>
    </w:pPr>
    <w:rPr>
      <w:rFonts w:asciiTheme="minorHAnsi" w:eastAsiaTheme="minorEastAsia" w:hAnsiTheme="minorHAnsi"/>
      <w:kern w:val="2"/>
      <w:sz w:val="24"/>
      <w:szCs w:val="24"/>
      <w:lang w:eastAsia="en-AU"/>
      <w14:ligatures w14:val="standardContextual"/>
    </w:rPr>
  </w:style>
  <w:style w:type="paragraph" w:styleId="TOC9">
    <w:name w:val="toc 9"/>
    <w:basedOn w:val="Normal"/>
    <w:next w:val="Normal"/>
    <w:autoRedefine/>
    <w:uiPriority w:val="39"/>
    <w:unhideWhenUsed/>
    <w:rsid w:val="00FB1F74"/>
    <w:pPr>
      <w:spacing w:line="278" w:lineRule="auto"/>
      <w:ind w:left="1920"/>
    </w:pPr>
    <w:rPr>
      <w:rFonts w:asciiTheme="minorHAnsi" w:eastAsiaTheme="minorEastAsia" w:hAnsiTheme="minorHAnsi"/>
      <w:kern w:val="2"/>
      <w:sz w:val="24"/>
      <w:szCs w:val="24"/>
      <w:lang w:eastAsia="en-AU"/>
      <w14:ligatures w14:val="standardContextual"/>
    </w:rPr>
  </w:style>
  <w:style w:type="paragraph" w:styleId="ListNumber">
    <w:name w:val="List Number"/>
    <w:basedOn w:val="Normal"/>
    <w:uiPriority w:val="99"/>
    <w:unhideWhenUsed/>
    <w:rsid w:val="009471C2"/>
    <w:pPr>
      <w:numPr>
        <w:numId w:val="45"/>
      </w:numPr>
      <w:contextualSpacing/>
    </w:pPr>
  </w:style>
  <w:style w:type="character" w:customStyle="1" w:styleId="normaltextrun">
    <w:name w:val="normaltextrun"/>
    <w:basedOn w:val="DefaultParagraphFont"/>
    <w:rsid w:val="00796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3862">
      <w:bodyDiv w:val="1"/>
      <w:marLeft w:val="0"/>
      <w:marRight w:val="0"/>
      <w:marTop w:val="0"/>
      <w:marBottom w:val="0"/>
      <w:divBdr>
        <w:top w:val="none" w:sz="0" w:space="0" w:color="auto"/>
        <w:left w:val="none" w:sz="0" w:space="0" w:color="auto"/>
        <w:bottom w:val="none" w:sz="0" w:space="0" w:color="auto"/>
        <w:right w:val="none" w:sz="0" w:space="0" w:color="auto"/>
      </w:divBdr>
    </w:div>
    <w:div w:id="3482058">
      <w:bodyDiv w:val="1"/>
      <w:marLeft w:val="0"/>
      <w:marRight w:val="0"/>
      <w:marTop w:val="0"/>
      <w:marBottom w:val="0"/>
      <w:divBdr>
        <w:top w:val="none" w:sz="0" w:space="0" w:color="auto"/>
        <w:left w:val="none" w:sz="0" w:space="0" w:color="auto"/>
        <w:bottom w:val="none" w:sz="0" w:space="0" w:color="auto"/>
        <w:right w:val="none" w:sz="0" w:space="0" w:color="auto"/>
      </w:divBdr>
    </w:div>
    <w:div w:id="4214479">
      <w:bodyDiv w:val="1"/>
      <w:marLeft w:val="0"/>
      <w:marRight w:val="0"/>
      <w:marTop w:val="0"/>
      <w:marBottom w:val="0"/>
      <w:divBdr>
        <w:top w:val="none" w:sz="0" w:space="0" w:color="auto"/>
        <w:left w:val="none" w:sz="0" w:space="0" w:color="auto"/>
        <w:bottom w:val="none" w:sz="0" w:space="0" w:color="auto"/>
        <w:right w:val="none" w:sz="0" w:space="0" w:color="auto"/>
      </w:divBdr>
    </w:div>
    <w:div w:id="6181717">
      <w:bodyDiv w:val="1"/>
      <w:marLeft w:val="0"/>
      <w:marRight w:val="0"/>
      <w:marTop w:val="0"/>
      <w:marBottom w:val="0"/>
      <w:divBdr>
        <w:top w:val="none" w:sz="0" w:space="0" w:color="auto"/>
        <w:left w:val="none" w:sz="0" w:space="0" w:color="auto"/>
        <w:bottom w:val="none" w:sz="0" w:space="0" w:color="auto"/>
        <w:right w:val="none" w:sz="0" w:space="0" w:color="auto"/>
      </w:divBdr>
    </w:div>
    <w:div w:id="6295469">
      <w:bodyDiv w:val="1"/>
      <w:marLeft w:val="0"/>
      <w:marRight w:val="0"/>
      <w:marTop w:val="0"/>
      <w:marBottom w:val="0"/>
      <w:divBdr>
        <w:top w:val="none" w:sz="0" w:space="0" w:color="auto"/>
        <w:left w:val="none" w:sz="0" w:space="0" w:color="auto"/>
        <w:bottom w:val="none" w:sz="0" w:space="0" w:color="auto"/>
        <w:right w:val="none" w:sz="0" w:space="0" w:color="auto"/>
      </w:divBdr>
    </w:div>
    <w:div w:id="6369841">
      <w:bodyDiv w:val="1"/>
      <w:marLeft w:val="0"/>
      <w:marRight w:val="0"/>
      <w:marTop w:val="0"/>
      <w:marBottom w:val="0"/>
      <w:divBdr>
        <w:top w:val="none" w:sz="0" w:space="0" w:color="auto"/>
        <w:left w:val="none" w:sz="0" w:space="0" w:color="auto"/>
        <w:bottom w:val="none" w:sz="0" w:space="0" w:color="auto"/>
        <w:right w:val="none" w:sz="0" w:space="0" w:color="auto"/>
      </w:divBdr>
    </w:div>
    <w:div w:id="6520331">
      <w:bodyDiv w:val="1"/>
      <w:marLeft w:val="0"/>
      <w:marRight w:val="0"/>
      <w:marTop w:val="0"/>
      <w:marBottom w:val="0"/>
      <w:divBdr>
        <w:top w:val="none" w:sz="0" w:space="0" w:color="auto"/>
        <w:left w:val="none" w:sz="0" w:space="0" w:color="auto"/>
        <w:bottom w:val="none" w:sz="0" w:space="0" w:color="auto"/>
        <w:right w:val="none" w:sz="0" w:space="0" w:color="auto"/>
      </w:divBdr>
    </w:div>
    <w:div w:id="7175145">
      <w:bodyDiv w:val="1"/>
      <w:marLeft w:val="0"/>
      <w:marRight w:val="0"/>
      <w:marTop w:val="0"/>
      <w:marBottom w:val="0"/>
      <w:divBdr>
        <w:top w:val="none" w:sz="0" w:space="0" w:color="auto"/>
        <w:left w:val="none" w:sz="0" w:space="0" w:color="auto"/>
        <w:bottom w:val="none" w:sz="0" w:space="0" w:color="auto"/>
        <w:right w:val="none" w:sz="0" w:space="0" w:color="auto"/>
      </w:divBdr>
    </w:div>
    <w:div w:id="9376883">
      <w:bodyDiv w:val="1"/>
      <w:marLeft w:val="0"/>
      <w:marRight w:val="0"/>
      <w:marTop w:val="0"/>
      <w:marBottom w:val="0"/>
      <w:divBdr>
        <w:top w:val="none" w:sz="0" w:space="0" w:color="auto"/>
        <w:left w:val="none" w:sz="0" w:space="0" w:color="auto"/>
        <w:bottom w:val="none" w:sz="0" w:space="0" w:color="auto"/>
        <w:right w:val="none" w:sz="0" w:space="0" w:color="auto"/>
      </w:divBdr>
    </w:div>
    <w:div w:id="13658230">
      <w:bodyDiv w:val="1"/>
      <w:marLeft w:val="0"/>
      <w:marRight w:val="0"/>
      <w:marTop w:val="0"/>
      <w:marBottom w:val="0"/>
      <w:divBdr>
        <w:top w:val="none" w:sz="0" w:space="0" w:color="auto"/>
        <w:left w:val="none" w:sz="0" w:space="0" w:color="auto"/>
        <w:bottom w:val="none" w:sz="0" w:space="0" w:color="auto"/>
        <w:right w:val="none" w:sz="0" w:space="0" w:color="auto"/>
      </w:divBdr>
    </w:div>
    <w:div w:id="15087670">
      <w:bodyDiv w:val="1"/>
      <w:marLeft w:val="0"/>
      <w:marRight w:val="0"/>
      <w:marTop w:val="0"/>
      <w:marBottom w:val="0"/>
      <w:divBdr>
        <w:top w:val="none" w:sz="0" w:space="0" w:color="auto"/>
        <w:left w:val="none" w:sz="0" w:space="0" w:color="auto"/>
        <w:bottom w:val="none" w:sz="0" w:space="0" w:color="auto"/>
        <w:right w:val="none" w:sz="0" w:space="0" w:color="auto"/>
      </w:divBdr>
    </w:div>
    <w:div w:id="15277110">
      <w:bodyDiv w:val="1"/>
      <w:marLeft w:val="0"/>
      <w:marRight w:val="0"/>
      <w:marTop w:val="0"/>
      <w:marBottom w:val="0"/>
      <w:divBdr>
        <w:top w:val="none" w:sz="0" w:space="0" w:color="auto"/>
        <w:left w:val="none" w:sz="0" w:space="0" w:color="auto"/>
        <w:bottom w:val="none" w:sz="0" w:space="0" w:color="auto"/>
        <w:right w:val="none" w:sz="0" w:space="0" w:color="auto"/>
      </w:divBdr>
    </w:div>
    <w:div w:id="16974284">
      <w:bodyDiv w:val="1"/>
      <w:marLeft w:val="0"/>
      <w:marRight w:val="0"/>
      <w:marTop w:val="0"/>
      <w:marBottom w:val="0"/>
      <w:divBdr>
        <w:top w:val="none" w:sz="0" w:space="0" w:color="auto"/>
        <w:left w:val="none" w:sz="0" w:space="0" w:color="auto"/>
        <w:bottom w:val="none" w:sz="0" w:space="0" w:color="auto"/>
        <w:right w:val="none" w:sz="0" w:space="0" w:color="auto"/>
      </w:divBdr>
    </w:div>
    <w:div w:id="17585764">
      <w:bodyDiv w:val="1"/>
      <w:marLeft w:val="0"/>
      <w:marRight w:val="0"/>
      <w:marTop w:val="0"/>
      <w:marBottom w:val="0"/>
      <w:divBdr>
        <w:top w:val="none" w:sz="0" w:space="0" w:color="auto"/>
        <w:left w:val="none" w:sz="0" w:space="0" w:color="auto"/>
        <w:bottom w:val="none" w:sz="0" w:space="0" w:color="auto"/>
        <w:right w:val="none" w:sz="0" w:space="0" w:color="auto"/>
      </w:divBdr>
    </w:div>
    <w:div w:id="17706499">
      <w:bodyDiv w:val="1"/>
      <w:marLeft w:val="0"/>
      <w:marRight w:val="0"/>
      <w:marTop w:val="0"/>
      <w:marBottom w:val="0"/>
      <w:divBdr>
        <w:top w:val="none" w:sz="0" w:space="0" w:color="auto"/>
        <w:left w:val="none" w:sz="0" w:space="0" w:color="auto"/>
        <w:bottom w:val="none" w:sz="0" w:space="0" w:color="auto"/>
        <w:right w:val="none" w:sz="0" w:space="0" w:color="auto"/>
      </w:divBdr>
    </w:div>
    <w:div w:id="17858095">
      <w:bodyDiv w:val="1"/>
      <w:marLeft w:val="0"/>
      <w:marRight w:val="0"/>
      <w:marTop w:val="0"/>
      <w:marBottom w:val="0"/>
      <w:divBdr>
        <w:top w:val="none" w:sz="0" w:space="0" w:color="auto"/>
        <w:left w:val="none" w:sz="0" w:space="0" w:color="auto"/>
        <w:bottom w:val="none" w:sz="0" w:space="0" w:color="auto"/>
        <w:right w:val="none" w:sz="0" w:space="0" w:color="auto"/>
      </w:divBdr>
    </w:div>
    <w:div w:id="18703680">
      <w:bodyDiv w:val="1"/>
      <w:marLeft w:val="0"/>
      <w:marRight w:val="0"/>
      <w:marTop w:val="0"/>
      <w:marBottom w:val="0"/>
      <w:divBdr>
        <w:top w:val="none" w:sz="0" w:space="0" w:color="auto"/>
        <w:left w:val="none" w:sz="0" w:space="0" w:color="auto"/>
        <w:bottom w:val="none" w:sz="0" w:space="0" w:color="auto"/>
        <w:right w:val="none" w:sz="0" w:space="0" w:color="auto"/>
      </w:divBdr>
    </w:div>
    <w:div w:id="19549094">
      <w:bodyDiv w:val="1"/>
      <w:marLeft w:val="0"/>
      <w:marRight w:val="0"/>
      <w:marTop w:val="0"/>
      <w:marBottom w:val="0"/>
      <w:divBdr>
        <w:top w:val="none" w:sz="0" w:space="0" w:color="auto"/>
        <w:left w:val="none" w:sz="0" w:space="0" w:color="auto"/>
        <w:bottom w:val="none" w:sz="0" w:space="0" w:color="auto"/>
        <w:right w:val="none" w:sz="0" w:space="0" w:color="auto"/>
      </w:divBdr>
    </w:div>
    <w:div w:id="20013505">
      <w:bodyDiv w:val="1"/>
      <w:marLeft w:val="0"/>
      <w:marRight w:val="0"/>
      <w:marTop w:val="0"/>
      <w:marBottom w:val="0"/>
      <w:divBdr>
        <w:top w:val="none" w:sz="0" w:space="0" w:color="auto"/>
        <w:left w:val="none" w:sz="0" w:space="0" w:color="auto"/>
        <w:bottom w:val="none" w:sz="0" w:space="0" w:color="auto"/>
        <w:right w:val="none" w:sz="0" w:space="0" w:color="auto"/>
      </w:divBdr>
    </w:div>
    <w:div w:id="23217672">
      <w:bodyDiv w:val="1"/>
      <w:marLeft w:val="0"/>
      <w:marRight w:val="0"/>
      <w:marTop w:val="0"/>
      <w:marBottom w:val="0"/>
      <w:divBdr>
        <w:top w:val="none" w:sz="0" w:space="0" w:color="auto"/>
        <w:left w:val="none" w:sz="0" w:space="0" w:color="auto"/>
        <w:bottom w:val="none" w:sz="0" w:space="0" w:color="auto"/>
        <w:right w:val="none" w:sz="0" w:space="0" w:color="auto"/>
      </w:divBdr>
    </w:div>
    <w:div w:id="24715187">
      <w:bodyDiv w:val="1"/>
      <w:marLeft w:val="0"/>
      <w:marRight w:val="0"/>
      <w:marTop w:val="0"/>
      <w:marBottom w:val="0"/>
      <w:divBdr>
        <w:top w:val="none" w:sz="0" w:space="0" w:color="auto"/>
        <w:left w:val="none" w:sz="0" w:space="0" w:color="auto"/>
        <w:bottom w:val="none" w:sz="0" w:space="0" w:color="auto"/>
        <w:right w:val="none" w:sz="0" w:space="0" w:color="auto"/>
      </w:divBdr>
    </w:div>
    <w:div w:id="25565137">
      <w:bodyDiv w:val="1"/>
      <w:marLeft w:val="0"/>
      <w:marRight w:val="0"/>
      <w:marTop w:val="0"/>
      <w:marBottom w:val="0"/>
      <w:divBdr>
        <w:top w:val="none" w:sz="0" w:space="0" w:color="auto"/>
        <w:left w:val="none" w:sz="0" w:space="0" w:color="auto"/>
        <w:bottom w:val="none" w:sz="0" w:space="0" w:color="auto"/>
        <w:right w:val="none" w:sz="0" w:space="0" w:color="auto"/>
      </w:divBdr>
    </w:div>
    <w:div w:id="26756275">
      <w:bodyDiv w:val="1"/>
      <w:marLeft w:val="0"/>
      <w:marRight w:val="0"/>
      <w:marTop w:val="0"/>
      <w:marBottom w:val="0"/>
      <w:divBdr>
        <w:top w:val="none" w:sz="0" w:space="0" w:color="auto"/>
        <w:left w:val="none" w:sz="0" w:space="0" w:color="auto"/>
        <w:bottom w:val="none" w:sz="0" w:space="0" w:color="auto"/>
        <w:right w:val="none" w:sz="0" w:space="0" w:color="auto"/>
      </w:divBdr>
    </w:div>
    <w:div w:id="27030800">
      <w:bodyDiv w:val="1"/>
      <w:marLeft w:val="0"/>
      <w:marRight w:val="0"/>
      <w:marTop w:val="0"/>
      <w:marBottom w:val="0"/>
      <w:divBdr>
        <w:top w:val="none" w:sz="0" w:space="0" w:color="auto"/>
        <w:left w:val="none" w:sz="0" w:space="0" w:color="auto"/>
        <w:bottom w:val="none" w:sz="0" w:space="0" w:color="auto"/>
        <w:right w:val="none" w:sz="0" w:space="0" w:color="auto"/>
      </w:divBdr>
    </w:div>
    <w:div w:id="27801039">
      <w:bodyDiv w:val="1"/>
      <w:marLeft w:val="0"/>
      <w:marRight w:val="0"/>
      <w:marTop w:val="0"/>
      <w:marBottom w:val="0"/>
      <w:divBdr>
        <w:top w:val="none" w:sz="0" w:space="0" w:color="auto"/>
        <w:left w:val="none" w:sz="0" w:space="0" w:color="auto"/>
        <w:bottom w:val="none" w:sz="0" w:space="0" w:color="auto"/>
        <w:right w:val="none" w:sz="0" w:space="0" w:color="auto"/>
      </w:divBdr>
    </w:div>
    <w:div w:id="28378154">
      <w:bodyDiv w:val="1"/>
      <w:marLeft w:val="0"/>
      <w:marRight w:val="0"/>
      <w:marTop w:val="0"/>
      <w:marBottom w:val="0"/>
      <w:divBdr>
        <w:top w:val="none" w:sz="0" w:space="0" w:color="auto"/>
        <w:left w:val="none" w:sz="0" w:space="0" w:color="auto"/>
        <w:bottom w:val="none" w:sz="0" w:space="0" w:color="auto"/>
        <w:right w:val="none" w:sz="0" w:space="0" w:color="auto"/>
      </w:divBdr>
    </w:div>
    <w:div w:id="29720282">
      <w:bodyDiv w:val="1"/>
      <w:marLeft w:val="0"/>
      <w:marRight w:val="0"/>
      <w:marTop w:val="0"/>
      <w:marBottom w:val="0"/>
      <w:divBdr>
        <w:top w:val="none" w:sz="0" w:space="0" w:color="auto"/>
        <w:left w:val="none" w:sz="0" w:space="0" w:color="auto"/>
        <w:bottom w:val="none" w:sz="0" w:space="0" w:color="auto"/>
        <w:right w:val="none" w:sz="0" w:space="0" w:color="auto"/>
      </w:divBdr>
    </w:div>
    <w:div w:id="31729973">
      <w:bodyDiv w:val="1"/>
      <w:marLeft w:val="0"/>
      <w:marRight w:val="0"/>
      <w:marTop w:val="0"/>
      <w:marBottom w:val="0"/>
      <w:divBdr>
        <w:top w:val="none" w:sz="0" w:space="0" w:color="auto"/>
        <w:left w:val="none" w:sz="0" w:space="0" w:color="auto"/>
        <w:bottom w:val="none" w:sz="0" w:space="0" w:color="auto"/>
        <w:right w:val="none" w:sz="0" w:space="0" w:color="auto"/>
      </w:divBdr>
    </w:div>
    <w:div w:id="32658639">
      <w:bodyDiv w:val="1"/>
      <w:marLeft w:val="0"/>
      <w:marRight w:val="0"/>
      <w:marTop w:val="0"/>
      <w:marBottom w:val="0"/>
      <w:divBdr>
        <w:top w:val="none" w:sz="0" w:space="0" w:color="auto"/>
        <w:left w:val="none" w:sz="0" w:space="0" w:color="auto"/>
        <w:bottom w:val="none" w:sz="0" w:space="0" w:color="auto"/>
        <w:right w:val="none" w:sz="0" w:space="0" w:color="auto"/>
      </w:divBdr>
    </w:div>
    <w:div w:id="34161299">
      <w:bodyDiv w:val="1"/>
      <w:marLeft w:val="0"/>
      <w:marRight w:val="0"/>
      <w:marTop w:val="0"/>
      <w:marBottom w:val="0"/>
      <w:divBdr>
        <w:top w:val="none" w:sz="0" w:space="0" w:color="auto"/>
        <w:left w:val="none" w:sz="0" w:space="0" w:color="auto"/>
        <w:bottom w:val="none" w:sz="0" w:space="0" w:color="auto"/>
        <w:right w:val="none" w:sz="0" w:space="0" w:color="auto"/>
      </w:divBdr>
    </w:div>
    <w:div w:id="34932712">
      <w:bodyDiv w:val="1"/>
      <w:marLeft w:val="0"/>
      <w:marRight w:val="0"/>
      <w:marTop w:val="0"/>
      <w:marBottom w:val="0"/>
      <w:divBdr>
        <w:top w:val="none" w:sz="0" w:space="0" w:color="auto"/>
        <w:left w:val="none" w:sz="0" w:space="0" w:color="auto"/>
        <w:bottom w:val="none" w:sz="0" w:space="0" w:color="auto"/>
        <w:right w:val="none" w:sz="0" w:space="0" w:color="auto"/>
      </w:divBdr>
    </w:div>
    <w:div w:id="35397221">
      <w:bodyDiv w:val="1"/>
      <w:marLeft w:val="0"/>
      <w:marRight w:val="0"/>
      <w:marTop w:val="0"/>
      <w:marBottom w:val="0"/>
      <w:divBdr>
        <w:top w:val="none" w:sz="0" w:space="0" w:color="auto"/>
        <w:left w:val="none" w:sz="0" w:space="0" w:color="auto"/>
        <w:bottom w:val="none" w:sz="0" w:space="0" w:color="auto"/>
        <w:right w:val="none" w:sz="0" w:space="0" w:color="auto"/>
      </w:divBdr>
    </w:div>
    <w:div w:id="35739417">
      <w:bodyDiv w:val="1"/>
      <w:marLeft w:val="0"/>
      <w:marRight w:val="0"/>
      <w:marTop w:val="0"/>
      <w:marBottom w:val="0"/>
      <w:divBdr>
        <w:top w:val="none" w:sz="0" w:space="0" w:color="auto"/>
        <w:left w:val="none" w:sz="0" w:space="0" w:color="auto"/>
        <w:bottom w:val="none" w:sz="0" w:space="0" w:color="auto"/>
        <w:right w:val="none" w:sz="0" w:space="0" w:color="auto"/>
      </w:divBdr>
    </w:div>
    <w:div w:id="35936388">
      <w:bodyDiv w:val="1"/>
      <w:marLeft w:val="0"/>
      <w:marRight w:val="0"/>
      <w:marTop w:val="0"/>
      <w:marBottom w:val="0"/>
      <w:divBdr>
        <w:top w:val="none" w:sz="0" w:space="0" w:color="auto"/>
        <w:left w:val="none" w:sz="0" w:space="0" w:color="auto"/>
        <w:bottom w:val="none" w:sz="0" w:space="0" w:color="auto"/>
        <w:right w:val="none" w:sz="0" w:space="0" w:color="auto"/>
      </w:divBdr>
    </w:div>
    <w:div w:id="37240025">
      <w:bodyDiv w:val="1"/>
      <w:marLeft w:val="0"/>
      <w:marRight w:val="0"/>
      <w:marTop w:val="0"/>
      <w:marBottom w:val="0"/>
      <w:divBdr>
        <w:top w:val="none" w:sz="0" w:space="0" w:color="auto"/>
        <w:left w:val="none" w:sz="0" w:space="0" w:color="auto"/>
        <w:bottom w:val="none" w:sz="0" w:space="0" w:color="auto"/>
        <w:right w:val="none" w:sz="0" w:space="0" w:color="auto"/>
      </w:divBdr>
    </w:div>
    <w:div w:id="37975910">
      <w:bodyDiv w:val="1"/>
      <w:marLeft w:val="0"/>
      <w:marRight w:val="0"/>
      <w:marTop w:val="0"/>
      <w:marBottom w:val="0"/>
      <w:divBdr>
        <w:top w:val="none" w:sz="0" w:space="0" w:color="auto"/>
        <w:left w:val="none" w:sz="0" w:space="0" w:color="auto"/>
        <w:bottom w:val="none" w:sz="0" w:space="0" w:color="auto"/>
        <w:right w:val="none" w:sz="0" w:space="0" w:color="auto"/>
      </w:divBdr>
    </w:div>
    <w:div w:id="38020297">
      <w:bodyDiv w:val="1"/>
      <w:marLeft w:val="0"/>
      <w:marRight w:val="0"/>
      <w:marTop w:val="0"/>
      <w:marBottom w:val="0"/>
      <w:divBdr>
        <w:top w:val="none" w:sz="0" w:space="0" w:color="auto"/>
        <w:left w:val="none" w:sz="0" w:space="0" w:color="auto"/>
        <w:bottom w:val="none" w:sz="0" w:space="0" w:color="auto"/>
        <w:right w:val="none" w:sz="0" w:space="0" w:color="auto"/>
      </w:divBdr>
    </w:div>
    <w:div w:id="39476524">
      <w:bodyDiv w:val="1"/>
      <w:marLeft w:val="0"/>
      <w:marRight w:val="0"/>
      <w:marTop w:val="0"/>
      <w:marBottom w:val="0"/>
      <w:divBdr>
        <w:top w:val="none" w:sz="0" w:space="0" w:color="auto"/>
        <w:left w:val="none" w:sz="0" w:space="0" w:color="auto"/>
        <w:bottom w:val="none" w:sz="0" w:space="0" w:color="auto"/>
        <w:right w:val="none" w:sz="0" w:space="0" w:color="auto"/>
      </w:divBdr>
    </w:div>
    <w:div w:id="39523481">
      <w:bodyDiv w:val="1"/>
      <w:marLeft w:val="0"/>
      <w:marRight w:val="0"/>
      <w:marTop w:val="0"/>
      <w:marBottom w:val="0"/>
      <w:divBdr>
        <w:top w:val="none" w:sz="0" w:space="0" w:color="auto"/>
        <w:left w:val="none" w:sz="0" w:space="0" w:color="auto"/>
        <w:bottom w:val="none" w:sz="0" w:space="0" w:color="auto"/>
        <w:right w:val="none" w:sz="0" w:space="0" w:color="auto"/>
      </w:divBdr>
    </w:div>
    <w:div w:id="39789635">
      <w:bodyDiv w:val="1"/>
      <w:marLeft w:val="0"/>
      <w:marRight w:val="0"/>
      <w:marTop w:val="0"/>
      <w:marBottom w:val="0"/>
      <w:divBdr>
        <w:top w:val="none" w:sz="0" w:space="0" w:color="auto"/>
        <w:left w:val="none" w:sz="0" w:space="0" w:color="auto"/>
        <w:bottom w:val="none" w:sz="0" w:space="0" w:color="auto"/>
        <w:right w:val="none" w:sz="0" w:space="0" w:color="auto"/>
      </w:divBdr>
    </w:div>
    <w:div w:id="39979770">
      <w:bodyDiv w:val="1"/>
      <w:marLeft w:val="0"/>
      <w:marRight w:val="0"/>
      <w:marTop w:val="0"/>
      <w:marBottom w:val="0"/>
      <w:divBdr>
        <w:top w:val="none" w:sz="0" w:space="0" w:color="auto"/>
        <w:left w:val="none" w:sz="0" w:space="0" w:color="auto"/>
        <w:bottom w:val="none" w:sz="0" w:space="0" w:color="auto"/>
        <w:right w:val="none" w:sz="0" w:space="0" w:color="auto"/>
      </w:divBdr>
    </w:div>
    <w:div w:id="39985811">
      <w:bodyDiv w:val="1"/>
      <w:marLeft w:val="0"/>
      <w:marRight w:val="0"/>
      <w:marTop w:val="0"/>
      <w:marBottom w:val="0"/>
      <w:divBdr>
        <w:top w:val="none" w:sz="0" w:space="0" w:color="auto"/>
        <w:left w:val="none" w:sz="0" w:space="0" w:color="auto"/>
        <w:bottom w:val="none" w:sz="0" w:space="0" w:color="auto"/>
        <w:right w:val="none" w:sz="0" w:space="0" w:color="auto"/>
      </w:divBdr>
    </w:div>
    <w:div w:id="42756293">
      <w:bodyDiv w:val="1"/>
      <w:marLeft w:val="0"/>
      <w:marRight w:val="0"/>
      <w:marTop w:val="0"/>
      <w:marBottom w:val="0"/>
      <w:divBdr>
        <w:top w:val="none" w:sz="0" w:space="0" w:color="auto"/>
        <w:left w:val="none" w:sz="0" w:space="0" w:color="auto"/>
        <w:bottom w:val="none" w:sz="0" w:space="0" w:color="auto"/>
        <w:right w:val="none" w:sz="0" w:space="0" w:color="auto"/>
      </w:divBdr>
    </w:div>
    <w:div w:id="44332237">
      <w:bodyDiv w:val="1"/>
      <w:marLeft w:val="0"/>
      <w:marRight w:val="0"/>
      <w:marTop w:val="0"/>
      <w:marBottom w:val="0"/>
      <w:divBdr>
        <w:top w:val="none" w:sz="0" w:space="0" w:color="auto"/>
        <w:left w:val="none" w:sz="0" w:space="0" w:color="auto"/>
        <w:bottom w:val="none" w:sz="0" w:space="0" w:color="auto"/>
        <w:right w:val="none" w:sz="0" w:space="0" w:color="auto"/>
      </w:divBdr>
    </w:div>
    <w:div w:id="45615639">
      <w:bodyDiv w:val="1"/>
      <w:marLeft w:val="0"/>
      <w:marRight w:val="0"/>
      <w:marTop w:val="0"/>
      <w:marBottom w:val="0"/>
      <w:divBdr>
        <w:top w:val="none" w:sz="0" w:space="0" w:color="auto"/>
        <w:left w:val="none" w:sz="0" w:space="0" w:color="auto"/>
        <w:bottom w:val="none" w:sz="0" w:space="0" w:color="auto"/>
        <w:right w:val="none" w:sz="0" w:space="0" w:color="auto"/>
      </w:divBdr>
    </w:div>
    <w:div w:id="46075398">
      <w:bodyDiv w:val="1"/>
      <w:marLeft w:val="0"/>
      <w:marRight w:val="0"/>
      <w:marTop w:val="0"/>
      <w:marBottom w:val="0"/>
      <w:divBdr>
        <w:top w:val="none" w:sz="0" w:space="0" w:color="auto"/>
        <w:left w:val="none" w:sz="0" w:space="0" w:color="auto"/>
        <w:bottom w:val="none" w:sz="0" w:space="0" w:color="auto"/>
        <w:right w:val="none" w:sz="0" w:space="0" w:color="auto"/>
      </w:divBdr>
    </w:div>
    <w:div w:id="46535512">
      <w:bodyDiv w:val="1"/>
      <w:marLeft w:val="0"/>
      <w:marRight w:val="0"/>
      <w:marTop w:val="0"/>
      <w:marBottom w:val="0"/>
      <w:divBdr>
        <w:top w:val="none" w:sz="0" w:space="0" w:color="auto"/>
        <w:left w:val="none" w:sz="0" w:space="0" w:color="auto"/>
        <w:bottom w:val="none" w:sz="0" w:space="0" w:color="auto"/>
        <w:right w:val="none" w:sz="0" w:space="0" w:color="auto"/>
      </w:divBdr>
    </w:div>
    <w:div w:id="46682117">
      <w:bodyDiv w:val="1"/>
      <w:marLeft w:val="0"/>
      <w:marRight w:val="0"/>
      <w:marTop w:val="0"/>
      <w:marBottom w:val="0"/>
      <w:divBdr>
        <w:top w:val="none" w:sz="0" w:space="0" w:color="auto"/>
        <w:left w:val="none" w:sz="0" w:space="0" w:color="auto"/>
        <w:bottom w:val="none" w:sz="0" w:space="0" w:color="auto"/>
        <w:right w:val="none" w:sz="0" w:space="0" w:color="auto"/>
      </w:divBdr>
    </w:div>
    <w:div w:id="47072122">
      <w:bodyDiv w:val="1"/>
      <w:marLeft w:val="0"/>
      <w:marRight w:val="0"/>
      <w:marTop w:val="0"/>
      <w:marBottom w:val="0"/>
      <w:divBdr>
        <w:top w:val="none" w:sz="0" w:space="0" w:color="auto"/>
        <w:left w:val="none" w:sz="0" w:space="0" w:color="auto"/>
        <w:bottom w:val="none" w:sz="0" w:space="0" w:color="auto"/>
        <w:right w:val="none" w:sz="0" w:space="0" w:color="auto"/>
      </w:divBdr>
    </w:div>
    <w:div w:id="47455025">
      <w:bodyDiv w:val="1"/>
      <w:marLeft w:val="0"/>
      <w:marRight w:val="0"/>
      <w:marTop w:val="0"/>
      <w:marBottom w:val="0"/>
      <w:divBdr>
        <w:top w:val="none" w:sz="0" w:space="0" w:color="auto"/>
        <w:left w:val="none" w:sz="0" w:space="0" w:color="auto"/>
        <w:bottom w:val="none" w:sz="0" w:space="0" w:color="auto"/>
        <w:right w:val="none" w:sz="0" w:space="0" w:color="auto"/>
      </w:divBdr>
    </w:div>
    <w:div w:id="48842464">
      <w:bodyDiv w:val="1"/>
      <w:marLeft w:val="0"/>
      <w:marRight w:val="0"/>
      <w:marTop w:val="0"/>
      <w:marBottom w:val="0"/>
      <w:divBdr>
        <w:top w:val="none" w:sz="0" w:space="0" w:color="auto"/>
        <w:left w:val="none" w:sz="0" w:space="0" w:color="auto"/>
        <w:bottom w:val="none" w:sz="0" w:space="0" w:color="auto"/>
        <w:right w:val="none" w:sz="0" w:space="0" w:color="auto"/>
      </w:divBdr>
    </w:div>
    <w:div w:id="49153588">
      <w:bodyDiv w:val="1"/>
      <w:marLeft w:val="0"/>
      <w:marRight w:val="0"/>
      <w:marTop w:val="0"/>
      <w:marBottom w:val="0"/>
      <w:divBdr>
        <w:top w:val="none" w:sz="0" w:space="0" w:color="auto"/>
        <w:left w:val="none" w:sz="0" w:space="0" w:color="auto"/>
        <w:bottom w:val="none" w:sz="0" w:space="0" w:color="auto"/>
        <w:right w:val="none" w:sz="0" w:space="0" w:color="auto"/>
      </w:divBdr>
    </w:div>
    <w:div w:id="49573261">
      <w:bodyDiv w:val="1"/>
      <w:marLeft w:val="0"/>
      <w:marRight w:val="0"/>
      <w:marTop w:val="0"/>
      <w:marBottom w:val="0"/>
      <w:divBdr>
        <w:top w:val="none" w:sz="0" w:space="0" w:color="auto"/>
        <w:left w:val="none" w:sz="0" w:space="0" w:color="auto"/>
        <w:bottom w:val="none" w:sz="0" w:space="0" w:color="auto"/>
        <w:right w:val="none" w:sz="0" w:space="0" w:color="auto"/>
      </w:divBdr>
    </w:div>
    <w:div w:id="51194457">
      <w:bodyDiv w:val="1"/>
      <w:marLeft w:val="0"/>
      <w:marRight w:val="0"/>
      <w:marTop w:val="0"/>
      <w:marBottom w:val="0"/>
      <w:divBdr>
        <w:top w:val="none" w:sz="0" w:space="0" w:color="auto"/>
        <w:left w:val="none" w:sz="0" w:space="0" w:color="auto"/>
        <w:bottom w:val="none" w:sz="0" w:space="0" w:color="auto"/>
        <w:right w:val="none" w:sz="0" w:space="0" w:color="auto"/>
      </w:divBdr>
    </w:div>
    <w:div w:id="51774004">
      <w:bodyDiv w:val="1"/>
      <w:marLeft w:val="0"/>
      <w:marRight w:val="0"/>
      <w:marTop w:val="0"/>
      <w:marBottom w:val="0"/>
      <w:divBdr>
        <w:top w:val="none" w:sz="0" w:space="0" w:color="auto"/>
        <w:left w:val="none" w:sz="0" w:space="0" w:color="auto"/>
        <w:bottom w:val="none" w:sz="0" w:space="0" w:color="auto"/>
        <w:right w:val="none" w:sz="0" w:space="0" w:color="auto"/>
      </w:divBdr>
    </w:div>
    <w:div w:id="52124527">
      <w:bodyDiv w:val="1"/>
      <w:marLeft w:val="0"/>
      <w:marRight w:val="0"/>
      <w:marTop w:val="0"/>
      <w:marBottom w:val="0"/>
      <w:divBdr>
        <w:top w:val="none" w:sz="0" w:space="0" w:color="auto"/>
        <w:left w:val="none" w:sz="0" w:space="0" w:color="auto"/>
        <w:bottom w:val="none" w:sz="0" w:space="0" w:color="auto"/>
        <w:right w:val="none" w:sz="0" w:space="0" w:color="auto"/>
      </w:divBdr>
    </w:div>
    <w:div w:id="53044990">
      <w:bodyDiv w:val="1"/>
      <w:marLeft w:val="0"/>
      <w:marRight w:val="0"/>
      <w:marTop w:val="0"/>
      <w:marBottom w:val="0"/>
      <w:divBdr>
        <w:top w:val="none" w:sz="0" w:space="0" w:color="auto"/>
        <w:left w:val="none" w:sz="0" w:space="0" w:color="auto"/>
        <w:bottom w:val="none" w:sz="0" w:space="0" w:color="auto"/>
        <w:right w:val="none" w:sz="0" w:space="0" w:color="auto"/>
      </w:divBdr>
    </w:div>
    <w:div w:id="55131860">
      <w:bodyDiv w:val="1"/>
      <w:marLeft w:val="0"/>
      <w:marRight w:val="0"/>
      <w:marTop w:val="0"/>
      <w:marBottom w:val="0"/>
      <w:divBdr>
        <w:top w:val="none" w:sz="0" w:space="0" w:color="auto"/>
        <w:left w:val="none" w:sz="0" w:space="0" w:color="auto"/>
        <w:bottom w:val="none" w:sz="0" w:space="0" w:color="auto"/>
        <w:right w:val="none" w:sz="0" w:space="0" w:color="auto"/>
      </w:divBdr>
    </w:div>
    <w:div w:id="55588435">
      <w:bodyDiv w:val="1"/>
      <w:marLeft w:val="0"/>
      <w:marRight w:val="0"/>
      <w:marTop w:val="0"/>
      <w:marBottom w:val="0"/>
      <w:divBdr>
        <w:top w:val="none" w:sz="0" w:space="0" w:color="auto"/>
        <w:left w:val="none" w:sz="0" w:space="0" w:color="auto"/>
        <w:bottom w:val="none" w:sz="0" w:space="0" w:color="auto"/>
        <w:right w:val="none" w:sz="0" w:space="0" w:color="auto"/>
      </w:divBdr>
    </w:div>
    <w:div w:id="55906099">
      <w:bodyDiv w:val="1"/>
      <w:marLeft w:val="0"/>
      <w:marRight w:val="0"/>
      <w:marTop w:val="0"/>
      <w:marBottom w:val="0"/>
      <w:divBdr>
        <w:top w:val="none" w:sz="0" w:space="0" w:color="auto"/>
        <w:left w:val="none" w:sz="0" w:space="0" w:color="auto"/>
        <w:bottom w:val="none" w:sz="0" w:space="0" w:color="auto"/>
        <w:right w:val="none" w:sz="0" w:space="0" w:color="auto"/>
      </w:divBdr>
    </w:div>
    <w:div w:id="57024524">
      <w:bodyDiv w:val="1"/>
      <w:marLeft w:val="0"/>
      <w:marRight w:val="0"/>
      <w:marTop w:val="0"/>
      <w:marBottom w:val="0"/>
      <w:divBdr>
        <w:top w:val="none" w:sz="0" w:space="0" w:color="auto"/>
        <w:left w:val="none" w:sz="0" w:space="0" w:color="auto"/>
        <w:bottom w:val="none" w:sz="0" w:space="0" w:color="auto"/>
        <w:right w:val="none" w:sz="0" w:space="0" w:color="auto"/>
      </w:divBdr>
    </w:div>
    <w:div w:id="57561682">
      <w:bodyDiv w:val="1"/>
      <w:marLeft w:val="0"/>
      <w:marRight w:val="0"/>
      <w:marTop w:val="0"/>
      <w:marBottom w:val="0"/>
      <w:divBdr>
        <w:top w:val="none" w:sz="0" w:space="0" w:color="auto"/>
        <w:left w:val="none" w:sz="0" w:space="0" w:color="auto"/>
        <w:bottom w:val="none" w:sz="0" w:space="0" w:color="auto"/>
        <w:right w:val="none" w:sz="0" w:space="0" w:color="auto"/>
      </w:divBdr>
    </w:div>
    <w:div w:id="58092898">
      <w:bodyDiv w:val="1"/>
      <w:marLeft w:val="0"/>
      <w:marRight w:val="0"/>
      <w:marTop w:val="0"/>
      <w:marBottom w:val="0"/>
      <w:divBdr>
        <w:top w:val="none" w:sz="0" w:space="0" w:color="auto"/>
        <w:left w:val="none" w:sz="0" w:space="0" w:color="auto"/>
        <w:bottom w:val="none" w:sz="0" w:space="0" w:color="auto"/>
        <w:right w:val="none" w:sz="0" w:space="0" w:color="auto"/>
      </w:divBdr>
    </w:div>
    <w:div w:id="58553753">
      <w:bodyDiv w:val="1"/>
      <w:marLeft w:val="0"/>
      <w:marRight w:val="0"/>
      <w:marTop w:val="0"/>
      <w:marBottom w:val="0"/>
      <w:divBdr>
        <w:top w:val="none" w:sz="0" w:space="0" w:color="auto"/>
        <w:left w:val="none" w:sz="0" w:space="0" w:color="auto"/>
        <w:bottom w:val="none" w:sz="0" w:space="0" w:color="auto"/>
        <w:right w:val="none" w:sz="0" w:space="0" w:color="auto"/>
      </w:divBdr>
    </w:div>
    <w:div w:id="59597251">
      <w:bodyDiv w:val="1"/>
      <w:marLeft w:val="0"/>
      <w:marRight w:val="0"/>
      <w:marTop w:val="0"/>
      <w:marBottom w:val="0"/>
      <w:divBdr>
        <w:top w:val="none" w:sz="0" w:space="0" w:color="auto"/>
        <w:left w:val="none" w:sz="0" w:space="0" w:color="auto"/>
        <w:bottom w:val="none" w:sz="0" w:space="0" w:color="auto"/>
        <w:right w:val="none" w:sz="0" w:space="0" w:color="auto"/>
      </w:divBdr>
    </w:div>
    <w:div w:id="60251338">
      <w:bodyDiv w:val="1"/>
      <w:marLeft w:val="0"/>
      <w:marRight w:val="0"/>
      <w:marTop w:val="0"/>
      <w:marBottom w:val="0"/>
      <w:divBdr>
        <w:top w:val="none" w:sz="0" w:space="0" w:color="auto"/>
        <w:left w:val="none" w:sz="0" w:space="0" w:color="auto"/>
        <w:bottom w:val="none" w:sz="0" w:space="0" w:color="auto"/>
        <w:right w:val="none" w:sz="0" w:space="0" w:color="auto"/>
      </w:divBdr>
    </w:div>
    <w:div w:id="60298811">
      <w:bodyDiv w:val="1"/>
      <w:marLeft w:val="0"/>
      <w:marRight w:val="0"/>
      <w:marTop w:val="0"/>
      <w:marBottom w:val="0"/>
      <w:divBdr>
        <w:top w:val="none" w:sz="0" w:space="0" w:color="auto"/>
        <w:left w:val="none" w:sz="0" w:space="0" w:color="auto"/>
        <w:bottom w:val="none" w:sz="0" w:space="0" w:color="auto"/>
        <w:right w:val="none" w:sz="0" w:space="0" w:color="auto"/>
      </w:divBdr>
    </w:div>
    <w:div w:id="61947788">
      <w:bodyDiv w:val="1"/>
      <w:marLeft w:val="0"/>
      <w:marRight w:val="0"/>
      <w:marTop w:val="0"/>
      <w:marBottom w:val="0"/>
      <w:divBdr>
        <w:top w:val="none" w:sz="0" w:space="0" w:color="auto"/>
        <w:left w:val="none" w:sz="0" w:space="0" w:color="auto"/>
        <w:bottom w:val="none" w:sz="0" w:space="0" w:color="auto"/>
        <w:right w:val="none" w:sz="0" w:space="0" w:color="auto"/>
      </w:divBdr>
    </w:div>
    <w:div w:id="62995129">
      <w:bodyDiv w:val="1"/>
      <w:marLeft w:val="0"/>
      <w:marRight w:val="0"/>
      <w:marTop w:val="0"/>
      <w:marBottom w:val="0"/>
      <w:divBdr>
        <w:top w:val="none" w:sz="0" w:space="0" w:color="auto"/>
        <w:left w:val="none" w:sz="0" w:space="0" w:color="auto"/>
        <w:bottom w:val="none" w:sz="0" w:space="0" w:color="auto"/>
        <w:right w:val="none" w:sz="0" w:space="0" w:color="auto"/>
      </w:divBdr>
    </w:div>
    <w:div w:id="63989308">
      <w:bodyDiv w:val="1"/>
      <w:marLeft w:val="0"/>
      <w:marRight w:val="0"/>
      <w:marTop w:val="0"/>
      <w:marBottom w:val="0"/>
      <w:divBdr>
        <w:top w:val="none" w:sz="0" w:space="0" w:color="auto"/>
        <w:left w:val="none" w:sz="0" w:space="0" w:color="auto"/>
        <w:bottom w:val="none" w:sz="0" w:space="0" w:color="auto"/>
        <w:right w:val="none" w:sz="0" w:space="0" w:color="auto"/>
      </w:divBdr>
    </w:div>
    <w:div w:id="64567830">
      <w:bodyDiv w:val="1"/>
      <w:marLeft w:val="0"/>
      <w:marRight w:val="0"/>
      <w:marTop w:val="0"/>
      <w:marBottom w:val="0"/>
      <w:divBdr>
        <w:top w:val="none" w:sz="0" w:space="0" w:color="auto"/>
        <w:left w:val="none" w:sz="0" w:space="0" w:color="auto"/>
        <w:bottom w:val="none" w:sz="0" w:space="0" w:color="auto"/>
        <w:right w:val="none" w:sz="0" w:space="0" w:color="auto"/>
      </w:divBdr>
    </w:div>
    <w:div w:id="64768946">
      <w:bodyDiv w:val="1"/>
      <w:marLeft w:val="0"/>
      <w:marRight w:val="0"/>
      <w:marTop w:val="0"/>
      <w:marBottom w:val="0"/>
      <w:divBdr>
        <w:top w:val="none" w:sz="0" w:space="0" w:color="auto"/>
        <w:left w:val="none" w:sz="0" w:space="0" w:color="auto"/>
        <w:bottom w:val="none" w:sz="0" w:space="0" w:color="auto"/>
        <w:right w:val="none" w:sz="0" w:space="0" w:color="auto"/>
      </w:divBdr>
    </w:div>
    <w:div w:id="65811705">
      <w:bodyDiv w:val="1"/>
      <w:marLeft w:val="0"/>
      <w:marRight w:val="0"/>
      <w:marTop w:val="0"/>
      <w:marBottom w:val="0"/>
      <w:divBdr>
        <w:top w:val="none" w:sz="0" w:space="0" w:color="auto"/>
        <w:left w:val="none" w:sz="0" w:space="0" w:color="auto"/>
        <w:bottom w:val="none" w:sz="0" w:space="0" w:color="auto"/>
        <w:right w:val="none" w:sz="0" w:space="0" w:color="auto"/>
      </w:divBdr>
    </w:div>
    <w:div w:id="66075495">
      <w:bodyDiv w:val="1"/>
      <w:marLeft w:val="0"/>
      <w:marRight w:val="0"/>
      <w:marTop w:val="0"/>
      <w:marBottom w:val="0"/>
      <w:divBdr>
        <w:top w:val="none" w:sz="0" w:space="0" w:color="auto"/>
        <w:left w:val="none" w:sz="0" w:space="0" w:color="auto"/>
        <w:bottom w:val="none" w:sz="0" w:space="0" w:color="auto"/>
        <w:right w:val="none" w:sz="0" w:space="0" w:color="auto"/>
      </w:divBdr>
    </w:div>
    <w:div w:id="66923847">
      <w:bodyDiv w:val="1"/>
      <w:marLeft w:val="0"/>
      <w:marRight w:val="0"/>
      <w:marTop w:val="0"/>
      <w:marBottom w:val="0"/>
      <w:divBdr>
        <w:top w:val="none" w:sz="0" w:space="0" w:color="auto"/>
        <w:left w:val="none" w:sz="0" w:space="0" w:color="auto"/>
        <w:bottom w:val="none" w:sz="0" w:space="0" w:color="auto"/>
        <w:right w:val="none" w:sz="0" w:space="0" w:color="auto"/>
      </w:divBdr>
    </w:div>
    <w:div w:id="67044247">
      <w:bodyDiv w:val="1"/>
      <w:marLeft w:val="0"/>
      <w:marRight w:val="0"/>
      <w:marTop w:val="0"/>
      <w:marBottom w:val="0"/>
      <w:divBdr>
        <w:top w:val="none" w:sz="0" w:space="0" w:color="auto"/>
        <w:left w:val="none" w:sz="0" w:space="0" w:color="auto"/>
        <w:bottom w:val="none" w:sz="0" w:space="0" w:color="auto"/>
        <w:right w:val="none" w:sz="0" w:space="0" w:color="auto"/>
      </w:divBdr>
    </w:div>
    <w:div w:id="67509422">
      <w:bodyDiv w:val="1"/>
      <w:marLeft w:val="0"/>
      <w:marRight w:val="0"/>
      <w:marTop w:val="0"/>
      <w:marBottom w:val="0"/>
      <w:divBdr>
        <w:top w:val="none" w:sz="0" w:space="0" w:color="auto"/>
        <w:left w:val="none" w:sz="0" w:space="0" w:color="auto"/>
        <w:bottom w:val="none" w:sz="0" w:space="0" w:color="auto"/>
        <w:right w:val="none" w:sz="0" w:space="0" w:color="auto"/>
      </w:divBdr>
    </w:div>
    <w:div w:id="67845564">
      <w:bodyDiv w:val="1"/>
      <w:marLeft w:val="0"/>
      <w:marRight w:val="0"/>
      <w:marTop w:val="0"/>
      <w:marBottom w:val="0"/>
      <w:divBdr>
        <w:top w:val="none" w:sz="0" w:space="0" w:color="auto"/>
        <w:left w:val="none" w:sz="0" w:space="0" w:color="auto"/>
        <w:bottom w:val="none" w:sz="0" w:space="0" w:color="auto"/>
        <w:right w:val="none" w:sz="0" w:space="0" w:color="auto"/>
      </w:divBdr>
    </w:div>
    <w:div w:id="68037343">
      <w:bodyDiv w:val="1"/>
      <w:marLeft w:val="0"/>
      <w:marRight w:val="0"/>
      <w:marTop w:val="0"/>
      <w:marBottom w:val="0"/>
      <w:divBdr>
        <w:top w:val="none" w:sz="0" w:space="0" w:color="auto"/>
        <w:left w:val="none" w:sz="0" w:space="0" w:color="auto"/>
        <w:bottom w:val="none" w:sz="0" w:space="0" w:color="auto"/>
        <w:right w:val="none" w:sz="0" w:space="0" w:color="auto"/>
      </w:divBdr>
    </w:div>
    <w:div w:id="69734650">
      <w:bodyDiv w:val="1"/>
      <w:marLeft w:val="0"/>
      <w:marRight w:val="0"/>
      <w:marTop w:val="0"/>
      <w:marBottom w:val="0"/>
      <w:divBdr>
        <w:top w:val="none" w:sz="0" w:space="0" w:color="auto"/>
        <w:left w:val="none" w:sz="0" w:space="0" w:color="auto"/>
        <w:bottom w:val="none" w:sz="0" w:space="0" w:color="auto"/>
        <w:right w:val="none" w:sz="0" w:space="0" w:color="auto"/>
      </w:divBdr>
    </w:div>
    <w:div w:id="70547327">
      <w:bodyDiv w:val="1"/>
      <w:marLeft w:val="0"/>
      <w:marRight w:val="0"/>
      <w:marTop w:val="0"/>
      <w:marBottom w:val="0"/>
      <w:divBdr>
        <w:top w:val="none" w:sz="0" w:space="0" w:color="auto"/>
        <w:left w:val="none" w:sz="0" w:space="0" w:color="auto"/>
        <w:bottom w:val="none" w:sz="0" w:space="0" w:color="auto"/>
        <w:right w:val="none" w:sz="0" w:space="0" w:color="auto"/>
      </w:divBdr>
    </w:div>
    <w:div w:id="70860356">
      <w:bodyDiv w:val="1"/>
      <w:marLeft w:val="0"/>
      <w:marRight w:val="0"/>
      <w:marTop w:val="0"/>
      <w:marBottom w:val="0"/>
      <w:divBdr>
        <w:top w:val="none" w:sz="0" w:space="0" w:color="auto"/>
        <w:left w:val="none" w:sz="0" w:space="0" w:color="auto"/>
        <w:bottom w:val="none" w:sz="0" w:space="0" w:color="auto"/>
        <w:right w:val="none" w:sz="0" w:space="0" w:color="auto"/>
      </w:divBdr>
    </w:div>
    <w:div w:id="72513595">
      <w:bodyDiv w:val="1"/>
      <w:marLeft w:val="0"/>
      <w:marRight w:val="0"/>
      <w:marTop w:val="0"/>
      <w:marBottom w:val="0"/>
      <w:divBdr>
        <w:top w:val="none" w:sz="0" w:space="0" w:color="auto"/>
        <w:left w:val="none" w:sz="0" w:space="0" w:color="auto"/>
        <w:bottom w:val="none" w:sz="0" w:space="0" w:color="auto"/>
        <w:right w:val="none" w:sz="0" w:space="0" w:color="auto"/>
      </w:divBdr>
    </w:div>
    <w:div w:id="73671098">
      <w:bodyDiv w:val="1"/>
      <w:marLeft w:val="0"/>
      <w:marRight w:val="0"/>
      <w:marTop w:val="0"/>
      <w:marBottom w:val="0"/>
      <w:divBdr>
        <w:top w:val="none" w:sz="0" w:space="0" w:color="auto"/>
        <w:left w:val="none" w:sz="0" w:space="0" w:color="auto"/>
        <w:bottom w:val="none" w:sz="0" w:space="0" w:color="auto"/>
        <w:right w:val="none" w:sz="0" w:space="0" w:color="auto"/>
      </w:divBdr>
    </w:div>
    <w:div w:id="73745540">
      <w:bodyDiv w:val="1"/>
      <w:marLeft w:val="0"/>
      <w:marRight w:val="0"/>
      <w:marTop w:val="0"/>
      <w:marBottom w:val="0"/>
      <w:divBdr>
        <w:top w:val="none" w:sz="0" w:space="0" w:color="auto"/>
        <w:left w:val="none" w:sz="0" w:space="0" w:color="auto"/>
        <w:bottom w:val="none" w:sz="0" w:space="0" w:color="auto"/>
        <w:right w:val="none" w:sz="0" w:space="0" w:color="auto"/>
      </w:divBdr>
    </w:div>
    <w:div w:id="73821310">
      <w:bodyDiv w:val="1"/>
      <w:marLeft w:val="0"/>
      <w:marRight w:val="0"/>
      <w:marTop w:val="0"/>
      <w:marBottom w:val="0"/>
      <w:divBdr>
        <w:top w:val="none" w:sz="0" w:space="0" w:color="auto"/>
        <w:left w:val="none" w:sz="0" w:space="0" w:color="auto"/>
        <w:bottom w:val="none" w:sz="0" w:space="0" w:color="auto"/>
        <w:right w:val="none" w:sz="0" w:space="0" w:color="auto"/>
      </w:divBdr>
    </w:div>
    <w:div w:id="75831902">
      <w:bodyDiv w:val="1"/>
      <w:marLeft w:val="0"/>
      <w:marRight w:val="0"/>
      <w:marTop w:val="0"/>
      <w:marBottom w:val="0"/>
      <w:divBdr>
        <w:top w:val="none" w:sz="0" w:space="0" w:color="auto"/>
        <w:left w:val="none" w:sz="0" w:space="0" w:color="auto"/>
        <w:bottom w:val="none" w:sz="0" w:space="0" w:color="auto"/>
        <w:right w:val="none" w:sz="0" w:space="0" w:color="auto"/>
      </w:divBdr>
    </w:div>
    <w:div w:id="76171477">
      <w:bodyDiv w:val="1"/>
      <w:marLeft w:val="0"/>
      <w:marRight w:val="0"/>
      <w:marTop w:val="0"/>
      <w:marBottom w:val="0"/>
      <w:divBdr>
        <w:top w:val="none" w:sz="0" w:space="0" w:color="auto"/>
        <w:left w:val="none" w:sz="0" w:space="0" w:color="auto"/>
        <w:bottom w:val="none" w:sz="0" w:space="0" w:color="auto"/>
        <w:right w:val="none" w:sz="0" w:space="0" w:color="auto"/>
      </w:divBdr>
    </w:div>
    <w:div w:id="76942871">
      <w:bodyDiv w:val="1"/>
      <w:marLeft w:val="0"/>
      <w:marRight w:val="0"/>
      <w:marTop w:val="0"/>
      <w:marBottom w:val="0"/>
      <w:divBdr>
        <w:top w:val="none" w:sz="0" w:space="0" w:color="auto"/>
        <w:left w:val="none" w:sz="0" w:space="0" w:color="auto"/>
        <w:bottom w:val="none" w:sz="0" w:space="0" w:color="auto"/>
        <w:right w:val="none" w:sz="0" w:space="0" w:color="auto"/>
      </w:divBdr>
    </w:div>
    <w:div w:id="76950089">
      <w:bodyDiv w:val="1"/>
      <w:marLeft w:val="0"/>
      <w:marRight w:val="0"/>
      <w:marTop w:val="0"/>
      <w:marBottom w:val="0"/>
      <w:divBdr>
        <w:top w:val="none" w:sz="0" w:space="0" w:color="auto"/>
        <w:left w:val="none" w:sz="0" w:space="0" w:color="auto"/>
        <w:bottom w:val="none" w:sz="0" w:space="0" w:color="auto"/>
        <w:right w:val="none" w:sz="0" w:space="0" w:color="auto"/>
      </w:divBdr>
    </w:div>
    <w:div w:id="77337468">
      <w:bodyDiv w:val="1"/>
      <w:marLeft w:val="0"/>
      <w:marRight w:val="0"/>
      <w:marTop w:val="0"/>
      <w:marBottom w:val="0"/>
      <w:divBdr>
        <w:top w:val="none" w:sz="0" w:space="0" w:color="auto"/>
        <w:left w:val="none" w:sz="0" w:space="0" w:color="auto"/>
        <w:bottom w:val="none" w:sz="0" w:space="0" w:color="auto"/>
        <w:right w:val="none" w:sz="0" w:space="0" w:color="auto"/>
      </w:divBdr>
    </w:div>
    <w:div w:id="77557381">
      <w:bodyDiv w:val="1"/>
      <w:marLeft w:val="0"/>
      <w:marRight w:val="0"/>
      <w:marTop w:val="0"/>
      <w:marBottom w:val="0"/>
      <w:divBdr>
        <w:top w:val="none" w:sz="0" w:space="0" w:color="auto"/>
        <w:left w:val="none" w:sz="0" w:space="0" w:color="auto"/>
        <w:bottom w:val="none" w:sz="0" w:space="0" w:color="auto"/>
        <w:right w:val="none" w:sz="0" w:space="0" w:color="auto"/>
      </w:divBdr>
    </w:div>
    <w:div w:id="78335005">
      <w:bodyDiv w:val="1"/>
      <w:marLeft w:val="0"/>
      <w:marRight w:val="0"/>
      <w:marTop w:val="0"/>
      <w:marBottom w:val="0"/>
      <w:divBdr>
        <w:top w:val="none" w:sz="0" w:space="0" w:color="auto"/>
        <w:left w:val="none" w:sz="0" w:space="0" w:color="auto"/>
        <w:bottom w:val="none" w:sz="0" w:space="0" w:color="auto"/>
        <w:right w:val="none" w:sz="0" w:space="0" w:color="auto"/>
      </w:divBdr>
    </w:div>
    <w:div w:id="79063327">
      <w:bodyDiv w:val="1"/>
      <w:marLeft w:val="0"/>
      <w:marRight w:val="0"/>
      <w:marTop w:val="0"/>
      <w:marBottom w:val="0"/>
      <w:divBdr>
        <w:top w:val="none" w:sz="0" w:space="0" w:color="auto"/>
        <w:left w:val="none" w:sz="0" w:space="0" w:color="auto"/>
        <w:bottom w:val="none" w:sz="0" w:space="0" w:color="auto"/>
        <w:right w:val="none" w:sz="0" w:space="0" w:color="auto"/>
      </w:divBdr>
    </w:div>
    <w:div w:id="79375701">
      <w:bodyDiv w:val="1"/>
      <w:marLeft w:val="0"/>
      <w:marRight w:val="0"/>
      <w:marTop w:val="0"/>
      <w:marBottom w:val="0"/>
      <w:divBdr>
        <w:top w:val="none" w:sz="0" w:space="0" w:color="auto"/>
        <w:left w:val="none" w:sz="0" w:space="0" w:color="auto"/>
        <w:bottom w:val="none" w:sz="0" w:space="0" w:color="auto"/>
        <w:right w:val="none" w:sz="0" w:space="0" w:color="auto"/>
      </w:divBdr>
    </w:div>
    <w:div w:id="80102646">
      <w:bodyDiv w:val="1"/>
      <w:marLeft w:val="0"/>
      <w:marRight w:val="0"/>
      <w:marTop w:val="0"/>
      <w:marBottom w:val="0"/>
      <w:divBdr>
        <w:top w:val="none" w:sz="0" w:space="0" w:color="auto"/>
        <w:left w:val="none" w:sz="0" w:space="0" w:color="auto"/>
        <w:bottom w:val="none" w:sz="0" w:space="0" w:color="auto"/>
        <w:right w:val="none" w:sz="0" w:space="0" w:color="auto"/>
      </w:divBdr>
    </w:div>
    <w:div w:id="80757183">
      <w:bodyDiv w:val="1"/>
      <w:marLeft w:val="0"/>
      <w:marRight w:val="0"/>
      <w:marTop w:val="0"/>
      <w:marBottom w:val="0"/>
      <w:divBdr>
        <w:top w:val="none" w:sz="0" w:space="0" w:color="auto"/>
        <w:left w:val="none" w:sz="0" w:space="0" w:color="auto"/>
        <w:bottom w:val="none" w:sz="0" w:space="0" w:color="auto"/>
        <w:right w:val="none" w:sz="0" w:space="0" w:color="auto"/>
      </w:divBdr>
    </w:div>
    <w:div w:id="81028881">
      <w:bodyDiv w:val="1"/>
      <w:marLeft w:val="0"/>
      <w:marRight w:val="0"/>
      <w:marTop w:val="0"/>
      <w:marBottom w:val="0"/>
      <w:divBdr>
        <w:top w:val="none" w:sz="0" w:space="0" w:color="auto"/>
        <w:left w:val="none" w:sz="0" w:space="0" w:color="auto"/>
        <w:bottom w:val="none" w:sz="0" w:space="0" w:color="auto"/>
        <w:right w:val="none" w:sz="0" w:space="0" w:color="auto"/>
      </w:divBdr>
    </w:div>
    <w:div w:id="81533282">
      <w:bodyDiv w:val="1"/>
      <w:marLeft w:val="0"/>
      <w:marRight w:val="0"/>
      <w:marTop w:val="0"/>
      <w:marBottom w:val="0"/>
      <w:divBdr>
        <w:top w:val="none" w:sz="0" w:space="0" w:color="auto"/>
        <w:left w:val="none" w:sz="0" w:space="0" w:color="auto"/>
        <w:bottom w:val="none" w:sz="0" w:space="0" w:color="auto"/>
        <w:right w:val="none" w:sz="0" w:space="0" w:color="auto"/>
      </w:divBdr>
    </w:div>
    <w:div w:id="81607208">
      <w:bodyDiv w:val="1"/>
      <w:marLeft w:val="0"/>
      <w:marRight w:val="0"/>
      <w:marTop w:val="0"/>
      <w:marBottom w:val="0"/>
      <w:divBdr>
        <w:top w:val="none" w:sz="0" w:space="0" w:color="auto"/>
        <w:left w:val="none" w:sz="0" w:space="0" w:color="auto"/>
        <w:bottom w:val="none" w:sz="0" w:space="0" w:color="auto"/>
        <w:right w:val="none" w:sz="0" w:space="0" w:color="auto"/>
      </w:divBdr>
    </w:div>
    <w:div w:id="81921853">
      <w:bodyDiv w:val="1"/>
      <w:marLeft w:val="0"/>
      <w:marRight w:val="0"/>
      <w:marTop w:val="0"/>
      <w:marBottom w:val="0"/>
      <w:divBdr>
        <w:top w:val="none" w:sz="0" w:space="0" w:color="auto"/>
        <w:left w:val="none" w:sz="0" w:space="0" w:color="auto"/>
        <w:bottom w:val="none" w:sz="0" w:space="0" w:color="auto"/>
        <w:right w:val="none" w:sz="0" w:space="0" w:color="auto"/>
      </w:divBdr>
    </w:div>
    <w:div w:id="82260227">
      <w:bodyDiv w:val="1"/>
      <w:marLeft w:val="0"/>
      <w:marRight w:val="0"/>
      <w:marTop w:val="0"/>
      <w:marBottom w:val="0"/>
      <w:divBdr>
        <w:top w:val="none" w:sz="0" w:space="0" w:color="auto"/>
        <w:left w:val="none" w:sz="0" w:space="0" w:color="auto"/>
        <w:bottom w:val="none" w:sz="0" w:space="0" w:color="auto"/>
        <w:right w:val="none" w:sz="0" w:space="0" w:color="auto"/>
      </w:divBdr>
    </w:div>
    <w:div w:id="82456452">
      <w:bodyDiv w:val="1"/>
      <w:marLeft w:val="0"/>
      <w:marRight w:val="0"/>
      <w:marTop w:val="0"/>
      <w:marBottom w:val="0"/>
      <w:divBdr>
        <w:top w:val="none" w:sz="0" w:space="0" w:color="auto"/>
        <w:left w:val="none" w:sz="0" w:space="0" w:color="auto"/>
        <w:bottom w:val="none" w:sz="0" w:space="0" w:color="auto"/>
        <w:right w:val="none" w:sz="0" w:space="0" w:color="auto"/>
      </w:divBdr>
    </w:div>
    <w:div w:id="82606774">
      <w:bodyDiv w:val="1"/>
      <w:marLeft w:val="0"/>
      <w:marRight w:val="0"/>
      <w:marTop w:val="0"/>
      <w:marBottom w:val="0"/>
      <w:divBdr>
        <w:top w:val="none" w:sz="0" w:space="0" w:color="auto"/>
        <w:left w:val="none" w:sz="0" w:space="0" w:color="auto"/>
        <w:bottom w:val="none" w:sz="0" w:space="0" w:color="auto"/>
        <w:right w:val="none" w:sz="0" w:space="0" w:color="auto"/>
      </w:divBdr>
    </w:div>
    <w:div w:id="82607242">
      <w:bodyDiv w:val="1"/>
      <w:marLeft w:val="0"/>
      <w:marRight w:val="0"/>
      <w:marTop w:val="0"/>
      <w:marBottom w:val="0"/>
      <w:divBdr>
        <w:top w:val="none" w:sz="0" w:space="0" w:color="auto"/>
        <w:left w:val="none" w:sz="0" w:space="0" w:color="auto"/>
        <w:bottom w:val="none" w:sz="0" w:space="0" w:color="auto"/>
        <w:right w:val="none" w:sz="0" w:space="0" w:color="auto"/>
      </w:divBdr>
    </w:div>
    <w:div w:id="82990772">
      <w:bodyDiv w:val="1"/>
      <w:marLeft w:val="0"/>
      <w:marRight w:val="0"/>
      <w:marTop w:val="0"/>
      <w:marBottom w:val="0"/>
      <w:divBdr>
        <w:top w:val="none" w:sz="0" w:space="0" w:color="auto"/>
        <w:left w:val="none" w:sz="0" w:space="0" w:color="auto"/>
        <w:bottom w:val="none" w:sz="0" w:space="0" w:color="auto"/>
        <w:right w:val="none" w:sz="0" w:space="0" w:color="auto"/>
      </w:divBdr>
    </w:div>
    <w:div w:id="84226721">
      <w:bodyDiv w:val="1"/>
      <w:marLeft w:val="0"/>
      <w:marRight w:val="0"/>
      <w:marTop w:val="0"/>
      <w:marBottom w:val="0"/>
      <w:divBdr>
        <w:top w:val="none" w:sz="0" w:space="0" w:color="auto"/>
        <w:left w:val="none" w:sz="0" w:space="0" w:color="auto"/>
        <w:bottom w:val="none" w:sz="0" w:space="0" w:color="auto"/>
        <w:right w:val="none" w:sz="0" w:space="0" w:color="auto"/>
      </w:divBdr>
    </w:div>
    <w:div w:id="84887550">
      <w:bodyDiv w:val="1"/>
      <w:marLeft w:val="0"/>
      <w:marRight w:val="0"/>
      <w:marTop w:val="0"/>
      <w:marBottom w:val="0"/>
      <w:divBdr>
        <w:top w:val="none" w:sz="0" w:space="0" w:color="auto"/>
        <w:left w:val="none" w:sz="0" w:space="0" w:color="auto"/>
        <w:bottom w:val="none" w:sz="0" w:space="0" w:color="auto"/>
        <w:right w:val="none" w:sz="0" w:space="0" w:color="auto"/>
      </w:divBdr>
    </w:div>
    <w:div w:id="85269287">
      <w:bodyDiv w:val="1"/>
      <w:marLeft w:val="0"/>
      <w:marRight w:val="0"/>
      <w:marTop w:val="0"/>
      <w:marBottom w:val="0"/>
      <w:divBdr>
        <w:top w:val="none" w:sz="0" w:space="0" w:color="auto"/>
        <w:left w:val="none" w:sz="0" w:space="0" w:color="auto"/>
        <w:bottom w:val="none" w:sz="0" w:space="0" w:color="auto"/>
        <w:right w:val="none" w:sz="0" w:space="0" w:color="auto"/>
      </w:divBdr>
    </w:div>
    <w:div w:id="85467294">
      <w:bodyDiv w:val="1"/>
      <w:marLeft w:val="0"/>
      <w:marRight w:val="0"/>
      <w:marTop w:val="0"/>
      <w:marBottom w:val="0"/>
      <w:divBdr>
        <w:top w:val="none" w:sz="0" w:space="0" w:color="auto"/>
        <w:left w:val="none" w:sz="0" w:space="0" w:color="auto"/>
        <w:bottom w:val="none" w:sz="0" w:space="0" w:color="auto"/>
        <w:right w:val="none" w:sz="0" w:space="0" w:color="auto"/>
      </w:divBdr>
    </w:div>
    <w:div w:id="85539269">
      <w:bodyDiv w:val="1"/>
      <w:marLeft w:val="0"/>
      <w:marRight w:val="0"/>
      <w:marTop w:val="0"/>
      <w:marBottom w:val="0"/>
      <w:divBdr>
        <w:top w:val="none" w:sz="0" w:space="0" w:color="auto"/>
        <w:left w:val="none" w:sz="0" w:space="0" w:color="auto"/>
        <w:bottom w:val="none" w:sz="0" w:space="0" w:color="auto"/>
        <w:right w:val="none" w:sz="0" w:space="0" w:color="auto"/>
      </w:divBdr>
    </w:div>
    <w:div w:id="86998895">
      <w:bodyDiv w:val="1"/>
      <w:marLeft w:val="0"/>
      <w:marRight w:val="0"/>
      <w:marTop w:val="0"/>
      <w:marBottom w:val="0"/>
      <w:divBdr>
        <w:top w:val="none" w:sz="0" w:space="0" w:color="auto"/>
        <w:left w:val="none" w:sz="0" w:space="0" w:color="auto"/>
        <w:bottom w:val="none" w:sz="0" w:space="0" w:color="auto"/>
        <w:right w:val="none" w:sz="0" w:space="0" w:color="auto"/>
      </w:divBdr>
    </w:div>
    <w:div w:id="88238912">
      <w:bodyDiv w:val="1"/>
      <w:marLeft w:val="0"/>
      <w:marRight w:val="0"/>
      <w:marTop w:val="0"/>
      <w:marBottom w:val="0"/>
      <w:divBdr>
        <w:top w:val="none" w:sz="0" w:space="0" w:color="auto"/>
        <w:left w:val="none" w:sz="0" w:space="0" w:color="auto"/>
        <w:bottom w:val="none" w:sz="0" w:space="0" w:color="auto"/>
        <w:right w:val="none" w:sz="0" w:space="0" w:color="auto"/>
      </w:divBdr>
    </w:div>
    <w:div w:id="88309694">
      <w:bodyDiv w:val="1"/>
      <w:marLeft w:val="0"/>
      <w:marRight w:val="0"/>
      <w:marTop w:val="0"/>
      <w:marBottom w:val="0"/>
      <w:divBdr>
        <w:top w:val="none" w:sz="0" w:space="0" w:color="auto"/>
        <w:left w:val="none" w:sz="0" w:space="0" w:color="auto"/>
        <w:bottom w:val="none" w:sz="0" w:space="0" w:color="auto"/>
        <w:right w:val="none" w:sz="0" w:space="0" w:color="auto"/>
      </w:divBdr>
    </w:div>
    <w:div w:id="88619797">
      <w:bodyDiv w:val="1"/>
      <w:marLeft w:val="0"/>
      <w:marRight w:val="0"/>
      <w:marTop w:val="0"/>
      <w:marBottom w:val="0"/>
      <w:divBdr>
        <w:top w:val="none" w:sz="0" w:space="0" w:color="auto"/>
        <w:left w:val="none" w:sz="0" w:space="0" w:color="auto"/>
        <w:bottom w:val="none" w:sz="0" w:space="0" w:color="auto"/>
        <w:right w:val="none" w:sz="0" w:space="0" w:color="auto"/>
      </w:divBdr>
    </w:div>
    <w:div w:id="88812797">
      <w:bodyDiv w:val="1"/>
      <w:marLeft w:val="0"/>
      <w:marRight w:val="0"/>
      <w:marTop w:val="0"/>
      <w:marBottom w:val="0"/>
      <w:divBdr>
        <w:top w:val="none" w:sz="0" w:space="0" w:color="auto"/>
        <w:left w:val="none" w:sz="0" w:space="0" w:color="auto"/>
        <w:bottom w:val="none" w:sz="0" w:space="0" w:color="auto"/>
        <w:right w:val="none" w:sz="0" w:space="0" w:color="auto"/>
      </w:divBdr>
    </w:div>
    <w:div w:id="88897208">
      <w:bodyDiv w:val="1"/>
      <w:marLeft w:val="0"/>
      <w:marRight w:val="0"/>
      <w:marTop w:val="0"/>
      <w:marBottom w:val="0"/>
      <w:divBdr>
        <w:top w:val="none" w:sz="0" w:space="0" w:color="auto"/>
        <w:left w:val="none" w:sz="0" w:space="0" w:color="auto"/>
        <w:bottom w:val="none" w:sz="0" w:space="0" w:color="auto"/>
        <w:right w:val="none" w:sz="0" w:space="0" w:color="auto"/>
      </w:divBdr>
    </w:div>
    <w:div w:id="89396484">
      <w:bodyDiv w:val="1"/>
      <w:marLeft w:val="0"/>
      <w:marRight w:val="0"/>
      <w:marTop w:val="0"/>
      <w:marBottom w:val="0"/>
      <w:divBdr>
        <w:top w:val="none" w:sz="0" w:space="0" w:color="auto"/>
        <w:left w:val="none" w:sz="0" w:space="0" w:color="auto"/>
        <w:bottom w:val="none" w:sz="0" w:space="0" w:color="auto"/>
        <w:right w:val="none" w:sz="0" w:space="0" w:color="auto"/>
      </w:divBdr>
    </w:div>
    <w:div w:id="91165026">
      <w:bodyDiv w:val="1"/>
      <w:marLeft w:val="0"/>
      <w:marRight w:val="0"/>
      <w:marTop w:val="0"/>
      <w:marBottom w:val="0"/>
      <w:divBdr>
        <w:top w:val="none" w:sz="0" w:space="0" w:color="auto"/>
        <w:left w:val="none" w:sz="0" w:space="0" w:color="auto"/>
        <w:bottom w:val="none" w:sz="0" w:space="0" w:color="auto"/>
        <w:right w:val="none" w:sz="0" w:space="0" w:color="auto"/>
      </w:divBdr>
    </w:div>
    <w:div w:id="91315678">
      <w:bodyDiv w:val="1"/>
      <w:marLeft w:val="0"/>
      <w:marRight w:val="0"/>
      <w:marTop w:val="0"/>
      <w:marBottom w:val="0"/>
      <w:divBdr>
        <w:top w:val="none" w:sz="0" w:space="0" w:color="auto"/>
        <w:left w:val="none" w:sz="0" w:space="0" w:color="auto"/>
        <w:bottom w:val="none" w:sz="0" w:space="0" w:color="auto"/>
        <w:right w:val="none" w:sz="0" w:space="0" w:color="auto"/>
      </w:divBdr>
    </w:div>
    <w:div w:id="92865250">
      <w:bodyDiv w:val="1"/>
      <w:marLeft w:val="0"/>
      <w:marRight w:val="0"/>
      <w:marTop w:val="0"/>
      <w:marBottom w:val="0"/>
      <w:divBdr>
        <w:top w:val="none" w:sz="0" w:space="0" w:color="auto"/>
        <w:left w:val="none" w:sz="0" w:space="0" w:color="auto"/>
        <w:bottom w:val="none" w:sz="0" w:space="0" w:color="auto"/>
        <w:right w:val="none" w:sz="0" w:space="0" w:color="auto"/>
      </w:divBdr>
    </w:div>
    <w:div w:id="94134095">
      <w:bodyDiv w:val="1"/>
      <w:marLeft w:val="0"/>
      <w:marRight w:val="0"/>
      <w:marTop w:val="0"/>
      <w:marBottom w:val="0"/>
      <w:divBdr>
        <w:top w:val="none" w:sz="0" w:space="0" w:color="auto"/>
        <w:left w:val="none" w:sz="0" w:space="0" w:color="auto"/>
        <w:bottom w:val="none" w:sz="0" w:space="0" w:color="auto"/>
        <w:right w:val="none" w:sz="0" w:space="0" w:color="auto"/>
      </w:divBdr>
    </w:div>
    <w:div w:id="94248616">
      <w:bodyDiv w:val="1"/>
      <w:marLeft w:val="0"/>
      <w:marRight w:val="0"/>
      <w:marTop w:val="0"/>
      <w:marBottom w:val="0"/>
      <w:divBdr>
        <w:top w:val="none" w:sz="0" w:space="0" w:color="auto"/>
        <w:left w:val="none" w:sz="0" w:space="0" w:color="auto"/>
        <w:bottom w:val="none" w:sz="0" w:space="0" w:color="auto"/>
        <w:right w:val="none" w:sz="0" w:space="0" w:color="auto"/>
      </w:divBdr>
    </w:div>
    <w:div w:id="94330917">
      <w:bodyDiv w:val="1"/>
      <w:marLeft w:val="0"/>
      <w:marRight w:val="0"/>
      <w:marTop w:val="0"/>
      <w:marBottom w:val="0"/>
      <w:divBdr>
        <w:top w:val="none" w:sz="0" w:space="0" w:color="auto"/>
        <w:left w:val="none" w:sz="0" w:space="0" w:color="auto"/>
        <w:bottom w:val="none" w:sz="0" w:space="0" w:color="auto"/>
        <w:right w:val="none" w:sz="0" w:space="0" w:color="auto"/>
      </w:divBdr>
    </w:div>
    <w:div w:id="94834446">
      <w:bodyDiv w:val="1"/>
      <w:marLeft w:val="0"/>
      <w:marRight w:val="0"/>
      <w:marTop w:val="0"/>
      <w:marBottom w:val="0"/>
      <w:divBdr>
        <w:top w:val="none" w:sz="0" w:space="0" w:color="auto"/>
        <w:left w:val="none" w:sz="0" w:space="0" w:color="auto"/>
        <w:bottom w:val="none" w:sz="0" w:space="0" w:color="auto"/>
        <w:right w:val="none" w:sz="0" w:space="0" w:color="auto"/>
      </w:divBdr>
    </w:div>
    <w:div w:id="94987507">
      <w:bodyDiv w:val="1"/>
      <w:marLeft w:val="0"/>
      <w:marRight w:val="0"/>
      <w:marTop w:val="0"/>
      <w:marBottom w:val="0"/>
      <w:divBdr>
        <w:top w:val="none" w:sz="0" w:space="0" w:color="auto"/>
        <w:left w:val="none" w:sz="0" w:space="0" w:color="auto"/>
        <w:bottom w:val="none" w:sz="0" w:space="0" w:color="auto"/>
        <w:right w:val="none" w:sz="0" w:space="0" w:color="auto"/>
      </w:divBdr>
    </w:div>
    <w:div w:id="95374066">
      <w:bodyDiv w:val="1"/>
      <w:marLeft w:val="0"/>
      <w:marRight w:val="0"/>
      <w:marTop w:val="0"/>
      <w:marBottom w:val="0"/>
      <w:divBdr>
        <w:top w:val="none" w:sz="0" w:space="0" w:color="auto"/>
        <w:left w:val="none" w:sz="0" w:space="0" w:color="auto"/>
        <w:bottom w:val="none" w:sz="0" w:space="0" w:color="auto"/>
        <w:right w:val="none" w:sz="0" w:space="0" w:color="auto"/>
      </w:divBdr>
    </w:div>
    <w:div w:id="95757983">
      <w:bodyDiv w:val="1"/>
      <w:marLeft w:val="0"/>
      <w:marRight w:val="0"/>
      <w:marTop w:val="0"/>
      <w:marBottom w:val="0"/>
      <w:divBdr>
        <w:top w:val="none" w:sz="0" w:space="0" w:color="auto"/>
        <w:left w:val="none" w:sz="0" w:space="0" w:color="auto"/>
        <w:bottom w:val="none" w:sz="0" w:space="0" w:color="auto"/>
        <w:right w:val="none" w:sz="0" w:space="0" w:color="auto"/>
      </w:divBdr>
    </w:div>
    <w:div w:id="96565460">
      <w:bodyDiv w:val="1"/>
      <w:marLeft w:val="0"/>
      <w:marRight w:val="0"/>
      <w:marTop w:val="0"/>
      <w:marBottom w:val="0"/>
      <w:divBdr>
        <w:top w:val="none" w:sz="0" w:space="0" w:color="auto"/>
        <w:left w:val="none" w:sz="0" w:space="0" w:color="auto"/>
        <w:bottom w:val="none" w:sz="0" w:space="0" w:color="auto"/>
        <w:right w:val="none" w:sz="0" w:space="0" w:color="auto"/>
      </w:divBdr>
    </w:div>
    <w:div w:id="97020459">
      <w:bodyDiv w:val="1"/>
      <w:marLeft w:val="0"/>
      <w:marRight w:val="0"/>
      <w:marTop w:val="0"/>
      <w:marBottom w:val="0"/>
      <w:divBdr>
        <w:top w:val="none" w:sz="0" w:space="0" w:color="auto"/>
        <w:left w:val="none" w:sz="0" w:space="0" w:color="auto"/>
        <w:bottom w:val="none" w:sz="0" w:space="0" w:color="auto"/>
        <w:right w:val="none" w:sz="0" w:space="0" w:color="auto"/>
      </w:divBdr>
    </w:div>
    <w:div w:id="97023239">
      <w:bodyDiv w:val="1"/>
      <w:marLeft w:val="0"/>
      <w:marRight w:val="0"/>
      <w:marTop w:val="0"/>
      <w:marBottom w:val="0"/>
      <w:divBdr>
        <w:top w:val="none" w:sz="0" w:space="0" w:color="auto"/>
        <w:left w:val="none" w:sz="0" w:space="0" w:color="auto"/>
        <w:bottom w:val="none" w:sz="0" w:space="0" w:color="auto"/>
        <w:right w:val="none" w:sz="0" w:space="0" w:color="auto"/>
      </w:divBdr>
    </w:div>
    <w:div w:id="97064854">
      <w:bodyDiv w:val="1"/>
      <w:marLeft w:val="0"/>
      <w:marRight w:val="0"/>
      <w:marTop w:val="0"/>
      <w:marBottom w:val="0"/>
      <w:divBdr>
        <w:top w:val="none" w:sz="0" w:space="0" w:color="auto"/>
        <w:left w:val="none" w:sz="0" w:space="0" w:color="auto"/>
        <w:bottom w:val="none" w:sz="0" w:space="0" w:color="auto"/>
        <w:right w:val="none" w:sz="0" w:space="0" w:color="auto"/>
      </w:divBdr>
    </w:div>
    <w:div w:id="97409766">
      <w:bodyDiv w:val="1"/>
      <w:marLeft w:val="0"/>
      <w:marRight w:val="0"/>
      <w:marTop w:val="0"/>
      <w:marBottom w:val="0"/>
      <w:divBdr>
        <w:top w:val="none" w:sz="0" w:space="0" w:color="auto"/>
        <w:left w:val="none" w:sz="0" w:space="0" w:color="auto"/>
        <w:bottom w:val="none" w:sz="0" w:space="0" w:color="auto"/>
        <w:right w:val="none" w:sz="0" w:space="0" w:color="auto"/>
      </w:divBdr>
    </w:div>
    <w:div w:id="97794976">
      <w:bodyDiv w:val="1"/>
      <w:marLeft w:val="0"/>
      <w:marRight w:val="0"/>
      <w:marTop w:val="0"/>
      <w:marBottom w:val="0"/>
      <w:divBdr>
        <w:top w:val="none" w:sz="0" w:space="0" w:color="auto"/>
        <w:left w:val="none" w:sz="0" w:space="0" w:color="auto"/>
        <w:bottom w:val="none" w:sz="0" w:space="0" w:color="auto"/>
        <w:right w:val="none" w:sz="0" w:space="0" w:color="auto"/>
      </w:divBdr>
    </w:div>
    <w:div w:id="98258453">
      <w:bodyDiv w:val="1"/>
      <w:marLeft w:val="0"/>
      <w:marRight w:val="0"/>
      <w:marTop w:val="0"/>
      <w:marBottom w:val="0"/>
      <w:divBdr>
        <w:top w:val="none" w:sz="0" w:space="0" w:color="auto"/>
        <w:left w:val="none" w:sz="0" w:space="0" w:color="auto"/>
        <w:bottom w:val="none" w:sz="0" w:space="0" w:color="auto"/>
        <w:right w:val="none" w:sz="0" w:space="0" w:color="auto"/>
      </w:divBdr>
    </w:div>
    <w:div w:id="98377006">
      <w:bodyDiv w:val="1"/>
      <w:marLeft w:val="0"/>
      <w:marRight w:val="0"/>
      <w:marTop w:val="0"/>
      <w:marBottom w:val="0"/>
      <w:divBdr>
        <w:top w:val="none" w:sz="0" w:space="0" w:color="auto"/>
        <w:left w:val="none" w:sz="0" w:space="0" w:color="auto"/>
        <w:bottom w:val="none" w:sz="0" w:space="0" w:color="auto"/>
        <w:right w:val="none" w:sz="0" w:space="0" w:color="auto"/>
      </w:divBdr>
    </w:div>
    <w:div w:id="98456103">
      <w:bodyDiv w:val="1"/>
      <w:marLeft w:val="0"/>
      <w:marRight w:val="0"/>
      <w:marTop w:val="0"/>
      <w:marBottom w:val="0"/>
      <w:divBdr>
        <w:top w:val="none" w:sz="0" w:space="0" w:color="auto"/>
        <w:left w:val="none" w:sz="0" w:space="0" w:color="auto"/>
        <w:bottom w:val="none" w:sz="0" w:space="0" w:color="auto"/>
        <w:right w:val="none" w:sz="0" w:space="0" w:color="auto"/>
      </w:divBdr>
    </w:div>
    <w:div w:id="98793395">
      <w:bodyDiv w:val="1"/>
      <w:marLeft w:val="0"/>
      <w:marRight w:val="0"/>
      <w:marTop w:val="0"/>
      <w:marBottom w:val="0"/>
      <w:divBdr>
        <w:top w:val="none" w:sz="0" w:space="0" w:color="auto"/>
        <w:left w:val="none" w:sz="0" w:space="0" w:color="auto"/>
        <w:bottom w:val="none" w:sz="0" w:space="0" w:color="auto"/>
        <w:right w:val="none" w:sz="0" w:space="0" w:color="auto"/>
      </w:divBdr>
    </w:div>
    <w:div w:id="99642188">
      <w:bodyDiv w:val="1"/>
      <w:marLeft w:val="0"/>
      <w:marRight w:val="0"/>
      <w:marTop w:val="0"/>
      <w:marBottom w:val="0"/>
      <w:divBdr>
        <w:top w:val="none" w:sz="0" w:space="0" w:color="auto"/>
        <w:left w:val="none" w:sz="0" w:space="0" w:color="auto"/>
        <w:bottom w:val="none" w:sz="0" w:space="0" w:color="auto"/>
        <w:right w:val="none" w:sz="0" w:space="0" w:color="auto"/>
      </w:divBdr>
    </w:div>
    <w:div w:id="99835954">
      <w:bodyDiv w:val="1"/>
      <w:marLeft w:val="0"/>
      <w:marRight w:val="0"/>
      <w:marTop w:val="0"/>
      <w:marBottom w:val="0"/>
      <w:divBdr>
        <w:top w:val="none" w:sz="0" w:space="0" w:color="auto"/>
        <w:left w:val="none" w:sz="0" w:space="0" w:color="auto"/>
        <w:bottom w:val="none" w:sz="0" w:space="0" w:color="auto"/>
        <w:right w:val="none" w:sz="0" w:space="0" w:color="auto"/>
      </w:divBdr>
    </w:div>
    <w:div w:id="99882470">
      <w:bodyDiv w:val="1"/>
      <w:marLeft w:val="0"/>
      <w:marRight w:val="0"/>
      <w:marTop w:val="0"/>
      <w:marBottom w:val="0"/>
      <w:divBdr>
        <w:top w:val="none" w:sz="0" w:space="0" w:color="auto"/>
        <w:left w:val="none" w:sz="0" w:space="0" w:color="auto"/>
        <w:bottom w:val="none" w:sz="0" w:space="0" w:color="auto"/>
        <w:right w:val="none" w:sz="0" w:space="0" w:color="auto"/>
      </w:divBdr>
    </w:div>
    <w:div w:id="100105302">
      <w:bodyDiv w:val="1"/>
      <w:marLeft w:val="0"/>
      <w:marRight w:val="0"/>
      <w:marTop w:val="0"/>
      <w:marBottom w:val="0"/>
      <w:divBdr>
        <w:top w:val="none" w:sz="0" w:space="0" w:color="auto"/>
        <w:left w:val="none" w:sz="0" w:space="0" w:color="auto"/>
        <w:bottom w:val="none" w:sz="0" w:space="0" w:color="auto"/>
        <w:right w:val="none" w:sz="0" w:space="0" w:color="auto"/>
      </w:divBdr>
    </w:div>
    <w:div w:id="100418513">
      <w:bodyDiv w:val="1"/>
      <w:marLeft w:val="0"/>
      <w:marRight w:val="0"/>
      <w:marTop w:val="0"/>
      <w:marBottom w:val="0"/>
      <w:divBdr>
        <w:top w:val="none" w:sz="0" w:space="0" w:color="auto"/>
        <w:left w:val="none" w:sz="0" w:space="0" w:color="auto"/>
        <w:bottom w:val="none" w:sz="0" w:space="0" w:color="auto"/>
        <w:right w:val="none" w:sz="0" w:space="0" w:color="auto"/>
      </w:divBdr>
    </w:div>
    <w:div w:id="100686102">
      <w:bodyDiv w:val="1"/>
      <w:marLeft w:val="0"/>
      <w:marRight w:val="0"/>
      <w:marTop w:val="0"/>
      <w:marBottom w:val="0"/>
      <w:divBdr>
        <w:top w:val="none" w:sz="0" w:space="0" w:color="auto"/>
        <w:left w:val="none" w:sz="0" w:space="0" w:color="auto"/>
        <w:bottom w:val="none" w:sz="0" w:space="0" w:color="auto"/>
        <w:right w:val="none" w:sz="0" w:space="0" w:color="auto"/>
      </w:divBdr>
    </w:div>
    <w:div w:id="100878341">
      <w:bodyDiv w:val="1"/>
      <w:marLeft w:val="0"/>
      <w:marRight w:val="0"/>
      <w:marTop w:val="0"/>
      <w:marBottom w:val="0"/>
      <w:divBdr>
        <w:top w:val="none" w:sz="0" w:space="0" w:color="auto"/>
        <w:left w:val="none" w:sz="0" w:space="0" w:color="auto"/>
        <w:bottom w:val="none" w:sz="0" w:space="0" w:color="auto"/>
        <w:right w:val="none" w:sz="0" w:space="0" w:color="auto"/>
      </w:divBdr>
    </w:div>
    <w:div w:id="101727964">
      <w:bodyDiv w:val="1"/>
      <w:marLeft w:val="0"/>
      <w:marRight w:val="0"/>
      <w:marTop w:val="0"/>
      <w:marBottom w:val="0"/>
      <w:divBdr>
        <w:top w:val="none" w:sz="0" w:space="0" w:color="auto"/>
        <w:left w:val="none" w:sz="0" w:space="0" w:color="auto"/>
        <w:bottom w:val="none" w:sz="0" w:space="0" w:color="auto"/>
        <w:right w:val="none" w:sz="0" w:space="0" w:color="auto"/>
      </w:divBdr>
    </w:div>
    <w:div w:id="101993974">
      <w:bodyDiv w:val="1"/>
      <w:marLeft w:val="0"/>
      <w:marRight w:val="0"/>
      <w:marTop w:val="0"/>
      <w:marBottom w:val="0"/>
      <w:divBdr>
        <w:top w:val="none" w:sz="0" w:space="0" w:color="auto"/>
        <w:left w:val="none" w:sz="0" w:space="0" w:color="auto"/>
        <w:bottom w:val="none" w:sz="0" w:space="0" w:color="auto"/>
        <w:right w:val="none" w:sz="0" w:space="0" w:color="auto"/>
      </w:divBdr>
    </w:div>
    <w:div w:id="102186748">
      <w:bodyDiv w:val="1"/>
      <w:marLeft w:val="0"/>
      <w:marRight w:val="0"/>
      <w:marTop w:val="0"/>
      <w:marBottom w:val="0"/>
      <w:divBdr>
        <w:top w:val="none" w:sz="0" w:space="0" w:color="auto"/>
        <w:left w:val="none" w:sz="0" w:space="0" w:color="auto"/>
        <w:bottom w:val="none" w:sz="0" w:space="0" w:color="auto"/>
        <w:right w:val="none" w:sz="0" w:space="0" w:color="auto"/>
      </w:divBdr>
    </w:div>
    <w:div w:id="102503673">
      <w:bodyDiv w:val="1"/>
      <w:marLeft w:val="0"/>
      <w:marRight w:val="0"/>
      <w:marTop w:val="0"/>
      <w:marBottom w:val="0"/>
      <w:divBdr>
        <w:top w:val="none" w:sz="0" w:space="0" w:color="auto"/>
        <w:left w:val="none" w:sz="0" w:space="0" w:color="auto"/>
        <w:bottom w:val="none" w:sz="0" w:space="0" w:color="auto"/>
        <w:right w:val="none" w:sz="0" w:space="0" w:color="auto"/>
      </w:divBdr>
    </w:div>
    <w:div w:id="102653164">
      <w:bodyDiv w:val="1"/>
      <w:marLeft w:val="0"/>
      <w:marRight w:val="0"/>
      <w:marTop w:val="0"/>
      <w:marBottom w:val="0"/>
      <w:divBdr>
        <w:top w:val="none" w:sz="0" w:space="0" w:color="auto"/>
        <w:left w:val="none" w:sz="0" w:space="0" w:color="auto"/>
        <w:bottom w:val="none" w:sz="0" w:space="0" w:color="auto"/>
        <w:right w:val="none" w:sz="0" w:space="0" w:color="auto"/>
      </w:divBdr>
    </w:div>
    <w:div w:id="102700011">
      <w:bodyDiv w:val="1"/>
      <w:marLeft w:val="0"/>
      <w:marRight w:val="0"/>
      <w:marTop w:val="0"/>
      <w:marBottom w:val="0"/>
      <w:divBdr>
        <w:top w:val="none" w:sz="0" w:space="0" w:color="auto"/>
        <w:left w:val="none" w:sz="0" w:space="0" w:color="auto"/>
        <w:bottom w:val="none" w:sz="0" w:space="0" w:color="auto"/>
        <w:right w:val="none" w:sz="0" w:space="0" w:color="auto"/>
      </w:divBdr>
    </w:div>
    <w:div w:id="103043251">
      <w:bodyDiv w:val="1"/>
      <w:marLeft w:val="0"/>
      <w:marRight w:val="0"/>
      <w:marTop w:val="0"/>
      <w:marBottom w:val="0"/>
      <w:divBdr>
        <w:top w:val="none" w:sz="0" w:space="0" w:color="auto"/>
        <w:left w:val="none" w:sz="0" w:space="0" w:color="auto"/>
        <w:bottom w:val="none" w:sz="0" w:space="0" w:color="auto"/>
        <w:right w:val="none" w:sz="0" w:space="0" w:color="auto"/>
      </w:divBdr>
    </w:div>
    <w:div w:id="104228581">
      <w:bodyDiv w:val="1"/>
      <w:marLeft w:val="0"/>
      <w:marRight w:val="0"/>
      <w:marTop w:val="0"/>
      <w:marBottom w:val="0"/>
      <w:divBdr>
        <w:top w:val="none" w:sz="0" w:space="0" w:color="auto"/>
        <w:left w:val="none" w:sz="0" w:space="0" w:color="auto"/>
        <w:bottom w:val="none" w:sz="0" w:space="0" w:color="auto"/>
        <w:right w:val="none" w:sz="0" w:space="0" w:color="auto"/>
      </w:divBdr>
    </w:div>
    <w:div w:id="105122898">
      <w:bodyDiv w:val="1"/>
      <w:marLeft w:val="0"/>
      <w:marRight w:val="0"/>
      <w:marTop w:val="0"/>
      <w:marBottom w:val="0"/>
      <w:divBdr>
        <w:top w:val="none" w:sz="0" w:space="0" w:color="auto"/>
        <w:left w:val="none" w:sz="0" w:space="0" w:color="auto"/>
        <w:bottom w:val="none" w:sz="0" w:space="0" w:color="auto"/>
        <w:right w:val="none" w:sz="0" w:space="0" w:color="auto"/>
      </w:divBdr>
    </w:div>
    <w:div w:id="105972852">
      <w:bodyDiv w:val="1"/>
      <w:marLeft w:val="0"/>
      <w:marRight w:val="0"/>
      <w:marTop w:val="0"/>
      <w:marBottom w:val="0"/>
      <w:divBdr>
        <w:top w:val="none" w:sz="0" w:space="0" w:color="auto"/>
        <w:left w:val="none" w:sz="0" w:space="0" w:color="auto"/>
        <w:bottom w:val="none" w:sz="0" w:space="0" w:color="auto"/>
        <w:right w:val="none" w:sz="0" w:space="0" w:color="auto"/>
      </w:divBdr>
    </w:div>
    <w:div w:id="107241459">
      <w:bodyDiv w:val="1"/>
      <w:marLeft w:val="0"/>
      <w:marRight w:val="0"/>
      <w:marTop w:val="0"/>
      <w:marBottom w:val="0"/>
      <w:divBdr>
        <w:top w:val="none" w:sz="0" w:space="0" w:color="auto"/>
        <w:left w:val="none" w:sz="0" w:space="0" w:color="auto"/>
        <w:bottom w:val="none" w:sz="0" w:space="0" w:color="auto"/>
        <w:right w:val="none" w:sz="0" w:space="0" w:color="auto"/>
      </w:divBdr>
    </w:div>
    <w:div w:id="107438043">
      <w:bodyDiv w:val="1"/>
      <w:marLeft w:val="0"/>
      <w:marRight w:val="0"/>
      <w:marTop w:val="0"/>
      <w:marBottom w:val="0"/>
      <w:divBdr>
        <w:top w:val="none" w:sz="0" w:space="0" w:color="auto"/>
        <w:left w:val="none" w:sz="0" w:space="0" w:color="auto"/>
        <w:bottom w:val="none" w:sz="0" w:space="0" w:color="auto"/>
        <w:right w:val="none" w:sz="0" w:space="0" w:color="auto"/>
      </w:divBdr>
    </w:div>
    <w:div w:id="108093275">
      <w:bodyDiv w:val="1"/>
      <w:marLeft w:val="0"/>
      <w:marRight w:val="0"/>
      <w:marTop w:val="0"/>
      <w:marBottom w:val="0"/>
      <w:divBdr>
        <w:top w:val="none" w:sz="0" w:space="0" w:color="auto"/>
        <w:left w:val="none" w:sz="0" w:space="0" w:color="auto"/>
        <w:bottom w:val="none" w:sz="0" w:space="0" w:color="auto"/>
        <w:right w:val="none" w:sz="0" w:space="0" w:color="auto"/>
      </w:divBdr>
    </w:div>
    <w:div w:id="112096226">
      <w:bodyDiv w:val="1"/>
      <w:marLeft w:val="0"/>
      <w:marRight w:val="0"/>
      <w:marTop w:val="0"/>
      <w:marBottom w:val="0"/>
      <w:divBdr>
        <w:top w:val="none" w:sz="0" w:space="0" w:color="auto"/>
        <w:left w:val="none" w:sz="0" w:space="0" w:color="auto"/>
        <w:bottom w:val="none" w:sz="0" w:space="0" w:color="auto"/>
        <w:right w:val="none" w:sz="0" w:space="0" w:color="auto"/>
      </w:divBdr>
    </w:div>
    <w:div w:id="113141084">
      <w:bodyDiv w:val="1"/>
      <w:marLeft w:val="0"/>
      <w:marRight w:val="0"/>
      <w:marTop w:val="0"/>
      <w:marBottom w:val="0"/>
      <w:divBdr>
        <w:top w:val="none" w:sz="0" w:space="0" w:color="auto"/>
        <w:left w:val="none" w:sz="0" w:space="0" w:color="auto"/>
        <w:bottom w:val="none" w:sz="0" w:space="0" w:color="auto"/>
        <w:right w:val="none" w:sz="0" w:space="0" w:color="auto"/>
      </w:divBdr>
    </w:div>
    <w:div w:id="115148172">
      <w:bodyDiv w:val="1"/>
      <w:marLeft w:val="0"/>
      <w:marRight w:val="0"/>
      <w:marTop w:val="0"/>
      <w:marBottom w:val="0"/>
      <w:divBdr>
        <w:top w:val="none" w:sz="0" w:space="0" w:color="auto"/>
        <w:left w:val="none" w:sz="0" w:space="0" w:color="auto"/>
        <w:bottom w:val="none" w:sz="0" w:space="0" w:color="auto"/>
        <w:right w:val="none" w:sz="0" w:space="0" w:color="auto"/>
      </w:divBdr>
    </w:div>
    <w:div w:id="115567499">
      <w:bodyDiv w:val="1"/>
      <w:marLeft w:val="0"/>
      <w:marRight w:val="0"/>
      <w:marTop w:val="0"/>
      <w:marBottom w:val="0"/>
      <w:divBdr>
        <w:top w:val="none" w:sz="0" w:space="0" w:color="auto"/>
        <w:left w:val="none" w:sz="0" w:space="0" w:color="auto"/>
        <w:bottom w:val="none" w:sz="0" w:space="0" w:color="auto"/>
        <w:right w:val="none" w:sz="0" w:space="0" w:color="auto"/>
      </w:divBdr>
    </w:div>
    <w:div w:id="115830283">
      <w:bodyDiv w:val="1"/>
      <w:marLeft w:val="0"/>
      <w:marRight w:val="0"/>
      <w:marTop w:val="0"/>
      <w:marBottom w:val="0"/>
      <w:divBdr>
        <w:top w:val="none" w:sz="0" w:space="0" w:color="auto"/>
        <w:left w:val="none" w:sz="0" w:space="0" w:color="auto"/>
        <w:bottom w:val="none" w:sz="0" w:space="0" w:color="auto"/>
        <w:right w:val="none" w:sz="0" w:space="0" w:color="auto"/>
      </w:divBdr>
    </w:div>
    <w:div w:id="115879517">
      <w:bodyDiv w:val="1"/>
      <w:marLeft w:val="0"/>
      <w:marRight w:val="0"/>
      <w:marTop w:val="0"/>
      <w:marBottom w:val="0"/>
      <w:divBdr>
        <w:top w:val="none" w:sz="0" w:space="0" w:color="auto"/>
        <w:left w:val="none" w:sz="0" w:space="0" w:color="auto"/>
        <w:bottom w:val="none" w:sz="0" w:space="0" w:color="auto"/>
        <w:right w:val="none" w:sz="0" w:space="0" w:color="auto"/>
      </w:divBdr>
    </w:div>
    <w:div w:id="117455918">
      <w:bodyDiv w:val="1"/>
      <w:marLeft w:val="0"/>
      <w:marRight w:val="0"/>
      <w:marTop w:val="0"/>
      <w:marBottom w:val="0"/>
      <w:divBdr>
        <w:top w:val="none" w:sz="0" w:space="0" w:color="auto"/>
        <w:left w:val="none" w:sz="0" w:space="0" w:color="auto"/>
        <w:bottom w:val="none" w:sz="0" w:space="0" w:color="auto"/>
        <w:right w:val="none" w:sz="0" w:space="0" w:color="auto"/>
      </w:divBdr>
    </w:div>
    <w:div w:id="117649457">
      <w:bodyDiv w:val="1"/>
      <w:marLeft w:val="0"/>
      <w:marRight w:val="0"/>
      <w:marTop w:val="0"/>
      <w:marBottom w:val="0"/>
      <w:divBdr>
        <w:top w:val="none" w:sz="0" w:space="0" w:color="auto"/>
        <w:left w:val="none" w:sz="0" w:space="0" w:color="auto"/>
        <w:bottom w:val="none" w:sz="0" w:space="0" w:color="auto"/>
        <w:right w:val="none" w:sz="0" w:space="0" w:color="auto"/>
      </w:divBdr>
    </w:div>
    <w:div w:id="118181473">
      <w:bodyDiv w:val="1"/>
      <w:marLeft w:val="0"/>
      <w:marRight w:val="0"/>
      <w:marTop w:val="0"/>
      <w:marBottom w:val="0"/>
      <w:divBdr>
        <w:top w:val="none" w:sz="0" w:space="0" w:color="auto"/>
        <w:left w:val="none" w:sz="0" w:space="0" w:color="auto"/>
        <w:bottom w:val="none" w:sz="0" w:space="0" w:color="auto"/>
        <w:right w:val="none" w:sz="0" w:space="0" w:color="auto"/>
      </w:divBdr>
    </w:div>
    <w:div w:id="118838576">
      <w:bodyDiv w:val="1"/>
      <w:marLeft w:val="0"/>
      <w:marRight w:val="0"/>
      <w:marTop w:val="0"/>
      <w:marBottom w:val="0"/>
      <w:divBdr>
        <w:top w:val="none" w:sz="0" w:space="0" w:color="auto"/>
        <w:left w:val="none" w:sz="0" w:space="0" w:color="auto"/>
        <w:bottom w:val="none" w:sz="0" w:space="0" w:color="auto"/>
        <w:right w:val="none" w:sz="0" w:space="0" w:color="auto"/>
      </w:divBdr>
    </w:div>
    <w:div w:id="118844567">
      <w:bodyDiv w:val="1"/>
      <w:marLeft w:val="0"/>
      <w:marRight w:val="0"/>
      <w:marTop w:val="0"/>
      <w:marBottom w:val="0"/>
      <w:divBdr>
        <w:top w:val="none" w:sz="0" w:space="0" w:color="auto"/>
        <w:left w:val="none" w:sz="0" w:space="0" w:color="auto"/>
        <w:bottom w:val="none" w:sz="0" w:space="0" w:color="auto"/>
        <w:right w:val="none" w:sz="0" w:space="0" w:color="auto"/>
      </w:divBdr>
    </w:div>
    <w:div w:id="119107654">
      <w:bodyDiv w:val="1"/>
      <w:marLeft w:val="0"/>
      <w:marRight w:val="0"/>
      <w:marTop w:val="0"/>
      <w:marBottom w:val="0"/>
      <w:divBdr>
        <w:top w:val="none" w:sz="0" w:space="0" w:color="auto"/>
        <w:left w:val="none" w:sz="0" w:space="0" w:color="auto"/>
        <w:bottom w:val="none" w:sz="0" w:space="0" w:color="auto"/>
        <w:right w:val="none" w:sz="0" w:space="0" w:color="auto"/>
      </w:divBdr>
    </w:div>
    <w:div w:id="119425542">
      <w:bodyDiv w:val="1"/>
      <w:marLeft w:val="0"/>
      <w:marRight w:val="0"/>
      <w:marTop w:val="0"/>
      <w:marBottom w:val="0"/>
      <w:divBdr>
        <w:top w:val="none" w:sz="0" w:space="0" w:color="auto"/>
        <w:left w:val="none" w:sz="0" w:space="0" w:color="auto"/>
        <w:bottom w:val="none" w:sz="0" w:space="0" w:color="auto"/>
        <w:right w:val="none" w:sz="0" w:space="0" w:color="auto"/>
      </w:divBdr>
    </w:div>
    <w:div w:id="120535720">
      <w:bodyDiv w:val="1"/>
      <w:marLeft w:val="0"/>
      <w:marRight w:val="0"/>
      <w:marTop w:val="0"/>
      <w:marBottom w:val="0"/>
      <w:divBdr>
        <w:top w:val="none" w:sz="0" w:space="0" w:color="auto"/>
        <w:left w:val="none" w:sz="0" w:space="0" w:color="auto"/>
        <w:bottom w:val="none" w:sz="0" w:space="0" w:color="auto"/>
        <w:right w:val="none" w:sz="0" w:space="0" w:color="auto"/>
      </w:divBdr>
    </w:div>
    <w:div w:id="120926226">
      <w:bodyDiv w:val="1"/>
      <w:marLeft w:val="0"/>
      <w:marRight w:val="0"/>
      <w:marTop w:val="0"/>
      <w:marBottom w:val="0"/>
      <w:divBdr>
        <w:top w:val="none" w:sz="0" w:space="0" w:color="auto"/>
        <w:left w:val="none" w:sz="0" w:space="0" w:color="auto"/>
        <w:bottom w:val="none" w:sz="0" w:space="0" w:color="auto"/>
        <w:right w:val="none" w:sz="0" w:space="0" w:color="auto"/>
      </w:divBdr>
    </w:div>
    <w:div w:id="122508093">
      <w:bodyDiv w:val="1"/>
      <w:marLeft w:val="0"/>
      <w:marRight w:val="0"/>
      <w:marTop w:val="0"/>
      <w:marBottom w:val="0"/>
      <w:divBdr>
        <w:top w:val="none" w:sz="0" w:space="0" w:color="auto"/>
        <w:left w:val="none" w:sz="0" w:space="0" w:color="auto"/>
        <w:bottom w:val="none" w:sz="0" w:space="0" w:color="auto"/>
        <w:right w:val="none" w:sz="0" w:space="0" w:color="auto"/>
      </w:divBdr>
    </w:div>
    <w:div w:id="123351783">
      <w:bodyDiv w:val="1"/>
      <w:marLeft w:val="0"/>
      <w:marRight w:val="0"/>
      <w:marTop w:val="0"/>
      <w:marBottom w:val="0"/>
      <w:divBdr>
        <w:top w:val="none" w:sz="0" w:space="0" w:color="auto"/>
        <w:left w:val="none" w:sz="0" w:space="0" w:color="auto"/>
        <w:bottom w:val="none" w:sz="0" w:space="0" w:color="auto"/>
        <w:right w:val="none" w:sz="0" w:space="0" w:color="auto"/>
      </w:divBdr>
    </w:div>
    <w:div w:id="123542164">
      <w:bodyDiv w:val="1"/>
      <w:marLeft w:val="0"/>
      <w:marRight w:val="0"/>
      <w:marTop w:val="0"/>
      <w:marBottom w:val="0"/>
      <w:divBdr>
        <w:top w:val="none" w:sz="0" w:space="0" w:color="auto"/>
        <w:left w:val="none" w:sz="0" w:space="0" w:color="auto"/>
        <w:bottom w:val="none" w:sz="0" w:space="0" w:color="auto"/>
        <w:right w:val="none" w:sz="0" w:space="0" w:color="auto"/>
      </w:divBdr>
    </w:div>
    <w:div w:id="125243668">
      <w:bodyDiv w:val="1"/>
      <w:marLeft w:val="0"/>
      <w:marRight w:val="0"/>
      <w:marTop w:val="0"/>
      <w:marBottom w:val="0"/>
      <w:divBdr>
        <w:top w:val="none" w:sz="0" w:space="0" w:color="auto"/>
        <w:left w:val="none" w:sz="0" w:space="0" w:color="auto"/>
        <w:bottom w:val="none" w:sz="0" w:space="0" w:color="auto"/>
        <w:right w:val="none" w:sz="0" w:space="0" w:color="auto"/>
      </w:divBdr>
    </w:div>
    <w:div w:id="125511851">
      <w:bodyDiv w:val="1"/>
      <w:marLeft w:val="0"/>
      <w:marRight w:val="0"/>
      <w:marTop w:val="0"/>
      <w:marBottom w:val="0"/>
      <w:divBdr>
        <w:top w:val="none" w:sz="0" w:space="0" w:color="auto"/>
        <w:left w:val="none" w:sz="0" w:space="0" w:color="auto"/>
        <w:bottom w:val="none" w:sz="0" w:space="0" w:color="auto"/>
        <w:right w:val="none" w:sz="0" w:space="0" w:color="auto"/>
      </w:divBdr>
    </w:div>
    <w:div w:id="126897777">
      <w:bodyDiv w:val="1"/>
      <w:marLeft w:val="0"/>
      <w:marRight w:val="0"/>
      <w:marTop w:val="0"/>
      <w:marBottom w:val="0"/>
      <w:divBdr>
        <w:top w:val="none" w:sz="0" w:space="0" w:color="auto"/>
        <w:left w:val="none" w:sz="0" w:space="0" w:color="auto"/>
        <w:bottom w:val="none" w:sz="0" w:space="0" w:color="auto"/>
        <w:right w:val="none" w:sz="0" w:space="0" w:color="auto"/>
      </w:divBdr>
    </w:div>
    <w:div w:id="127171276">
      <w:bodyDiv w:val="1"/>
      <w:marLeft w:val="0"/>
      <w:marRight w:val="0"/>
      <w:marTop w:val="0"/>
      <w:marBottom w:val="0"/>
      <w:divBdr>
        <w:top w:val="none" w:sz="0" w:space="0" w:color="auto"/>
        <w:left w:val="none" w:sz="0" w:space="0" w:color="auto"/>
        <w:bottom w:val="none" w:sz="0" w:space="0" w:color="auto"/>
        <w:right w:val="none" w:sz="0" w:space="0" w:color="auto"/>
      </w:divBdr>
    </w:div>
    <w:div w:id="127402191">
      <w:bodyDiv w:val="1"/>
      <w:marLeft w:val="0"/>
      <w:marRight w:val="0"/>
      <w:marTop w:val="0"/>
      <w:marBottom w:val="0"/>
      <w:divBdr>
        <w:top w:val="none" w:sz="0" w:space="0" w:color="auto"/>
        <w:left w:val="none" w:sz="0" w:space="0" w:color="auto"/>
        <w:bottom w:val="none" w:sz="0" w:space="0" w:color="auto"/>
        <w:right w:val="none" w:sz="0" w:space="0" w:color="auto"/>
      </w:divBdr>
    </w:div>
    <w:div w:id="128784799">
      <w:bodyDiv w:val="1"/>
      <w:marLeft w:val="0"/>
      <w:marRight w:val="0"/>
      <w:marTop w:val="0"/>
      <w:marBottom w:val="0"/>
      <w:divBdr>
        <w:top w:val="none" w:sz="0" w:space="0" w:color="auto"/>
        <w:left w:val="none" w:sz="0" w:space="0" w:color="auto"/>
        <w:bottom w:val="none" w:sz="0" w:space="0" w:color="auto"/>
        <w:right w:val="none" w:sz="0" w:space="0" w:color="auto"/>
      </w:divBdr>
    </w:div>
    <w:div w:id="128937647">
      <w:bodyDiv w:val="1"/>
      <w:marLeft w:val="0"/>
      <w:marRight w:val="0"/>
      <w:marTop w:val="0"/>
      <w:marBottom w:val="0"/>
      <w:divBdr>
        <w:top w:val="none" w:sz="0" w:space="0" w:color="auto"/>
        <w:left w:val="none" w:sz="0" w:space="0" w:color="auto"/>
        <w:bottom w:val="none" w:sz="0" w:space="0" w:color="auto"/>
        <w:right w:val="none" w:sz="0" w:space="0" w:color="auto"/>
      </w:divBdr>
    </w:div>
    <w:div w:id="129173693">
      <w:bodyDiv w:val="1"/>
      <w:marLeft w:val="0"/>
      <w:marRight w:val="0"/>
      <w:marTop w:val="0"/>
      <w:marBottom w:val="0"/>
      <w:divBdr>
        <w:top w:val="none" w:sz="0" w:space="0" w:color="auto"/>
        <w:left w:val="none" w:sz="0" w:space="0" w:color="auto"/>
        <w:bottom w:val="none" w:sz="0" w:space="0" w:color="auto"/>
        <w:right w:val="none" w:sz="0" w:space="0" w:color="auto"/>
      </w:divBdr>
    </w:div>
    <w:div w:id="129593738">
      <w:bodyDiv w:val="1"/>
      <w:marLeft w:val="0"/>
      <w:marRight w:val="0"/>
      <w:marTop w:val="0"/>
      <w:marBottom w:val="0"/>
      <w:divBdr>
        <w:top w:val="none" w:sz="0" w:space="0" w:color="auto"/>
        <w:left w:val="none" w:sz="0" w:space="0" w:color="auto"/>
        <w:bottom w:val="none" w:sz="0" w:space="0" w:color="auto"/>
        <w:right w:val="none" w:sz="0" w:space="0" w:color="auto"/>
      </w:divBdr>
    </w:div>
    <w:div w:id="131407262">
      <w:bodyDiv w:val="1"/>
      <w:marLeft w:val="0"/>
      <w:marRight w:val="0"/>
      <w:marTop w:val="0"/>
      <w:marBottom w:val="0"/>
      <w:divBdr>
        <w:top w:val="none" w:sz="0" w:space="0" w:color="auto"/>
        <w:left w:val="none" w:sz="0" w:space="0" w:color="auto"/>
        <w:bottom w:val="none" w:sz="0" w:space="0" w:color="auto"/>
        <w:right w:val="none" w:sz="0" w:space="0" w:color="auto"/>
      </w:divBdr>
    </w:div>
    <w:div w:id="131602951">
      <w:bodyDiv w:val="1"/>
      <w:marLeft w:val="0"/>
      <w:marRight w:val="0"/>
      <w:marTop w:val="0"/>
      <w:marBottom w:val="0"/>
      <w:divBdr>
        <w:top w:val="none" w:sz="0" w:space="0" w:color="auto"/>
        <w:left w:val="none" w:sz="0" w:space="0" w:color="auto"/>
        <w:bottom w:val="none" w:sz="0" w:space="0" w:color="auto"/>
        <w:right w:val="none" w:sz="0" w:space="0" w:color="auto"/>
      </w:divBdr>
    </w:div>
    <w:div w:id="133449052">
      <w:bodyDiv w:val="1"/>
      <w:marLeft w:val="0"/>
      <w:marRight w:val="0"/>
      <w:marTop w:val="0"/>
      <w:marBottom w:val="0"/>
      <w:divBdr>
        <w:top w:val="none" w:sz="0" w:space="0" w:color="auto"/>
        <w:left w:val="none" w:sz="0" w:space="0" w:color="auto"/>
        <w:bottom w:val="none" w:sz="0" w:space="0" w:color="auto"/>
        <w:right w:val="none" w:sz="0" w:space="0" w:color="auto"/>
      </w:divBdr>
    </w:div>
    <w:div w:id="134414383">
      <w:bodyDiv w:val="1"/>
      <w:marLeft w:val="0"/>
      <w:marRight w:val="0"/>
      <w:marTop w:val="0"/>
      <w:marBottom w:val="0"/>
      <w:divBdr>
        <w:top w:val="none" w:sz="0" w:space="0" w:color="auto"/>
        <w:left w:val="none" w:sz="0" w:space="0" w:color="auto"/>
        <w:bottom w:val="none" w:sz="0" w:space="0" w:color="auto"/>
        <w:right w:val="none" w:sz="0" w:space="0" w:color="auto"/>
      </w:divBdr>
    </w:div>
    <w:div w:id="136150689">
      <w:bodyDiv w:val="1"/>
      <w:marLeft w:val="0"/>
      <w:marRight w:val="0"/>
      <w:marTop w:val="0"/>
      <w:marBottom w:val="0"/>
      <w:divBdr>
        <w:top w:val="none" w:sz="0" w:space="0" w:color="auto"/>
        <w:left w:val="none" w:sz="0" w:space="0" w:color="auto"/>
        <w:bottom w:val="none" w:sz="0" w:space="0" w:color="auto"/>
        <w:right w:val="none" w:sz="0" w:space="0" w:color="auto"/>
      </w:divBdr>
    </w:div>
    <w:div w:id="136455348">
      <w:bodyDiv w:val="1"/>
      <w:marLeft w:val="0"/>
      <w:marRight w:val="0"/>
      <w:marTop w:val="0"/>
      <w:marBottom w:val="0"/>
      <w:divBdr>
        <w:top w:val="none" w:sz="0" w:space="0" w:color="auto"/>
        <w:left w:val="none" w:sz="0" w:space="0" w:color="auto"/>
        <w:bottom w:val="none" w:sz="0" w:space="0" w:color="auto"/>
        <w:right w:val="none" w:sz="0" w:space="0" w:color="auto"/>
      </w:divBdr>
    </w:div>
    <w:div w:id="136531226">
      <w:bodyDiv w:val="1"/>
      <w:marLeft w:val="0"/>
      <w:marRight w:val="0"/>
      <w:marTop w:val="0"/>
      <w:marBottom w:val="0"/>
      <w:divBdr>
        <w:top w:val="none" w:sz="0" w:space="0" w:color="auto"/>
        <w:left w:val="none" w:sz="0" w:space="0" w:color="auto"/>
        <w:bottom w:val="none" w:sz="0" w:space="0" w:color="auto"/>
        <w:right w:val="none" w:sz="0" w:space="0" w:color="auto"/>
      </w:divBdr>
    </w:div>
    <w:div w:id="136533110">
      <w:bodyDiv w:val="1"/>
      <w:marLeft w:val="0"/>
      <w:marRight w:val="0"/>
      <w:marTop w:val="0"/>
      <w:marBottom w:val="0"/>
      <w:divBdr>
        <w:top w:val="none" w:sz="0" w:space="0" w:color="auto"/>
        <w:left w:val="none" w:sz="0" w:space="0" w:color="auto"/>
        <w:bottom w:val="none" w:sz="0" w:space="0" w:color="auto"/>
        <w:right w:val="none" w:sz="0" w:space="0" w:color="auto"/>
      </w:divBdr>
    </w:div>
    <w:div w:id="136916594">
      <w:bodyDiv w:val="1"/>
      <w:marLeft w:val="0"/>
      <w:marRight w:val="0"/>
      <w:marTop w:val="0"/>
      <w:marBottom w:val="0"/>
      <w:divBdr>
        <w:top w:val="none" w:sz="0" w:space="0" w:color="auto"/>
        <w:left w:val="none" w:sz="0" w:space="0" w:color="auto"/>
        <w:bottom w:val="none" w:sz="0" w:space="0" w:color="auto"/>
        <w:right w:val="none" w:sz="0" w:space="0" w:color="auto"/>
      </w:divBdr>
    </w:div>
    <w:div w:id="137233433">
      <w:bodyDiv w:val="1"/>
      <w:marLeft w:val="0"/>
      <w:marRight w:val="0"/>
      <w:marTop w:val="0"/>
      <w:marBottom w:val="0"/>
      <w:divBdr>
        <w:top w:val="none" w:sz="0" w:space="0" w:color="auto"/>
        <w:left w:val="none" w:sz="0" w:space="0" w:color="auto"/>
        <w:bottom w:val="none" w:sz="0" w:space="0" w:color="auto"/>
        <w:right w:val="none" w:sz="0" w:space="0" w:color="auto"/>
      </w:divBdr>
    </w:div>
    <w:div w:id="137501710">
      <w:bodyDiv w:val="1"/>
      <w:marLeft w:val="0"/>
      <w:marRight w:val="0"/>
      <w:marTop w:val="0"/>
      <w:marBottom w:val="0"/>
      <w:divBdr>
        <w:top w:val="none" w:sz="0" w:space="0" w:color="auto"/>
        <w:left w:val="none" w:sz="0" w:space="0" w:color="auto"/>
        <w:bottom w:val="none" w:sz="0" w:space="0" w:color="auto"/>
        <w:right w:val="none" w:sz="0" w:space="0" w:color="auto"/>
      </w:divBdr>
    </w:div>
    <w:div w:id="138350190">
      <w:bodyDiv w:val="1"/>
      <w:marLeft w:val="0"/>
      <w:marRight w:val="0"/>
      <w:marTop w:val="0"/>
      <w:marBottom w:val="0"/>
      <w:divBdr>
        <w:top w:val="none" w:sz="0" w:space="0" w:color="auto"/>
        <w:left w:val="none" w:sz="0" w:space="0" w:color="auto"/>
        <w:bottom w:val="none" w:sz="0" w:space="0" w:color="auto"/>
        <w:right w:val="none" w:sz="0" w:space="0" w:color="auto"/>
      </w:divBdr>
    </w:div>
    <w:div w:id="141890465">
      <w:bodyDiv w:val="1"/>
      <w:marLeft w:val="0"/>
      <w:marRight w:val="0"/>
      <w:marTop w:val="0"/>
      <w:marBottom w:val="0"/>
      <w:divBdr>
        <w:top w:val="none" w:sz="0" w:space="0" w:color="auto"/>
        <w:left w:val="none" w:sz="0" w:space="0" w:color="auto"/>
        <w:bottom w:val="none" w:sz="0" w:space="0" w:color="auto"/>
        <w:right w:val="none" w:sz="0" w:space="0" w:color="auto"/>
      </w:divBdr>
    </w:div>
    <w:div w:id="142356543">
      <w:bodyDiv w:val="1"/>
      <w:marLeft w:val="0"/>
      <w:marRight w:val="0"/>
      <w:marTop w:val="0"/>
      <w:marBottom w:val="0"/>
      <w:divBdr>
        <w:top w:val="none" w:sz="0" w:space="0" w:color="auto"/>
        <w:left w:val="none" w:sz="0" w:space="0" w:color="auto"/>
        <w:bottom w:val="none" w:sz="0" w:space="0" w:color="auto"/>
        <w:right w:val="none" w:sz="0" w:space="0" w:color="auto"/>
      </w:divBdr>
    </w:div>
    <w:div w:id="142501902">
      <w:bodyDiv w:val="1"/>
      <w:marLeft w:val="0"/>
      <w:marRight w:val="0"/>
      <w:marTop w:val="0"/>
      <w:marBottom w:val="0"/>
      <w:divBdr>
        <w:top w:val="none" w:sz="0" w:space="0" w:color="auto"/>
        <w:left w:val="none" w:sz="0" w:space="0" w:color="auto"/>
        <w:bottom w:val="none" w:sz="0" w:space="0" w:color="auto"/>
        <w:right w:val="none" w:sz="0" w:space="0" w:color="auto"/>
      </w:divBdr>
    </w:div>
    <w:div w:id="142550064">
      <w:bodyDiv w:val="1"/>
      <w:marLeft w:val="0"/>
      <w:marRight w:val="0"/>
      <w:marTop w:val="0"/>
      <w:marBottom w:val="0"/>
      <w:divBdr>
        <w:top w:val="none" w:sz="0" w:space="0" w:color="auto"/>
        <w:left w:val="none" w:sz="0" w:space="0" w:color="auto"/>
        <w:bottom w:val="none" w:sz="0" w:space="0" w:color="auto"/>
        <w:right w:val="none" w:sz="0" w:space="0" w:color="auto"/>
      </w:divBdr>
    </w:div>
    <w:div w:id="142701170">
      <w:bodyDiv w:val="1"/>
      <w:marLeft w:val="0"/>
      <w:marRight w:val="0"/>
      <w:marTop w:val="0"/>
      <w:marBottom w:val="0"/>
      <w:divBdr>
        <w:top w:val="none" w:sz="0" w:space="0" w:color="auto"/>
        <w:left w:val="none" w:sz="0" w:space="0" w:color="auto"/>
        <w:bottom w:val="none" w:sz="0" w:space="0" w:color="auto"/>
        <w:right w:val="none" w:sz="0" w:space="0" w:color="auto"/>
      </w:divBdr>
    </w:div>
    <w:div w:id="142934086">
      <w:bodyDiv w:val="1"/>
      <w:marLeft w:val="0"/>
      <w:marRight w:val="0"/>
      <w:marTop w:val="0"/>
      <w:marBottom w:val="0"/>
      <w:divBdr>
        <w:top w:val="none" w:sz="0" w:space="0" w:color="auto"/>
        <w:left w:val="none" w:sz="0" w:space="0" w:color="auto"/>
        <w:bottom w:val="none" w:sz="0" w:space="0" w:color="auto"/>
        <w:right w:val="none" w:sz="0" w:space="0" w:color="auto"/>
      </w:divBdr>
    </w:div>
    <w:div w:id="143356869">
      <w:bodyDiv w:val="1"/>
      <w:marLeft w:val="0"/>
      <w:marRight w:val="0"/>
      <w:marTop w:val="0"/>
      <w:marBottom w:val="0"/>
      <w:divBdr>
        <w:top w:val="none" w:sz="0" w:space="0" w:color="auto"/>
        <w:left w:val="none" w:sz="0" w:space="0" w:color="auto"/>
        <w:bottom w:val="none" w:sz="0" w:space="0" w:color="auto"/>
        <w:right w:val="none" w:sz="0" w:space="0" w:color="auto"/>
      </w:divBdr>
    </w:div>
    <w:div w:id="144008829">
      <w:bodyDiv w:val="1"/>
      <w:marLeft w:val="0"/>
      <w:marRight w:val="0"/>
      <w:marTop w:val="0"/>
      <w:marBottom w:val="0"/>
      <w:divBdr>
        <w:top w:val="none" w:sz="0" w:space="0" w:color="auto"/>
        <w:left w:val="none" w:sz="0" w:space="0" w:color="auto"/>
        <w:bottom w:val="none" w:sz="0" w:space="0" w:color="auto"/>
        <w:right w:val="none" w:sz="0" w:space="0" w:color="auto"/>
      </w:divBdr>
    </w:div>
    <w:div w:id="144319718">
      <w:bodyDiv w:val="1"/>
      <w:marLeft w:val="0"/>
      <w:marRight w:val="0"/>
      <w:marTop w:val="0"/>
      <w:marBottom w:val="0"/>
      <w:divBdr>
        <w:top w:val="none" w:sz="0" w:space="0" w:color="auto"/>
        <w:left w:val="none" w:sz="0" w:space="0" w:color="auto"/>
        <w:bottom w:val="none" w:sz="0" w:space="0" w:color="auto"/>
        <w:right w:val="none" w:sz="0" w:space="0" w:color="auto"/>
      </w:divBdr>
    </w:div>
    <w:div w:id="144324608">
      <w:bodyDiv w:val="1"/>
      <w:marLeft w:val="0"/>
      <w:marRight w:val="0"/>
      <w:marTop w:val="0"/>
      <w:marBottom w:val="0"/>
      <w:divBdr>
        <w:top w:val="none" w:sz="0" w:space="0" w:color="auto"/>
        <w:left w:val="none" w:sz="0" w:space="0" w:color="auto"/>
        <w:bottom w:val="none" w:sz="0" w:space="0" w:color="auto"/>
        <w:right w:val="none" w:sz="0" w:space="0" w:color="auto"/>
      </w:divBdr>
    </w:div>
    <w:div w:id="145899728">
      <w:bodyDiv w:val="1"/>
      <w:marLeft w:val="0"/>
      <w:marRight w:val="0"/>
      <w:marTop w:val="0"/>
      <w:marBottom w:val="0"/>
      <w:divBdr>
        <w:top w:val="none" w:sz="0" w:space="0" w:color="auto"/>
        <w:left w:val="none" w:sz="0" w:space="0" w:color="auto"/>
        <w:bottom w:val="none" w:sz="0" w:space="0" w:color="auto"/>
        <w:right w:val="none" w:sz="0" w:space="0" w:color="auto"/>
      </w:divBdr>
    </w:div>
    <w:div w:id="146632960">
      <w:bodyDiv w:val="1"/>
      <w:marLeft w:val="0"/>
      <w:marRight w:val="0"/>
      <w:marTop w:val="0"/>
      <w:marBottom w:val="0"/>
      <w:divBdr>
        <w:top w:val="none" w:sz="0" w:space="0" w:color="auto"/>
        <w:left w:val="none" w:sz="0" w:space="0" w:color="auto"/>
        <w:bottom w:val="none" w:sz="0" w:space="0" w:color="auto"/>
        <w:right w:val="none" w:sz="0" w:space="0" w:color="auto"/>
      </w:divBdr>
    </w:div>
    <w:div w:id="147553726">
      <w:bodyDiv w:val="1"/>
      <w:marLeft w:val="0"/>
      <w:marRight w:val="0"/>
      <w:marTop w:val="0"/>
      <w:marBottom w:val="0"/>
      <w:divBdr>
        <w:top w:val="none" w:sz="0" w:space="0" w:color="auto"/>
        <w:left w:val="none" w:sz="0" w:space="0" w:color="auto"/>
        <w:bottom w:val="none" w:sz="0" w:space="0" w:color="auto"/>
        <w:right w:val="none" w:sz="0" w:space="0" w:color="auto"/>
      </w:divBdr>
    </w:div>
    <w:div w:id="147670205">
      <w:bodyDiv w:val="1"/>
      <w:marLeft w:val="0"/>
      <w:marRight w:val="0"/>
      <w:marTop w:val="0"/>
      <w:marBottom w:val="0"/>
      <w:divBdr>
        <w:top w:val="none" w:sz="0" w:space="0" w:color="auto"/>
        <w:left w:val="none" w:sz="0" w:space="0" w:color="auto"/>
        <w:bottom w:val="none" w:sz="0" w:space="0" w:color="auto"/>
        <w:right w:val="none" w:sz="0" w:space="0" w:color="auto"/>
      </w:divBdr>
    </w:div>
    <w:div w:id="148063986">
      <w:bodyDiv w:val="1"/>
      <w:marLeft w:val="0"/>
      <w:marRight w:val="0"/>
      <w:marTop w:val="0"/>
      <w:marBottom w:val="0"/>
      <w:divBdr>
        <w:top w:val="none" w:sz="0" w:space="0" w:color="auto"/>
        <w:left w:val="none" w:sz="0" w:space="0" w:color="auto"/>
        <w:bottom w:val="none" w:sz="0" w:space="0" w:color="auto"/>
        <w:right w:val="none" w:sz="0" w:space="0" w:color="auto"/>
      </w:divBdr>
    </w:div>
    <w:div w:id="148130714">
      <w:bodyDiv w:val="1"/>
      <w:marLeft w:val="0"/>
      <w:marRight w:val="0"/>
      <w:marTop w:val="0"/>
      <w:marBottom w:val="0"/>
      <w:divBdr>
        <w:top w:val="none" w:sz="0" w:space="0" w:color="auto"/>
        <w:left w:val="none" w:sz="0" w:space="0" w:color="auto"/>
        <w:bottom w:val="none" w:sz="0" w:space="0" w:color="auto"/>
        <w:right w:val="none" w:sz="0" w:space="0" w:color="auto"/>
      </w:divBdr>
    </w:div>
    <w:div w:id="148324828">
      <w:bodyDiv w:val="1"/>
      <w:marLeft w:val="0"/>
      <w:marRight w:val="0"/>
      <w:marTop w:val="0"/>
      <w:marBottom w:val="0"/>
      <w:divBdr>
        <w:top w:val="none" w:sz="0" w:space="0" w:color="auto"/>
        <w:left w:val="none" w:sz="0" w:space="0" w:color="auto"/>
        <w:bottom w:val="none" w:sz="0" w:space="0" w:color="auto"/>
        <w:right w:val="none" w:sz="0" w:space="0" w:color="auto"/>
      </w:divBdr>
    </w:div>
    <w:div w:id="148668135">
      <w:bodyDiv w:val="1"/>
      <w:marLeft w:val="0"/>
      <w:marRight w:val="0"/>
      <w:marTop w:val="0"/>
      <w:marBottom w:val="0"/>
      <w:divBdr>
        <w:top w:val="none" w:sz="0" w:space="0" w:color="auto"/>
        <w:left w:val="none" w:sz="0" w:space="0" w:color="auto"/>
        <w:bottom w:val="none" w:sz="0" w:space="0" w:color="auto"/>
        <w:right w:val="none" w:sz="0" w:space="0" w:color="auto"/>
      </w:divBdr>
    </w:div>
    <w:div w:id="148983188">
      <w:bodyDiv w:val="1"/>
      <w:marLeft w:val="0"/>
      <w:marRight w:val="0"/>
      <w:marTop w:val="0"/>
      <w:marBottom w:val="0"/>
      <w:divBdr>
        <w:top w:val="none" w:sz="0" w:space="0" w:color="auto"/>
        <w:left w:val="none" w:sz="0" w:space="0" w:color="auto"/>
        <w:bottom w:val="none" w:sz="0" w:space="0" w:color="auto"/>
        <w:right w:val="none" w:sz="0" w:space="0" w:color="auto"/>
      </w:divBdr>
    </w:div>
    <w:div w:id="149564471">
      <w:bodyDiv w:val="1"/>
      <w:marLeft w:val="0"/>
      <w:marRight w:val="0"/>
      <w:marTop w:val="0"/>
      <w:marBottom w:val="0"/>
      <w:divBdr>
        <w:top w:val="none" w:sz="0" w:space="0" w:color="auto"/>
        <w:left w:val="none" w:sz="0" w:space="0" w:color="auto"/>
        <w:bottom w:val="none" w:sz="0" w:space="0" w:color="auto"/>
        <w:right w:val="none" w:sz="0" w:space="0" w:color="auto"/>
      </w:divBdr>
    </w:div>
    <w:div w:id="149643086">
      <w:bodyDiv w:val="1"/>
      <w:marLeft w:val="0"/>
      <w:marRight w:val="0"/>
      <w:marTop w:val="0"/>
      <w:marBottom w:val="0"/>
      <w:divBdr>
        <w:top w:val="none" w:sz="0" w:space="0" w:color="auto"/>
        <w:left w:val="none" w:sz="0" w:space="0" w:color="auto"/>
        <w:bottom w:val="none" w:sz="0" w:space="0" w:color="auto"/>
        <w:right w:val="none" w:sz="0" w:space="0" w:color="auto"/>
      </w:divBdr>
    </w:div>
    <w:div w:id="150415983">
      <w:bodyDiv w:val="1"/>
      <w:marLeft w:val="0"/>
      <w:marRight w:val="0"/>
      <w:marTop w:val="0"/>
      <w:marBottom w:val="0"/>
      <w:divBdr>
        <w:top w:val="none" w:sz="0" w:space="0" w:color="auto"/>
        <w:left w:val="none" w:sz="0" w:space="0" w:color="auto"/>
        <w:bottom w:val="none" w:sz="0" w:space="0" w:color="auto"/>
        <w:right w:val="none" w:sz="0" w:space="0" w:color="auto"/>
      </w:divBdr>
    </w:div>
    <w:div w:id="150945843">
      <w:bodyDiv w:val="1"/>
      <w:marLeft w:val="0"/>
      <w:marRight w:val="0"/>
      <w:marTop w:val="0"/>
      <w:marBottom w:val="0"/>
      <w:divBdr>
        <w:top w:val="none" w:sz="0" w:space="0" w:color="auto"/>
        <w:left w:val="none" w:sz="0" w:space="0" w:color="auto"/>
        <w:bottom w:val="none" w:sz="0" w:space="0" w:color="auto"/>
        <w:right w:val="none" w:sz="0" w:space="0" w:color="auto"/>
      </w:divBdr>
    </w:div>
    <w:div w:id="151993894">
      <w:bodyDiv w:val="1"/>
      <w:marLeft w:val="0"/>
      <w:marRight w:val="0"/>
      <w:marTop w:val="0"/>
      <w:marBottom w:val="0"/>
      <w:divBdr>
        <w:top w:val="none" w:sz="0" w:space="0" w:color="auto"/>
        <w:left w:val="none" w:sz="0" w:space="0" w:color="auto"/>
        <w:bottom w:val="none" w:sz="0" w:space="0" w:color="auto"/>
        <w:right w:val="none" w:sz="0" w:space="0" w:color="auto"/>
      </w:divBdr>
    </w:div>
    <w:div w:id="154422547">
      <w:bodyDiv w:val="1"/>
      <w:marLeft w:val="0"/>
      <w:marRight w:val="0"/>
      <w:marTop w:val="0"/>
      <w:marBottom w:val="0"/>
      <w:divBdr>
        <w:top w:val="none" w:sz="0" w:space="0" w:color="auto"/>
        <w:left w:val="none" w:sz="0" w:space="0" w:color="auto"/>
        <w:bottom w:val="none" w:sz="0" w:space="0" w:color="auto"/>
        <w:right w:val="none" w:sz="0" w:space="0" w:color="auto"/>
      </w:divBdr>
    </w:div>
    <w:div w:id="155152748">
      <w:bodyDiv w:val="1"/>
      <w:marLeft w:val="0"/>
      <w:marRight w:val="0"/>
      <w:marTop w:val="0"/>
      <w:marBottom w:val="0"/>
      <w:divBdr>
        <w:top w:val="none" w:sz="0" w:space="0" w:color="auto"/>
        <w:left w:val="none" w:sz="0" w:space="0" w:color="auto"/>
        <w:bottom w:val="none" w:sz="0" w:space="0" w:color="auto"/>
        <w:right w:val="none" w:sz="0" w:space="0" w:color="auto"/>
      </w:divBdr>
    </w:div>
    <w:div w:id="155728625">
      <w:bodyDiv w:val="1"/>
      <w:marLeft w:val="0"/>
      <w:marRight w:val="0"/>
      <w:marTop w:val="0"/>
      <w:marBottom w:val="0"/>
      <w:divBdr>
        <w:top w:val="none" w:sz="0" w:space="0" w:color="auto"/>
        <w:left w:val="none" w:sz="0" w:space="0" w:color="auto"/>
        <w:bottom w:val="none" w:sz="0" w:space="0" w:color="auto"/>
        <w:right w:val="none" w:sz="0" w:space="0" w:color="auto"/>
      </w:divBdr>
    </w:div>
    <w:div w:id="156000561">
      <w:bodyDiv w:val="1"/>
      <w:marLeft w:val="0"/>
      <w:marRight w:val="0"/>
      <w:marTop w:val="0"/>
      <w:marBottom w:val="0"/>
      <w:divBdr>
        <w:top w:val="none" w:sz="0" w:space="0" w:color="auto"/>
        <w:left w:val="none" w:sz="0" w:space="0" w:color="auto"/>
        <w:bottom w:val="none" w:sz="0" w:space="0" w:color="auto"/>
        <w:right w:val="none" w:sz="0" w:space="0" w:color="auto"/>
      </w:divBdr>
    </w:div>
    <w:div w:id="156073100">
      <w:bodyDiv w:val="1"/>
      <w:marLeft w:val="0"/>
      <w:marRight w:val="0"/>
      <w:marTop w:val="0"/>
      <w:marBottom w:val="0"/>
      <w:divBdr>
        <w:top w:val="none" w:sz="0" w:space="0" w:color="auto"/>
        <w:left w:val="none" w:sz="0" w:space="0" w:color="auto"/>
        <w:bottom w:val="none" w:sz="0" w:space="0" w:color="auto"/>
        <w:right w:val="none" w:sz="0" w:space="0" w:color="auto"/>
      </w:divBdr>
    </w:div>
    <w:div w:id="156649269">
      <w:bodyDiv w:val="1"/>
      <w:marLeft w:val="0"/>
      <w:marRight w:val="0"/>
      <w:marTop w:val="0"/>
      <w:marBottom w:val="0"/>
      <w:divBdr>
        <w:top w:val="none" w:sz="0" w:space="0" w:color="auto"/>
        <w:left w:val="none" w:sz="0" w:space="0" w:color="auto"/>
        <w:bottom w:val="none" w:sz="0" w:space="0" w:color="auto"/>
        <w:right w:val="none" w:sz="0" w:space="0" w:color="auto"/>
      </w:divBdr>
    </w:div>
    <w:div w:id="156851117">
      <w:bodyDiv w:val="1"/>
      <w:marLeft w:val="0"/>
      <w:marRight w:val="0"/>
      <w:marTop w:val="0"/>
      <w:marBottom w:val="0"/>
      <w:divBdr>
        <w:top w:val="none" w:sz="0" w:space="0" w:color="auto"/>
        <w:left w:val="none" w:sz="0" w:space="0" w:color="auto"/>
        <w:bottom w:val="none" w:sz="0" w:space="0" w:color="auto"/>
        <w:right w:val="none" w:sz="0" w:space="0" w:color="auto"/>
      </w:divBdr>
    </w:div>
    <w:div w:id="157383655">
      <w:bodyDiv w:val="1"/>
      <w:marLeft w:val="0"/>
      <w:marRight w:val="0"/>
      <w:marTop w:val="0"/>
      <w:marBottom w:val="0"/>
      <w:divBdr>
        <w:top w:val="none" w:sz="0" w:space="0" w:color="auto"/>
        <w:left w:val="none" w:sz="0" w:space="0" w:color="auto"/>
        <w:bottom w:val="none" w:sz="0" w:space="0" w:color="auto"/>
        <w:right w:val="none" w:sz="0" w:space="0" w:color="auto"/>
      </w:divBdr>
    </w:div>
    <w:div w:id="157429132">
      <w:bodyDiv w:val="1"/>
      <w:marLeft w:val="0"/>
      <w:marRight w:val="0"/>
      <w:marTop w:val="0"/>
      <w:marBottom w:val="0"/>
      <w:divBdr>
        <w:top w:val="none" w:sz="0" w:space="0" w:color="auto"/>
        <w:left w:val="none" w:sz="0" w:space="0" w:color="auto"/>
        <w:bottom w:val="none" w:sz="0" w:space="0" w:color="auto"/>
        <w:right w:val="none" w:sz="0" w:space="0" w:color="auto"/>
      </w:divBdr>
    </w:div>
    <w:div w:id="157506667">
      <w:bodyDiv w:val="1"/>
      <w:marLeft w:val="0"/>
      <w:marRight w:val="0"/>
      <w:marTop w:val="0"/>
      <w:marBottom w:val="0"/>
      <w:divBdr>
        <w:top w:val="none" w:sz="0" w:space="0" w:color="auto"/>
        <w:left w:val="none" w:sz="0" w:space="0" w:color="auto"/>
        <w:bottom w:val="none" w:sz="0" w:space="0" w:color="auto"/>
        <w:right w:val="none" w:sz="0" w:space="0" w:color="auto"/>
      </w:divBdr>
    </w:div>
    <w:div w:id="159658682">
      <w:bodyDiv w:val="1"/>
      <w:marLeft w:val="0"/>
      <w:marRight w:val="0"/>
      <w:marTop w:val="0"/>
      <w:marBottom w:val="0"/>
      <w:divBdr>
        <w:top w:val="none" w:sz="0" w:space="0" w:color="auto"/>
        <w:left w:val="none" w:sz="0" w:space="0" w:color="auto"/>
        <w:bottom w:val="none" w:sz="0" w:space="0" w:color="auto"/>
        <w:right w:val="none" w:sz="0" w:space="0" w:color="auto"/>
      </w:divBdr>
    </w:div>
    <w:div w:id="160658312">
      <w:bodyDiv w:val="1"/>
      <w:marLeft w:val="0"/>
      <w:marRight w:val="0"/>
      <w:marTop w:val="0"/>
      <w:marBottom w:val="0"/>
      <w:divBdr>
        <w:top w:val="none" w:sz="0" w:space="0" w:color="auto"/>
        <w:left w:val="none" w:sz="0" w:space="0" w:color="auto"/>
        <w:bottom w:val="none" w:sz="0" w:space="0" w:color="auto"/>
        <w:right w:val="none" w:sz="0" w:space="0" w:color="auto"/>
      </w:divBdr>
    </w:div>
    <w:div w:id="161551692">
      <w:bodyDiv w:val="1"/>
      <w:marLeft w:val="0"/>
      <w:marRight w:val="0"/>
      <w:marTop w:val="0"/>
      <w:marBottom w:val="0"/>
      <w:divBdr>
        <w:top w:val="none" w:sz="0" w:space="0" w:color="auto"/>
        <w:left w:val="none" w:sz="0" w:space="0" w:color="auto"/>
        <w:bottom w:val="none" w:sz="0" w:space="0" w:color="auto"/>
        <w:right w:val="none" w:sz="0" w:space="0" w:color="auto"/>
      </w:divBdr>
    </w:div>
    <w:div w:id="162011445">
      <w:bodyDiv w:val="1"/>
      <w:marLeft w:val="0"/>
      <w:marRight w:val="0"/>
      <w:marTop w:val="0"/>
      <w:marBottom w:val="0"/>
      <w:divBdr>
        <w:top w:val="none" w:sz="0" w:space="0" w:color="auto"/>
        <w:left w:val="none" w:sz="0" w:space="0" w:color="auto"/>
        <w:bottom w:val="none" w:sz="0" w:space="0" w:color="auto"/>
        <w:right w:val="none" w:sz="0" w:space="0" w:color="auto"/>
      </w:divBdr>
    </w:div>
    <w:div w:id="162168188">
      <w:bodyDiv w:val="1"/>
      <w:marLeft w:val="0"/>
      <w:marRight w:val="0"/>
      <w:marTop w:val="0"/>
      <w:marBottom w:val="0"/>
      <w:divBdr>
        <w:top w:val="none" w:sz="0" w:space="0" w:color="auto"/>
        <w:left w:val="none" w:sz="0" w:space="0" w:color="auto"/>
        <w:bottom w:val="none" w:sz="0" w:space="0" w:color="auto"/>
        <w:right w:val="none" w:sz="0" w:space="0" w:color="auto"/>
      </w:divBdr>
    </w:div>
    <w:div w:id="163056710">
      <w:bodyDiv w:val="1"/>
      <w:marLeft w:val="0"/>
      <w:marRight w:val="0"/>
      <w:marTop w:val="0"/>
      <w:marBottom w:val="0"/>
      <w:divBdr>
        <w:top w:val="none" w:sz="0" w:space="0" w:color="auto"/>
        <w:left w:val="none" w:sz="0" w:space="0" w:color="auto"/>
        <w:bottom w:val="none" w:sz="0" w:space="0" w:color="auto"/>
        <w:right w:val="none" w:sz="0" w:space="0" w:color="auto"/>
      </w:divBdr>
    </w:div>
    <w:div w:id="165368255">
      <w:bodyDiv w:val="1"/>
      <w:marLeft w:val="0"/>
      <w:marRight w:val="0"/>
      <w:marTop w:val="0"/>
      <w:marBottom w:val="0"/>
      <w:divBdr>
        <w:top w:val="none" w:sz="0" w:space="0" w:color="auto"/>
        <w:left w:val="none" w:sz="0" w:space="0" w:color="auto"/>
        <w:bottom w:val="none" w:sz="0" w:space="0" w:color="auto"/>
        <w:right w:val="none" w:sz="0" w:space="0" w:color="auto"/>
      </w:divBdr>
    </w:div>
    <w:div w:id="166096355">
      <w:bodyDiv w:val="1"/>
      <w:marLeft w:val="0"/>
      <w:marRight w:val="0"/>
      <w:marTop w:val="0"/>
      <w:marBottom w:val="0"/>
      <w:divBdr>
        <w:top w:val="none" w:sz="0" w:space="0" w:color="auto"/>
        <w:left w:val="none" w:sz="0" w:space="0" w:color="auto"/>
        <w:bottom w:val="none" w:sz="0" w:space="0" w:color="auto"/>
        <w:right w:val="none" w:sz="0" w:space="0" w:color="auto"/>
      </w:divBdr>
    </w:div>
    <w:div w:id="167333748">
      <w:bodyDiv w:val="1"/>
      <w:marLeft w:val="0"/>
      <w:marRight w:val="0"/>
      <w:marTop w:val="0"/>
      <w:marBottom w:val="0"/>
      <w:divBdr>
        <w:top w:val="none" w:sz="0" w:space="0" w:color="auto"/>
        <w:left w:val="none" w:sz="0" w:space="0" w:color="auto"/>
        <w:bottom w:val="none" w:sz="0" w:space="0" w:color="auto"/>
        <w:right w:val="none" w:sz="0" w:space="0" w:color="auto"/>
      </w:divBdr>
    </w:div>
    <w:div w:id="168446416">
      <w:bodyDiv w:val="1"/>
      <w:marLeft w:val="0"/>
      <w:marRight w:val="0"/>
      <w:marTop w:val="0"/>
      <w:marBottom w:val="0"/>
      <w:divBdr>
        <w:top w:val="none" w:sz="0" w:space="0" w:color="auto"/>
        <w:left w:val="none" w:sz="0" w:space="0" w:color="auto"/>
        <w:bottom w:val="none" w:sz="0" w:space="0" w:color="auto"/>
        <w:right w:val="none" w:sz="0" w:space="0" w:color="auto"/>
      </w:divBdr>
    </w:div>
    <w:div w:id="168637689">
      <w:bodyDiv w:val="1"/>
      <w:marLeft w:val="0"/>
      <w:marRight w:val="0"/>
      <w:marTop w:val="0"/>
      <w:marBottom w:val="0"/>
      <w:divBdr>
        <w:top w:val="none" w:sz="0" w:space="0" w:color="auto"/>
        <w:left w:val="none" w:sz="0" w:space="0" w:color="auto"/>
        <w:bottom w:val="none" w:sz="0" w:space="0" w:color="auto"/>
        <w:right w:val="none" w:sz="0" w:space="0" w:color="auto"/>
      </w:divBdr>
    </w:div>
    <w:div w:id="168719666">
      <w:bodyDiv w:val="1"/>
      <w:marLeft w:val="0"/>
      <w:marRight w:val="0"/>
      <w:marTop w:val="0"/>
      <w:marBottom w:val="0"/>
      <w:divBdr>
        <w:top w:val="none" w:sz="0" w:space="0" w:color="auto"/>
        <w:left w:val="none" w:sz="0" w:space="0" w:color="auto"/>
        <w:bottom w:val="none" w:sz="0" w:space="0" w:color="auto"/>
        <w:right w:val="none" w:sz="0" w:space="0" w:color="auto"/>
      </w:divBdr>
    </w:div>
    <w:div w:id="169754644">
      <w:bodyDiv w:val="1"/>
      <w:marLeft w:val="0"/>
      <w:marRight w:val="0"/>
      <w:marTop w:val="0"/>
      <w:marBottom w:val="0"/>
      <w:divBdr>
        <w:top w:val="none" w:sz="0" w:space="0" w:color="auto"/>
        <w:left w:val="none" w:sz="0" w:space="0" w:color="auto"/>
        <w:bottom w:val="none" w:sz="0" w:space="0" w:color="auto"/>
        <w:right w:val="none" w:sz="0" w:space="0" w:color="auto"/>
      </w:divBdr>
    </w:div>
    <w:div w:id="171068182">
      <w:bodyDiv w:val="1"/>
      <w:marLeft w:val="0"/>
      <w:marRight w:val="0"/>
      <w:marTop w:val="0"/>
      <w:marBottom w:val="0"/>
      <w:divBdr>
        <w:top w:val="none" w:sz="0" w:space="0" w:color="auto"/>
        <w:left w:val="none" w:sz="0" w:space="0" w:color="auto"/>
        <w:bottom w:val="none" w:sz="0" w:space="0" w:color="auto"/>
        <w:right w:val="none" w:sz="0" w:space="0" w:color="auto"/>
      </w:divBdr>
    </w:div>
    <w:div w:id="173305253">
      <w:bodyDiv w:val="1"/>
      <w:marLeft w:val="0"/>
      <w:marRight w:val="0"/>
      <w:marTop w:val="0"/>
      <w:marBottom w:val="0"/>
      <w:divBdr>
        <w:top w:val="none" w:sz="0" w:space="0" w:color="auto"/>
        <w:left w:val="none" w:sz="0" w:space="0" w:color="auto"/>
        <w:bottom w:val="none" w:sz="0" w:space="0" w:color="auto"/>
        <w:right w:val="none" w:sz="0" w:space="0" w:color="auto"/>
      </w:divBdr>
    </w:div>
    <w:div w:id="173883531">
      <w:bodyDiv w:val="1"/>
      <w:marLeft w:val="0"/>
      <w:marRight w:val="0"/>
      <w:marTop w:val="0"/>
      <w:marBottom w:val="0"/>
      <w:divBdr>
        <w:top w:val="none" w:sz="0" w:space="0" w:color="auto"/>
        <w:left w:val="none" w:sz="0" w:space="0" w:color="auto"/>
        <w:bottom w:val="none" w:sz="0" w:space="0" w:color="auto"/>
        <w:right w:val="none" w:sz="0" w:space="0" w:color="auto"/>
      </w:divBdr>
    </w:div>
    <w:div w:id="173959887">
      <w:bodyDiv w:val="1"/>
      <w:marLeft w:val="0"/>
      <w:marRight w:val="0"/>
      <w:marTop w:val="0"/>
      <w:marBottom w:val="0"/>
      <w:divBdr>
        <w:top w:val="none" w:sz="0" w:space="0" w:color="auto"/>
        <w:left w:val="none" w:sz="0" w:space="0" w:color="auto"/>
        <w:bottom w:val="none" w:sz="0" w:space="0" w:color="auto"/>
        <w:right w:val="none" w:sz="0" w:space="0" w:color="auto"/>
      </w:divBdr>
    </w:div>
    <w:div w:id="174077053">
      <w:bodyDiv w:val="1"/>
      <w:marLeft w:val="0"/>
      <w:marRight w:val="0"/>
      <w:marTop w:val="0"/>
      <w:marBottom w:val="0"/>
      <w:divBdr>
        <w:top w:val="none" w:sz="0" w:space="0" w:color="auto"/>
        <w:left w:val="none" w:sz="0" w:space="0" w:color="auto"/>
        <w:bottom w:val="none" w:sz="0" w:space="0" w:color="auto"/>
        <w:right w:val="none" w:sz="0" w:space="0" w:color="auto"/>
      </w:divBdr>
    </w:div>
    <w:div w:id="174149979">
      <w:bodyDiv w:val="1"/>
      <w:marLeft w:val="0"/>
      <w:marRight w:val="0"/>
      <w:marTop w:val="0"/>
      <w:marBottom w:val="0"/>
      <w:divBdr>
        <w:top w:val="none" w:sz="0" w:space="0" w:color="auto"/>
        <w:left w:val="none" w:sz="0" w:space="0" w:color="auto"/>
        <w:bottom w:val="none" w:sz="0" w:space="0" w:color="auto"/>
        <w:right w:val="none" w:sz="0" w:space="0" w:color="auto"/>
      </w:divBdr>
    </w:div>
    <w:div w:id="175972349">
      <w:bodyDiv w:val="1"/>
      <w:marLeft w:val="0"/>
      <w:marRight w:val="0"/>
      <w:marTop w:val="0"/>
      <w:marBottom w:val="0"/>
      <w:divBdr>
        <w:top w:val="none" w:sz="0" w:space="0" w:color="auto"/>
        <w:left w:val="none" w:sz="0" w:space="0" w:color="auto"/>
        <w:bottom w:val="none" w:sz="0" w:space="0" w:color="auto"/>
        <w:right w:val="none" w:sz="0" w:space="0" w:color="auto"/>
      </w:divBdr>
    </w:div>
    <w:div w:id="177427536">
      <w:bodyDiv w:val="1"/>
      <w:marLeft w:val="0"/>
      <w:marRight w:val="0"/>
      <w:marTop w:val="0"/>
      <w:marBottom w:val="0"/>
      <w:divBdr>
        <w:top w:val="none" w:sz="0" w:space="0" w:color="auto"/>
        <w:left w:val="none" w:sz="0" w:space="0" w:color="auto"/>
        <w:bottom w:val="none" w:sz="0" w:space="0" w:color="auto"/>
        <w:right w:val="none" w:sz="0" w:space="0" w:color="auto"/>
      </w:divBdr>
    </w:div>
    <w:div w:id="177937431">
      <w:bodyDiv w:val="1"/>
      <w:marLeft w:val="0"/>
      <w:marRight w:val="0"/>
      <w:marTop w:val="0"/>
      <w:marBottom w:val="0"/>
      <w:divBdr>
        <w:top w:val="none" w:sz="0" w:space="0" w:color="auto"/>
        <w:left w:val="none" w:sz="0" w:space="0" w:color="auto"/>
        <w:bottom w:val="none" w:sz="0" w:space="0" w:color="auto"/>
        <w:right w:val="none" w:sz="0" w:space="0" w:color="auto"/>
      </w:divBdr>
    </w:div>
    <w:div w:id="178082953">
      <w:bodyDiv w:val="1"/>
      <w:marLeft w:val="0"/>
      <w:marRight w:val="0"/>
      <w:marTop w:val="0"/>
      <w:marBottom w:val="0"/>
      <w:divBdr>
        <w:top w:val="none" w:sz="0" w:space="0" w:color="auto"/>
        <w:left w:val="none" w:sz="0" w:space="0" w:color="auto"/>
        <w:bottom w:val="none" w:sz="0" w:space="0" w:color="auto"/>
        <w:right w:val="none" w:sz="0" w:space="0" w:color="auto"/>
      </w:divBdr>
    </w:div>
    <w:div w:id="178087287">
      <w:bodyDiv w:val="1"/>
      <w:marLeft w:val="0"/>
      <w:marRight w:val="0"/>
      <w:marTop w:val="0"/>
      <w:marBottom w:val="0"/>
      <w:divBdr>
        <w:top w:val="none" w:sz="0" w:space="0" w:color="auto"/>
        <w:left w:val="none" w:sz="0" w:space="0" w:color="auto"/>
        <w:bottom w:val="none" w:sz="0" w:space="0" w:color="auto"/>
        <w:right w:val="none" w:sz="0" w:space="0" w:color="auto"/>
      </w:divBdr>
    </w:div>
    <w:div w:id="179393900">
      <w:bodyDiv w:val="1"/>
      <w:marLeft w:val="0"/>
      <w:marRight w:val="0"/>
      <w:marTop w:val="0"/>
      <w:marBottom w:val="0"/>
      <w:divBdr>
        <w:top w:val="none" w:sz="0" w:space="0" w:color="auto"/>
        <w:left w:val="none" w:sz="0" w:space="0" w:color="auto"/>
        <w:bottom w:val="none" w:sz="0" w:space="0" w:color="auto"/>
        <w:right w:val="none" w:sz="0" w:space="0" w:color="auto"/>
      </w:divBdr>
    </w:div>
    <w:div w:id="180125665">
      <w:bodyDiv w:val="1"/>
      <w:marLeft w:val="0"/>
      <w:marRight w:val="0"/>
      <w:marTop w:val="0"/>
      <w:marBottom w:val="0"/>
      <w:divBdr>
        <w:top w:val="none" w:sz="0" w:space="0" w:color="auto"/>
        <w:left w:val="none" w:sz="0" w:space="0" w:color="auto"/>
        <w:bottom w:val="none" w:sz="0" w:space="0" w:color="auto"/>
        <w:right w:val="none" w:sz="0" w:space="0" w:color="auto"/>
      </w:divBdr>
    </w:div>
    <w:div w:id="180509319">
      <w:bodyDiv w:val="1"/>
      <w:marLeft w:val="0"/>
      <w:marRight w:val="0"/>
      <w:marTop w:val="0"/>
      <w:marBottom w:val="0"/>
      <w:divBdr>
        <w:top w:val="none" w:sz="0" w:space="0" w:color="auto"/>
        <w:left w:val="none" w:sz="0" w:space="0" w:color="auto"/>
        <w:bottom w:val="none" w:sz="0" w:space="0" w:color="auto"/>
        <w:right w:val="none" w:sz="0" w:space="0" w:color="auto"/>
      </w:divBdr>
    </w:div>
    <w:div w:id="182676228">
      <w:bodyDiv w:val="1"/>
      <w:marLeft w:val="0"/>
      <w:marRight w:val="0"/>
      <w:marTop w:val="0"/>
      <w:marBottom w:val="0"/>
      <w:divBdr>
        <w:top w:val="none" w:sz="0" w:space="0" w:color="auto"/>
        <w:left w:val="none" w:sz="0" w:space="0" w:color="auto"/>
        <w:bottom w:val="none" w:sz="0" w:space="0" w:color="auto"/>
        <w:right w:val="none" w:sz="0" w:space="0" w:color="auto"/>
      </w:divBdr>
    </w:div>
    <w:div w:id="183133690">
      <w:bodyDiv w:val="1"/>
      <w:marLeft w:val="0"/>
      <w:marRight w:val="0"/>
      <w:marTop w:val="0"/>
      <w:marBottom w:val="0"/>
      <w:divBdr>
        <w:top w:val="none" w:sz="0" w:space="0" w:color="auto"/>
        <w:left w:val="none" w:sz="0" w:space="0" w:color="auto"/>
        <w:bottom w:val="none" w:sz="0" w:space="0" w:color="auto"/>
        <w:right w:val="none" w:sz="0" w:space="0" w:color="auto"/>
      </w:divBdr>
    </w:div>
    <w:div w:id="183327528">
      <w:bodyDiv w:val="1"/>
      <w:marLeft w:val="0"/>
      <w:marRight w:val="0"/>
      <w:marTop w:val="0"/>
      <w:marBottom w:val="0"/>
      <w:divBdr>
        <w:top w:val="none" w:sz="0" w:space="0" w:color="auto"/>
        <w:left w:val="none" w:sz="0" w:space="0" w:color="auto"/>
        <w:bottom w:val="none" w:sz="0" w:space="0" w:color="auto"/>
        <w:right w:val="none" w:sz="0" w:space="0" w:color="auto"/>
      </w:divBdr>
    </w:div>
    <w:div w:id="185413054">
      <w:bodyDiv w:val="1"/>
      <w:marLeft w:val="0"/>
      <w:marRight w:val="0"/>
      <w:marTop w:val="0"/>
      <w:marBottom w:val="0"/>
      <w:divBdr>
        <w:top w:val="none" w:sz="0" w:space="0" w:color="auto"/>
        <w:left w:val="none" w:sz="0" w:space="0" w:color="auto"/>
        <w:bottom w:val="none" w:sz="0" w:space="0" w:color="auto"/>
        <w:right w:val="none" w:sz="0" w:space="0" w:color="auto"/>
      </w:divBdr>
    </w:div>
    <w:div w:id="185991844">
      <w:bodyDiv w:val="1"/>
      <w:marLeft w:val="0"/>
      <w:marRight w:val="0"/>
      <w:marTop w:val="0"/>
      <w:marBottom w:val="0"/>
      <w:divBdr>
        <w:top w:val="none" w:sz="0" w:space="0" w:color="auto"/>
        <w:left w:val="none" w:sz="0" w:space="0" w:color="auto"/>
        <w:bottom w:val="none" w:sz="0" w:space="0" w:color="auto"/>
        <w:right w:val="none" w:sz="0" w:space="0" w:color="auto"/>
      </w:divBdr>
    </w:div>
    <w:div w:id="186331941">
      <w:bodyDiv w:val="1"/>
      <w:marLeft w:val="0"/>
      <w:marRight w:val="0"/>
      <w:marTop w:val="0"/>
      <w:marBottom w:val="0"/>
      <w:divBdr>
        <w:top w:val="none" w:sz="0" w:space="0" w:color="auto"/>
        <w:left w:val="none" w:sz="0" w:space="0" w:color="auto"/>
        <w:bottom w:val="none" w:sz="0" w:space="0" w:color="auto"/>
        <w:right w:val="none" w:sz="0" w:space="0" w:color="auto"/>
      </w:divBdr>
    </w:div>
    <w:div w:id="186481645">
      <w:bodyDiv w:val="1"/>
      <w:marLeft w:val="0"/>
      <w:marRight w:val="0"/>
      <w:marTop w:val="0"/>
      <w:marBottom w:val="0"/>
      <w:divBdr>
        <w:top w:val="none" w:sz="0" w:space="0" w:color="auto"/>
        <w:left w:val="none" w:sz="0" w:space="0" w:color="auto"/>
        <w:bottom w:val="none" w:sz="0" w:space="0" w:color="auto"/>
        <w:right w:val="none" w:sz="0" w:space="0" w:color="auto"/>
      </w:divBdr>
    </w:div>
    <w:div w:id="188298359">
      <w:bodyDiv w:val="1"/>
      <w:marLeft w:val="0"/>
      <w:marRight w:val="0"/>
      <w:marTop w:val="0"/>
      <w:marBottom w:val="0"/>
      <w:divBdr>
        <w:top w:val="none" w:sz="0" w:space="0" w:color="auto"/>
        <w:left w:val="none" w:sz="0" w:space="0" w:color="auto"/>
        <w:bottom w:val="none" w:sz="0" w:space="0" w:color="auto"/>
        <w:right w:val="none" w:sz="0" w:space="0" w:color="auto"/>
      </w:divBdr>
    </w:div>
    <w:div w:id="188615566">
      <w:bodyDiv w:val="1"/>
      <w:marLeft w:val="0"/>
      <w:marRight w:val="0"/>
      <w:marTop w:val="0"/>
      <w:marBottom w:val="0"/>
      <w:divBdr>
        <w:top w:val="none" w:sz="0" w:space="0" w:color="auto"/>
        <w:left w:val="none" w:sz="0" w:space="0" w:color="auto"/>
        <w:bottom w:val="none" w:sz="0" w:space="0" w:color="auto"/>
        <w:right w:val="none" w:sz="0" w:space="0" w:color="auto"/>
      </w:divBdr>
    </w:div>
    <w:div w:id="188760386">
      <w:bodyDiv w:val="1"/>
      <w:marLeft w:val="0"/>
      <w:marRight w:val="0"/>
      <w:marTop w:val="0"/>
      <w:marBottom w:val="0"/>
      <w:divBdr>
        <w:top w:val="none" w:sz="0" w:space="0" w:color="auto"/>
        <w:left w:val="none" w:sz="0" w:space="0" w:color="auto"/>
        <w:bottom w:val="none" w:sz="0" w:space="0" w:color="auto"/>
        <w:right w:val="none" w:sz="0" w:space="0" w:color="auto"/>
      </w:divBdr>
    </w:div>
    <w:div w:id="189877870">
      <w:bodyDiv w:val="1"/>
      <w:marLeft w:val="0"/>
      <w:marRight w:val="0"/>
      <w:marTop w:val="0"/>
      <w:marBottom w:val="0"/>
      <w:divBdr>
        <w:top w:val="none" w:sz="0" w:space="0" w:color="auto"/>
        <w:left w:val="none" w:sz="0" w:space="0" w:color="auto"/>
        <w:bottom w:val="none" w:sz="0" w:space="0" w:color="auto"/>
        <w:right w:val="none" w:sz="0" w:space="0" w:color="auto"/>
      </w:divBdr>
    </w:div>
    <w:div w:id="190653495">
      <w:bodyDiv w:val="1"/>
      <w:marLeft w:val="0"/>
      <w:marRight w:val="0"/>
      <w:marTop w:val="0"/>
      <w:marBottom w:val="0"/>
      <w:divBdr>
        <w:top w:val="none" w:sz="0" w:space="0" w:color="auto"/>
        <w:left w:val="none" w:sz="0" w:space="0" w:color="auto"/>
        <w:bottom w:val="none" w:sz="0" w:space="0" w:color="auto"/>
        <w:right w:val="none" w:sz="0" w:space="0" w:color="auto"/>
      </w:divBdr>
    </w:div>
    <w:div w:id="190729420">
      <w:bodyDiv w:val="1"/>
      <w:marLeft w:val="0"/>
      <w:marRight w:val="0"/>
      <w:marTop w:val="0"/>
      <w:marBottom w:val="0"/>
      <w:divBdr>
        <w:top w:val="none" w:sz="0" w:space="0" w:color="auto"/>
        <w:left w:val="none" w:sz="0" w:space="0" w:color="auto"/>
        <w:bottom w:val="none" w:sz="0" w:space="0" w:color="auto"/>
        <w:right w:val="none" w:sz="0" w:space="0" w:color="auto"/>
      </w:divBdr>
    </w:div>
    <w:div w:id="192040308">
      <w:bodyDiv w:val="1"/>
      <w:marLeft w:val="0"/>
      <w:marRight w:val="0"/>
      <w:marTop w:val="0"/>
      <w:marBottom w:val="0"/>
      <w:divBdr>
        <w:top w:val="none" w:sz="0" w:space="0" w:color="auto"/>
        <w:left w:val="none" w:sz="0" w:space="0" w:color="auto"/>
        <w:bottom w:val="none" w:sz="0" w:space="0" w:color="auto"/>
        <w:right w:val="none" w:sz="0" w:space="0" w:color="auto"/>
      </w:divBdr>
    </w:div>
    <w:div w:id="192154688">
      <w:bodyDiv w:val="1"/>
      <w:marLeft w:val="0"/>
      <w:marRight w:val="0"/>
      <w:marTop w:val="0"/>
      <w:marBottom w:val="0"/>
      <w:divBdr>
        <w:top w:val="none" w:sz="0" w:space="0" w:color="auto"/>
        <w:left w:val="none" w:sz="0" w:space="0" w:color="auto"/>
        <w:bottom w:val="none" w:sz="0" w:space="0" w:color="auto"/>
        <w:right w:val="none" w:sz="0" w:space="0" w:color="auto"/>
      </w:divBdr>
    </w:div>
    <w:div w:id="192965137">
      <w:bodyDiv w:val="1"/>
      <w:marLeft w:val="0"/>
      <w:marRight w:val="0"/>
      <w:marTop w:val="0"/>
      <w:marBottom w:val="0"/>
      <w:divBdr>
        <w:top w:val="none" w:sz="0" w:space="0" w:color="auto"/>
        <w:left w:val="none" w:sz="0" w:space="0" w:color="auto"/>
        <w:bottom w:val="none" w:sz="0" w:space="0" w:color="auto"/>
        <w:right w:val="none" w:sz="0" w:space="0" w:color="auto"/>
      </w:divBdr>
    </w:div>
    <w:div w:id="193009372">
      <w:bodyDiv w:val="1"/>
      <w:marLeft w:val="0"/>
      <w:marRight w:val="0"/>
      <w:marTop w:val="0"/>
      <w:marBottom w:val="0"/>
      <w:divBdr>
        <w:top w:val="none" w:sz="0" w:space="0" w:color="auto"/>
        <w:left w:val="none" w:sz="0" w:space="0" w:color="auto"/>
        <w:bottom w:val="none" w:sz="0" w:space="0" w:color="auto"/>
        <w:right w:val="none" w:sz="0" w:space="0" w:color="auto"/>
      </w:divBdr>
    </w:div>
    <w:div w:id="194000443">
      <w:bodyDiv w:val="1"/>
      <w:marLeft w:val="0"/>
      <w:marRight w:val="0"/>
      <w:marTop w:val="0"/>
      <w:marBottom w:val="0"/>
      <w:divBdr>
        <w:top w:val="none" w:sz="0" w:space="0" w:color="auto"/>
        <w:left w:val="none" w:sz="0" w:space="0" w:color="auto"/>
        <w:bottom w:val="none" w:sz="0" w:space="0" w:color="auto"/>
        <w:right w:val="none" w:sz="0" w:space="0" w:color="auto"/>
      </w:divBdr>
    </w:div>
    <w:div w:id="194275529">
      <w:bodyDiv w:val="1"/>
      <w:marLeft w:val="0"/>
      <w:marRight w:val="0"/>
      <w:marTop w:val="0"/>
      <w:marBottom w:val="0"/>
      <w:divBdr>
        <w:top w:val="none" w:sz="0" w:space="0" w:color="auto"/>
        <w:left w:val="none" w:sz="0" w:space="0" w:color="auto"/>
        <w:bottom w:val="none" w:sz="0" w:space="0" w:color="auto"/>
        <w:right w:val="none" w:sz="0" w:space="0" w:color="auto"/>
      </w:divBdr>
    </w:div>
    <w:div w:id="194314401">
      <w:bodyDiv w:val="1"/>
      <w:marLeft w:val="0"/>
      <w:marRight w:val="0"/>
      <w:marTop w:val="0"/>
      <w:marBottom w:val="0"/>
      <w:divBdr>
        <w:top w:val="none" w:sz="0" w:space="0" w:color="auto"/>
        <w:left w:val="none" w:sz="0" w:space="0" w:color="auto"/>
        <w:bottom w:val="none" w:sz="0" w:space="0" w:color="auto"/>
        <w:right w:val="none" w:sz="0" w:space="0" w:color="auto"/>
      </w:divBdr>
    </w:div>
    <w:div w:id="194316728">
      <w:bodyDiv w:val="1"/>
      <w:marLeft w:val="0"/>
      <w:marRight w:val="0"/>
      <w:marTop w:val="0"/>
      <w:marBottom w:val="0"/>
      <w:divBdr>
        <w:top w:val="none" w:sz="0" w:space="0" w:color="auto"/>
        <w:left w:val="none" w:sz="0" w:space="0" w:color="auto"/>
        <w:bottom w:val="none" w:sz="0" w:space="0" w:color="auto"/>
        <w:right w:val="none" w:sz="0" w:space="0" w:color="auto"/>
      </w:divBdr>
    </w:div>
    <w:div w:id="194386862">
      <w:bodyDiv w:val="1"/>
      <w:marLeft w:val="0"/>
      <w:marRight w:val="0"/>
      <w:marTop w:val="0"/>
      <w:marBottom w:val="0"/>
      <w:divBdr>
        <w:top w:val="none" w:sz="0" w:space="0" w:color="auto"/>
        <w:left w:val="none" w:sz="0" w:space="0" w:color="auto"/>
        <w:bottom w:val="none" w:sz="0" w:space="0" w:color="auto"/>
        <w:right w:val="none" w:sz="0" w:space="0" w:color="auto"/>
      </w:divBdr>
    </w:div>
    <w:div w:id="194389493">
      <w:bodyDiv w:val="1"/>
      <w:marLeft w:val="0"/>
      <w:marRight w:val="0"/>
      <w:marTop w:val="0"/>
      <w:marBottom w:val="0"/>
      <w:divBdr>
        <w:top w:val="none" w:sz="0" w:space="0" w:color="auto"/>
        <w:left w:val="none" w:sz="0" w:space="0" w:color="auto"/>
        <w:bottom w:val="none" w:sz="0" w:space="0" w:color="auto"/>
        <w:right w:val="none" w:sz="0" w:space="0" w:color="auto"/>
      </w:divBdr>
    </w:div>
    <w:div w:id="194777445">
      <w:bodyDiv w:val="1"/>
      <w:marLeft w:val="0"/>
      <w:marRight w:val="0"/>
      <w:marTop w:val="0"/>
      <w:marBottom w:val="0"/>
      <w:divBdr>
        <w:top w:val="none" w:sz="0" w:space="0" w:color="auto"/>
        <w:left w:val="none" w:sz="0" w:space="0" w:color="auto"/>
        <w:bottom w:val="none" w:sz="0" w:space="0" w:color="auto"/>
        <w:right w:val="none" w:sz="0" w:space="0" w:color="auto"/>
      </w:divBdr>
    </w:div>
    <w:div w:id="195167743">
      <w:bodyDiv w:val="1"/>
      <w:marLeft w:val="0"/>
      <w:marRight w:val="0"/>
      <w:marTop w:val="0"/>
      <w:marBottom w:val="0"/>
      <w:divBdr>
        <w:top w:val="none" w:sz="0" w:space="0" w:color="auto"/>
        <w:left w:val="none" w:sz="0" w:space="0" w:color="auto"/>
        <w:bottom w:val="none" w:sz="0" w:space="0" w:color="auto"/>
        <w:right w:val="none" w:sz="0" w:space="0" w:color="auto"/>
      </w:divBdr>
    </w:div>
    <w:div w:id="195313764">
      <w:bodyDiv w:val="1"/>
      <w:marLeft w:val="0"/>
      <w:marRight w:val="0"/>
      <w:marTop w:val="0"/>
      <w:marBottom w:val="0"/>
      <w:divBdr>
        <w:top w:val="none" w:sz="0" w:space="0" w:color="auto"/>
        <w:left w:val="none" w:sz="0" w:space="0" w:color="auto"/>
        <w:bottom w:val="none" w:sz="0" w:space="0" w:color="auto"/>
        <w:right w:val="none" w:sz="0" w:space="0" w:color="auto"/>
      </w:divBdr>
    </w:div>
    <w:div w:id="196360899">
      <w:bodyDiv w:val="1"/>
      <w:marLeft w:val="0"/>
      <w:marRight w:val="0"/>
      <w:marTop w:val="0"/>
      <w:marBottom w:val="0"/>
      <w:divBdr>
        <w:top w:val="none" w:sz="0" w:space="0" w:color="auto"/>
        <w:left w:val="none" w:sz="0" w:space="0" w:color="auto"/>
        <w:bottom w:val="none" w:sz="0" w:space="0" w:color="auto"/>
        <w:right w:val="none" w:sz="0" w:space="0" w:color="auto"/>
      </w:divBdr>
    </w:div>
    <w:div w:id="197281392">
      <w:bodyDiv w:val="1"/>
      <w:marLeft w:val="0"/>
      <w:marRight w:val="0"/>
      <w:marTop w:val="0"/>
      <w:marBottom w:val="0"/>
      <w:divBdr>
        <w:top w:val="none" w:sz="0" w:space="0" w:color="auto"/>
        <w:left w:val="none" w:sz="0" w:space="0" w:color="auto"/>
        <w:bottom w:val="none" w:sz="0" w:space="0" w:color="auto"/>
        <w:right w:val="none" w:sz="0" w:space="0" w:color="auto"/>
      </w:divBdr>
    </w:div>
    <w:div w:id="197357522">
      <w:bodyDiv w:val="1"/>
      <w:marLeft w:val="0"/>
      <w:marRight w:val="0"/>
      <w:marTop w:val="0"/>
      <w:marBottom w:val="0"/>
      <w:divBdr>
        <w:top w:val="none" w:sz="0" w:space="0" w:color="auto"/>
        <w:left w:val="none" w:sz="0" w:space="0" w:color="auto"/>
        <w:bottom w:val="none" w:sz="0" w:space="0" w:color="auto"/>
        <w:right w:val="none" w:sz="0" w:space="0" w:color="auto"/>
      </w:divBdr>
    </w:div>
    <w:div w:id="198277162">
      <w:bodyDiv w:val="1"/>
      <w:marLeft w:val="0"/>
      <w:marRight w:val="0"/>
      <w:marTop w:val="0"/>
      <w:marBottom w:val="0"/>
      <w:divBdr>
        <w:top w:val="none" w:sz="0" w:space="0" w:color="auto"/>
        <w:left w:val="none" w:sz="0" w:space="0" w:color="auto"/>
        <w:bottom w:val="none" w:sz="0" w:space="0" w:color="auto"/>
        <w:right w:val="none" w:sz="0" w:space="0" w:color="auto"/>
      </w:divBdr>
    </w:div>
    <w:div w:id="198318770">
      <w:bodyDiv w:val="1"/>
      <w:marLeft w:val="0"/>
      <w:marRight w:val="0"/>
      <w:marTop w:val="0"/>
      <w:marBottom w:val="0"/>
      <w:divBdr>
        <w:top w:val="none" w:sz="0" w:space="0" w:color="auto"/>
        <w:left w:val="none" w:sz="0" w:space="0" w:color="auto"/>
        <w:bottom w:val="none" w:sz="0" w:space="0" w:color="auto"/>
        <w:right w:val="none" w:sz="0" w:space="0" w:color="auto"/>
      </w:divBdr>
    </w:div>
    <w:div w:id="199248949">
      <w:bodyDiv w:val="1"/>
      <w:marLeft w:val="0"/>
      <w:marRight w:val="0"/>
      <w:marTop w:val="0"/>
      <w:marBottom w:val="0"/>
      <w:divBdr>
        <w:top w:val="none" w:sz="0" w:space="0" w:color="auto"/>
        <w:left w:val="none" w:sz="0" w:space="0" w:color="auto"/>
        <w:bottom w:val="none" w:sz="0" w:space="0" w:color="auto"/>
        <w:right w:val="none" w:sz="0" w:space="0" w:color="auto"/>
      </w:divBdr>
    </w:div>
    <w:div w:id="199365180">
      <w:bodyDiv w:val="1"/>
      <w:marLeft w:val="0"/>
      <w:marRight w:val="0"/>
      <w:marTop w:val="0"/>
      <w:marBottom w:val="0"/>
      <w:divBdr>
        <w:top w:val="none" w:sz="0" w:space="0" w:color="auto"/>
        <w:left w:val="none" w:sz="0" w:space="0" w:color="auto"/>
        <w:bottom w:val="none" w:sz="0" w:space="0" w:color="auto"/>
        <w:right w:val="none" w:sz="0" w:space="0" w:color="auto"/>
      </w:divBdr>
    </w:div>
    <w:div w:id="199365834">
      <w:bodyDiv w:val="1"/>
      <w:marLeft w:val="0"/>
      <w:marRight w:val="0"/>
      <w:marTop w:val="0"/>
      <w:marBottom w:val="0"/>
      <w:divBdr>
        <w:top w:val="none" w:sz="0" w:space="0" w:color="auto"/>
        <w:left w:val="none" w:sz="0" w:space="0" w:color="auto"/>
        <w:bottom w:val="none" w:sz="0" w:space="0" w:color="auto"/>
        <w:right w:val="none" w:sz="0" w:space="0" w:color="auto"/>
      </w:divBdr>
    </w:div>
    <w:div w:id="200362311">
      <w:bodyDiv w:val="1"/>
      <w:marLeft w:val="0"/>
      <w:marRight w:val="0"/>
      <w:marTop w:val="0"/>
      <w:marBottom w:val="0"/>
      <w:divBdr>
        <w:top w:val="none" w:sz="0" w:space="0" w:color="auto"/>
        <w:left w:val="none" w:sz="0" w:space="0" w:color="auto"/>
        <w:bottom w:val="none" w:sz="0" w:space="0" w:color="auto"/>
        <w:right w:val="none" w:sz="0" w:space="0" w:color="auto"/>
      </w:divBdr>
    </w:div>
    <w:div w:id="200869222">
      <w:bodyDiv w:val="1"/>
      <w:marLeft w:val="0"/>
      <w:marRight w:val="0"/>
      <w:marTop w:val="0"/>
      <w:marBottom w:val="0"/>
      <w:divBdr>
        <w:top w:val="none" w:sz="0" w:space="0" w:color="auto"/>
        <w:left w:val="none" w:sz="0" w:space="0" w:color="auto"/>
        <w:bottom w:val="none" w:sz="0" w:space="0" w:color="auto"/>
        <w:right w:val="none" w:sz="0" w:space="0" w:color="auto"/>
      </w:divBdr>
    </w:div>
    <w:div w:id="202407221">
      <w:bodyDiv w:val="1"/>
      <w:marLeft w:val="0"/>
      <w:marRight w:val="0"/>
      <w:marTop w:val="0"/>
      <w:marBottom w:val="0"/>
      <w:divBdr>
        <w:top w:val="none" w:sz="0" w:space="0" w:color="auto"/>
        <w:left w:val="none" w:sz="0" w:space="0" w:color="auto"/>
        <w:bottom w:val="none" w:sz="0" w:space="0" w:color="auto"/>
        <w:right w:val="none" w:sz="0" w:space="0" w:color="auto"/>
      </w:divBdr>
    </w:div>
    <w:div w:id="202981816">
      <w:bodyDiv w:val="1"/>
      <w:marLeft w:val="0"/>
      <w:marRight w:val="0"/>
      <w:marTop w:val="0"/>
      <w:marBottom w:val="0"/>
      <w:divBdr>
        <w:top w:val="none" w:sz="0" w:space="0" w:color="auto"/>
        <w:left w:val="none" w:sz="0" w:space="0" w:color="auto"/>
        <w:bottom w:val="none" w:sz="0" w:space="0" w:color="auto"/>
        <w:right w:val="none" w:sz="0" w:space="0" w:color="auto"/>
      </w:divBdr>
    </w:div>
    <w:div w:id="203951822">
      <w:bodyDiv w:val="1"/>
      <w:marLeft w:val="0"/>
      <w:marRight w:val="0"/>
      <w:marTop w:val="0"/>
      <w:marBottom w:val="0"/>
      <w:divBdr>
        <w:top w:val="none" w:sz="0" w:space="0" w:color="auto"/>
        <w:left w:val="none" w:sz="0" w:space="0" w:color="auto"/>
        <w:bottom w:val="none" w:sz="0" w:space="0" w:color="auto"/>
        <w:right w:val="none" w:sz="0" w:space="0" w:color="auto"/>
      </w:divBdr>
    </w:div>
    <w:div w:id="205411415">
      <w:bodyDiv w:val="1"/>
      <w:marLeft w:val="0"/>
      <w:marRight w:val="0"/>
      <w:marTop w:val="0"/>
      <w:marBottom w:val="0"/>
      <w:divBdr>
        <w:top w:val="none" w:sz="0" w:space="0" w:color="auto"/>
        <w:left w:val="none" w:sz="0" w:space="0" w:color="auto"/>
        <w:bottom w:val="none" w:sz="0" w:space="0" w:color="auto"/>
        <w:right w:val="none" w:sz="0" w:space="0" w:color="auto"/>
      </w:divBdr>
    </w:div>
    <w:div w:id="205914610">
      <w:bodyDiv w:val="1"/>
      <w:marLeft w:val="0"/>
      <w:marRight w:val="0"/>
      <w:marTop w:val="0"/>
      <w:marBottom w:val="0"/>
      <w:divBdr>
        <w:top w:val="none" w:sz="0" w:space="0" w:color="auto"/>
        <w:left w:val="none" w:sz="0" w:space="0" w:color="auto"/>
        <w:bottom w:val="none" w:sz="0" w:space="0" w:color="auto"/>
        <w:right w:val="none" w:sz="0" w:space="0" w:color="auto"/>
      </w:divBdr>
    </w:div>
    <w:div w:id="208687073">
      <w:bodyDiv w:val="1"/>
      <w:marLeft w:val="0"/>
      <w:marRight w:val="0"/>
      <w:marTop w:val="0"/>
      <w:marBottom w:val="0"/>
      <w:divBdr>
        <w:top w:val="none" w:sz="0" w:space="0" w:color="auto"/>
        <w:left w:val="none" w:sz="0" w:space="0" w:color="auto"/>
        <w:bottom w:val="none" w:sz="0" w:space="0" w:color="auto"/>
        <w:right w:val="none" w:sz="0" w:space="0" w:color="auto"/>
      </w:divBdr>
    </w:div>
    <w:div w:id="208762166">
      <w:bodyDiv w:val="1"/>
      <w:marLeft w:val="0"/>
      <w:marRight w:val="0"/>
      <w:marTop w:val="0"/>
      <w:marBottom w:val="0"/>
      <w:divBdr>
        <w:top w:val="none" w:sz="0" w:space="0" w:color="auto"/>
        <w:left w:val="none" w:sz="0" w:space="0" w:color="auto"/>
        <w:bottom w:val="none" w:sz="0" w:space="0" w:color="auto"/>
        <w:right w:val="none" w:sz="0" w:space="0" w:color="auto"/>
      </w:divBdr>
    </w:div>
    <w:div w:id="208803068">
      <w:bodyDiv w:val="1"/>
      <w:marLeft w:val="0"/>
      <w:marRight w:val="0"/>
      <w:marTop w:val="0"/>
      <w:marBottom w:val="0"/>
      <w:divBdr>
        <w:top w:val="none" w:sz="0" w:space="0" w:color="auto"/>
        <w:left w:val="none" w:sz="0" w:space="0" w:color="auto"/>
        <w:bottom w:val="none" w:sz="0" w:space="0" w:color="auto"/>
        <w:right w:val="none" w:sz="0" w:space="0" w:color="auto"/>
      </w:divBdr>
    </w:div>
    <w:div w:id="209269351">
      <w:bodyDiv w:val="1"/>
      <w:marLeft w:val="0"/>
      <w:marRight w:val="0"/>
      <w:marTop w:val="0"/>
      <w:marBottom w:val="0"/>
      <w:divBdr>
        <w:top w:val="none" w:sz="0" w:space="0" w:color="auto"/>
        <w:left w:val="none" w:sz="0" w:space="0" w:color="auto"/>
        <w:bottom w:val="none" w:sz="0" w:space="0" w:color="auto"/>
        <w:right w:val="none" w:sz="0" w:space="0" w:color="auto"/>
      </w:divBdr>
    </w:div>
    <w:div w:id="209734246">
      <w:bodyDiv w:val="1"/>
      <w:marLeft w:val="0"/>
      <w:marRight w:val="0"/>
      <w:marTop w:val="0"/>
      <w:marBottom w:val="0"/>
      <w:divBdr>
        <w:top w:val="none" w:sz="0" w:space="0" w:color="auto"/>
        <w:left w:val="none" w:sz="0" w:space="0" w:color="auto"/>
        <w:bottom w:val="none" w:sz="0" w:space="0" w:color="auto"/>
        <w:right w:val="none" w:sz="0" w:space="0" w:color="auto"/>
      </w:divBdr>
    </w:div>
    <w:div w:id="210075045">
      <w:bodyDiv w:val="1"/>
      <w:marLeft w:val="0"/>
      <w:marRight w:val="0"/>
      <w:marTop w:val="0"/>
      <w:marBottom w:val="0"/>
      <w:divBdr>
        <w:top w:val="none" w:sz="0" w:space="0" w:color="auto"/>
        <w:left w:val="none" w:sz="0" w:space="0" w:color="auto"/>
        <w:bottom w:val="none" w:sz="0" w:space="0" w:color="auto"/>
        <w:right w:val="none" w:sz="0" w:space="0" w:color="auto"/>
      </w:divBdr>
    </w:div>
    <w:div w:id="211310666">
      <w:bodyDiv w:val="1"/>
      <w:marLeft w:val="0"/>
      <w:marRight w:val="0"/>
      <w:marTop w:val="0"/>
      <w:marBottom w:val="0"/>
      <w:divBdr>
        <w:top w:val="none" w:sz="0" w:space="0" w:color="auto"/>
        <w:left w:val="none" w:sz="0" w:space="0" w:color="auto"/>
        <w:bottom w:val="none" w:sz="0" w:space="0" w:color="auto"/>
        <w:right w:val="none" w:sz="0" w:space="0" w:color="auto"/>
      </w:divBdr>
    </w:div>
    <w:div w:id="211816686">
      <w:bodyDiv w:val="1"/>
      <w:marLeft w:val="0"/>
      <w:marRight w:val="0"/>
      <w:marTop w:val="0"/>
      <w:marBottom w:val="0"/>
      <w:divBdr>
        <w:top w:val="none" w:sz="0" w:space="0" w:color="auto"/>
        <w:left w:val="none" w:sz="0" w:space="0" w:color="auto"/>
        <w:bottom w:val="none" w:sz="0" w:space="0" w:color="auto"/>
        <w:right w:val="none" w:sz="0" w:space="0" w:color="auto"/>
      </w:divBdr>
    </w:div>
    <w:div w:id="211889877">
      <w:bodyDiv w:val="1"/>
      <w:marLeft w:val="0"/>
      <w:marRight w:val="0"/>
      <w:marTop w:val="0"/>
      <w:marBottom w:val="0"/>
      <w:divBdr>
        <w:top w:val="none" w:sz="0" w:space="0" w:color="auto"/>
        <w:left w:val="none" w:sz="0" w:space="0" w:color="auto"/>
        <w:bottom w:val="none" w:sz="0" w:space="0" w:color="auto"/>
        <w:right w:val="none" w:sz="0" w:space="0" w:color="auto"/>
      </w:divBdr>
    </w:div>
    <w:div w:id="212424462">
      <w:bodyDiv w:val="1"/>
      <w:marLeft w:val="0"/>
      <w:marRight w:val="0"/>
      <w:marTop w:val="0"/>
      <w:marBottom w:val="0"/>
      <w:divBdr>
        <w:top w:val="none" w:sz="0" w:space="0" w:color="auto"/>
        <w:left w:val="none" w:sz="0" w:space="0" w:color="auto"/>
        <w:bottom w:val="none" w:sz="0" w:space="0" w:color="auto"/>
        <w:right w:val="none" w:sz="0" w:space="0" w:color="auto"/>
      </w:divBdr>
    </w:div>
    <w:div w:id="212664838">
      <w:bodyDiv w:val="1"/>
      <w:marLeft w:val="0"/>
      <w:marRight w:val="0"/>
      <w:marTop w:val="0"/>
      <w:marBottom w:val="0"/>
      <w:divBdr>
        <w:top w:val="none" w:sz="0" w:space="0" w:color="auto"/>
        <w:left w:val="none" w:sz="0" w:space="0" w:color="auto"/>
        <w:bottom w:val="none" w:sz="0" w:space="0" w:color="auto"/>
        <w:right w:val="none" w:sz="0" w:space="0" w:color="auto"/>
      </w:divBdr>
    </w:div>
    <w:div w:id="213004708">
      <w:bodyDiv w:val="1"/>
      <w:marLeft w:val="0"/>
      <w:marRight w:val="0"/>
      <w:marTop w:val="0"/>
      <w:marBottom w:val="0"/>
      <w:divBdr>
        <w:top w:val="none" w:sz="0" w:space="0" w:color="auto"/>
        <w:left w:val="none" w:sz="0" w:space="0" w:color="auto"/>
        <w:bottom w:val="none" w:sz="0" w:space="0" w:color="auto"/>
        <w:right w:val="none" w:sz="0" w:space="0" w:color="auto"/>
      </w:divBdr>
    </w:div>
    <w:div w:id="213085893">
      <w:bodyDiv w:val="1"/>
      <w:marLeft w:val="0"/>
      <w:marRight w:val="0"/>
      <w:marTop w:val="0"/>
      <w:marBottom w:val="0"/>
      <w:divBdr>
        <w:top w:val="none" w:sz="0" w:space="0" w:color="auto"/>
        <w:left w:val="none" w:sz="0" w:space="0" w:color="auto"/>
        <w:bottom w:val="none" w:sz="0" w:space="0" w:color="auto"/>
        <w:right w:val="none" w:sz="0" w:space="0" w:color="auto"/>
      </w:divBdr>
    </w:div>
    <w:div w:id="215630011">
      <w:bodyDiv w:val="1"/>
      <w:marLeft w:val="0"/>
      <w:marRight w:val="0"/>
      <w:marTop w:val="0"/>
      <w:marBottom w:val="0"/>
      <w:divBdr>
        <w:top w:val="none" w:sz="0" w:space="0" w:color="auto"/>
        <w:left w:val="none" w:sz="0" w:space="0" w:color="auto"/>
        <w:bottom w:val="none" w:sz="0" w:space="0" w:color="auto"/>
        <w:right w:val="none" w:sz="0" w:space="0" w:color="auto"/>
      </w:divBdr>
    </w:div>
    <w:div w:id="215631977">
      <w:bodyDiv w:val="1"/>
      <w:marLeft w:val="0"/>
      <w:marRight w:val="0"/>
      <w:marTop w:val="0"/>
      <w:marBottom w:val="0"/>
      <w:divBdr>
        <w:top w:val="none" w:sz="0" w:space="0" w:color="auto"/>
        <w:left w:val="none" w:sz="0" w:space="0" w:color="auto"/>
        <w:bottom w:val="none" w:sz="0" w:space="0" w:color="auto"/>
        <w:right w:val="none" w:sz="0" w:space="0" w:color="auto"/>
      </w:divBdr>
    </w:div>
    <w:div w:id="216403590">
      <w:bodyDiv w:val="1"/>
      <w:marLeft w:val="0"/>
      <w:marRight w:val="0"/>
      <w:marTop w:val="0"/>
      <w:marBottom w:val="0"/>
      <w:divBdr>
        <w:top w:val="none" w:sz="0" w:space="0" w:color="auto"/>
        <w:left w:val="none" w:sz="0" w:space="0" w:color="auto"/>
        <w:bottom w:val="none" w:sz="0" w:space="0" w:color="auto"/>
        <w:right w:val="none" w:sz="0" w:space="0" w:color="auto"/>
      </w:divBdr>
    </w:div>
    <w:div w:id="217017151">
      <w:bodyDiv w:val="1"/>
      <w:marLeft w:val="0"/>
      <w:marRight w:val="0"/>
      <w:marTop w:val="0"/>
      <w:marBottom w:val="0"/>
      <w:divBdr>
        <w:top w:val="none" w:sz="0" w:space="0" w:color="auto"/>
        <w:left w:val="none" w:sz="0" w:space="0" w:color="auto"/>
        <w:bottom w:val="none" w:sz="0" w:space="0" w:color="auto"/>
        <w:right w:val="none" w:sz="0" w:space="0" w:color="auto"/>
      </w:divBdr>
    </w:div>
    <w:div w:id="217397502">
      <w:bodyDiv w:val="1"/>
      <w:marLeft w:val="0"/>
      <w:marRight w:val="0"/>
      <w:marTop w:val="0"/>
      <w:marBottom w:val="0"/>
      <w:divBdr>
        <w:top w:val="none" w:sz="0" w:space="0" w:color="auto"/>
        <w:left w:val="none" w:sz="0" w:space="0" w:color="auto"/>
        <w:bottom w:val="none" w:sz="0" w:space="0" w:color="auto"/>
        <w:right w:val="none" w:sz="0" w:space="0" w:color="auto"/>
      </w:divBdr>
    </w:div>
    <w:div w:id="217668976">
      <w:bodyDiv w:val="1"/>
      <w:marLeft w:val="0"/>
      <w:marRight w:val="0"/>
      <w:marTop w:val="0"/>
      <w:marBottom w:val="0"/>
      <w:divBdr>
        <w:top w:val="none" w:sz="0" w:space="0" w:color="auto"/>
        <w:left w:val="none" w:sz="0" w:space="0" w:color="auto"/>
        <w:bottom w:val="none" w:sz="0" w:space="0" w:color="auto"/>
        <w:right w:val="none" w:sz="0" w:space="0" w:color="auto"/>
      </w:divBdr>
    </w:div>
    <w:div w:id="217938883">
      <w:bodyDiv w:val="1"/>
      <w:marLeft w:val="0"/>
      <w:marRight w:val="0"/>
      <w:marTop w:val="0"/>
      <w:marBottom w:val="0"/>
      <w:divBdr>
        <w:top w:val="none" w:sz="0" w:space="0" w:color="auto"/>
        <w:left w:val="none" w:sz="0" w:space="0" w:color="auto"/>
        <w:bottom w:val="none" w:sz="0" w:space="0" w:color="auto"/>
        <w:right w:val="none" w:sz="0" w:space="0" w:color="auto"/>
      </w:divBdr>
    </w:div>
    <w:div w:id="218715720">
      <w:bodyDiv w:val="1"/>
      <w:marLeft w:val="0"/>
      <w:marRight w:val="0"/>
      <w:marTop w:val="0"/>
      <w:marBottom w:val="0"/>
      <w:divBdr>
        <w:top w:val="none" w:sz="0" w:space="0" w:color="auto"/>
        <w:left w:val="none" w:sz="0" w:space="0" w:color="auto"/>
        <w:bottom w:val="none" w:sz="0" w:space="0" w:color="auto"/>
        <w:right w:val="none" w:sz="0" w:space="0" w:color="auto"/>
      </w:divBdr>
    </w:div>
    <w:div w:id="219102123">
      <w:bodyDiv w:val="1"/>
      <w:marLeft w:val="0"/>
      <w:marRight w:val="0"/>
      <w:marTop w:val="0"/>
      <w:marBottom w:val="0"/>
      <w:divBdr>
        <w:top w:val="none" w:sz="0" w:space="0" w:color="auto"/>
        <w:left w:val="none" w:sz="0" w:space="0" w:color="auto"/>
        <w:bottom w:val="none" w:sz="0" w:space="0" w:color="auto"/>
        <w:right w:val="none" w:sz="0" w:space="0" w:color="auto"/>
      </w:divBdr>
    </w:div>
    <w:div w:id="219292056">
      <w:bodyDiv w:val="1"/>
      <w:marLeft w:val="0"/>
      <w:marRight w:val="0"/>
      <w:marTop w:val="0"/>
      <w:marBottom w:val="0"/>
      <w:divBdr>
        <w:top w:val="none" w:sz="0" w:space="0" w:color="auto"/>
        <w:left w:val="none" w:sz="0" w:space="0" w:color="auto"/>
        <w:bottom w:val="none" w:sz="0" w:space="0" w:color="auto"/>
        <w:right w:val="none" w:sz="0" w:space="0" w:color="auto"/>
      </w:divBdr>
    </w:div>
    <w:div w:id="220871241">
      <w:bodyDiv w:val="1"/>
      <w:marLeft w:val="0"/>
      <w:marRight w:val="0"/>
      <w:marTop w:val="0"/>
      <w:marBottom w:val="0"/>
      <w:divBdr>
        <w:top w:val="none" w:sz="0" w:space="0" w:color="auto"/>
        <w:left w:val="none" w:sz="0" w:space="0" w:color="auto"/>
        <w:bottom w:val="none" w:sz="0" w:space="0" w:color="auto"/>
        <w:right w:val="none" w:sz="0" w:space="0" w:color="auto"/>
      </w:divBdr>
    </w:div>
    <w:div w:id="221987456">
      <w:bodyDiv w:val="1"/>
      <w:marLeft w:val="0"/>
      <w:marRight w:val="0"/>
      <w:marTop w:val="0"/>
      <w:marBottom w:val="0"/>
      <w:divBdr>
        <w:top w:val="none" w:sz="0" w:space="0" w:color="auto"/>
        <w:left w:val="none" w:sz="0" w:space="0" w:color="auto"/>
        <w:bottom w:val="none" w:sz="0" w:space="0" w:color="auto"/>
        <w:right w:val="none" w:sz="0" w:space="0" w:color="auto"/>
      </w:divBdr>
    </w:div>
    <w:div w:id="222374516">
      <w:bodyDiv w:val="1"/>
      <w:marLeft w:val="0"/>
      <w:marRight w:val="0"/>
      <w:marTop w:val="0"/>
      <w:marBottom w:val="0"/>
      <w:divBdr>
        <w:top w:val="none" w:sz="0" w:space="0" w:color="auto"/>
        <w:left w:val="none" w:sz="0" w:space="0" w:color="auto"/>
        <w:bottom w:val="none" w:sz="0" w:space="0" w:color="auto"/>
        <w:right w:val="none" w:sz="0" w:space="0" w:color="auto"/>
      </w:divBdr>
    </w:div>
    <w:div w:id="223613047">
      <w:bodyDiv w:val="1"/>
      <w:marLeft w:val="0"/>
      <w:marRight w:val="0"/>
      <w:marTop w:val="0"/>
      <w:marBottom w:val="0"/>
      <w:divBdr>
        <w:top w:val="none" w:sz="0" w:space="0" w:color="auto"/>
        <w:left w:val="none" w:sz="0" w:space="0" w:color="auto"/>
        <w:bottom w:val="none" w:sz="0" w:space="0" w:color="auto"/>
        <w:right w:val="none" w:sz="0" w:space="0" w:color="auto"/>
      </w:divBdr>
    </w:div>
    <w:div w:id="224532395">
      <w:bodyDiv w:val="1"/>
      <w:marLeft w:val="0"/>
      <w:marRight w:val="0"/>
      <w:marTop w:val="0"/>
      <w:marBottom w:val="0"/>
      <w:divBdr>
        <w:top w:val="none" w:sz="0" w:space="0" w:color="auto"/>
        <w:left w:val="none" w:sz="0" w:space="0" w:color="auto"/>
        <w:bottom w:val="none" w:sz="0" w:space="0" w:color="auto"/>
        <w:right w:val="none" w:sz="0" w:space="0" w:color="auto"/>
      </w:divBdr>
    </w:div>
    <w:div w:id="225721140">
      <w:bodyDiv w:val="1"/>
      <w:marLeft w:val="0"/>
      <w:marRight w:val="0"/>
      <w:marTop w:val="0"/>
      <w:marBottom w:val="0"/>
      <w:divBdr>
        <w:top w:val="none" w:sz="0" w:space="0" w:color="auto"/>
        <w:left w:val="none" w:sz="0" w:space="0" w:color="auto"/>
        <w:bottom w:val="none" w:sz="0" w:space="0" w:color="auto"/>
        <w:right w:val="none" w:sz="0" w:space="0" w:color="auto"/>
      </w:divBdr>
    </w:div>
    <w:div w:id="226381104">
      <w:bodyDiv w:val="1"/>
      <w:marLeft w:val="0"/>
      <w:marRight w:val="0"/>
      <w:marTop w:val="0"/>
      <w:marBottom w:val="0"/>
      <w:divBdr>
        <w:top w:val="none" w:sz="0" w:space="0" w:color="auto"/>
        <w:left w:val="none" w:sz="0" w:space="0" w:color="auto"/>
        <w:bottom w:val="none" w:sz="0" w:space="0" w:color="auto"/>
        <w:right w:val="none" w:sz="0" w:space="0" w:color="auto"/>
      </w:divBdr>
    </w:div>
    <w:div w:id="226845436">
      <w:bodyDiv w:val="1"/>
      <w:marLeft w:val="0"/>
      <w:marRight w:val="0"/>
      <w:marTop w:val="0"/>
      <w:marBottom w:val="0"/>
      <w:divBdr>
        <w:top w:val="none" w:sz="0" w:space="0" w:color="auto"/>
        <w:left w:val="none" w:sz="0" w:space="0" w:color="auto"/>
        <w:bottom w:val="none" w:sz="0" w:space="0" w:color="auto"/>
        <w:right w:val="none" w:sz="0" w:space="0" w:color="auto"/>
      </w:divBdr>
    </w:div>
    <w:div w:id="226847839">
      <w:bodyDiv w:val="1"/>
      <w:marLeft w:val="0"/>
      <w:marRight w:val="0"/>
      <w:marTop w:val="0"/>
      <w:marBottom w:val="0"/>
      <w:divBdr>
        <w:top w:val="none" w:sz="0" w:space="0" w:color="auto"/>
        <w:left w:val="none" w:sz="0" w:space="0" w:color="auto"/>
        <w:bottom w:val="none" w:sz="0" w:space="0" w:color="auto"/>
        <w:right w:val="none" w:sz="0" w:space="0" w:color="auto"/>
      </w:divBdr>
    </w:div>
    <w:div w:id="227158664">
      <w:bodyDiv w:val="1"/>
      <w:marLeft w:val="0"/>
      <w:marRight w:val="0"/>
      <w:marTop w:val="0"/>
      <w:marBottom w:val="0"/>
      <w:divBdr>
        <w:top w:val="none" w:sz="0" w:space="0" w:color="auto"/>
        <w:left w:val="none" w:sz="0" w:space="0" w:color="auto"/>
        <w:bottom w:val="none" w:sz="0" w:space="0" w:color="auto"/>
        <w:right w:val="none" w:sz="0" w:space="0" w:color="auto"/>
      </w:divBdr>
    </w:div>
    <w:div w:id="227571709">
      <w:bodyDiv w:val="1"/>
      <w:marLeft w:val="0"/>
      <w:marRight w:val="0"/>
      <w:marTop w:val="0"/>
      <w:marBottom w:val="0"/>
      <w:divBdr>
        <w:top w:val="none" w:sz="0" w:space="0" w:color="auto"/>
        <w:left w:val="none" w:sz="0" w:space="0" w:color="auto"/>
        <w:bottom w:val="none" w:sz="0" w:space="0" w:color="auto"/>
        <w:right w:val="none" w:sz="0" w:space="0" w:color="auto"/>
      </w:divBdr>
    </w:div>
    <w:div w:id="227813728">
      <w:bodyDiv w:val="1"/>
      <w:marLeft w:val="0"/>
      <w:marRight w:val="0"/>
      <w:marTop w:val="0"/>
      <w:marBottom w:val="0"/>
      <w:divBdr>
        <w:top w:val="none" w:sz="0" w:space="0" w:color="auto"/>
        <w:left w:val="none" w:sz="0" w:space="0" w:color="auto"/>
        <w:bottom w:val="none" w:sz="0" w:space="0" w:color="auto"/>
        <w:right w:val="none" w:sz="0" w:space="0" w:color="auto"/>
      </w:divBdr>
    </w:div>
    <w:div w:id="228271073">
      <w:bodyDiv w:val="1"/>
      <w:marLeft w:val="0"/>
      <w:marRight w:val="0"/>
      <w:marTop w:val="0"/>
      <w:marBottom w:val="0"/>
      <w:divBdr>
        <w:top w:val="none" w:sz="0" w:space="0" w:color="auto"/>
        <w:left w:val="none" w:sz="0" w:space="0" w:color="auto"/>
        <w:bottom w:val="none" w:sz="0" w:space="0" w:color="auto"/>
        <w:right w:val="none" w:sz="0" w:space="0" w:color="auto"/>
      </w:divBdr>
    </w:div>
    <w:div w:id="228393743">
      <w:bodyDiv w:val="1"/>
      <w:marLeft w:val="0"/>
      <w:marRight w:val="0"/>
      <w:marTop w:val="0"/>
      <w:marBottom w:val="0"/>
      <w:divBdr>
        <w:top w:val="none" w:sz="0" w:space="0" w:color="auto"/>
        <w:left w:val="none" w:sz="0" w:space="0" w:color="auto"/>
        <w:bottom w:val="none" w:sz="0" w:space="0" w:color="auto"/>
        <w:right w:val="none" w:sz="0" w:space="0" w:color="auto"/>
      </w:divBdr>
    </w:div>
    <w:div w:id="228930568">
      <w:bodyDiv w:val="1"/>
      <w:marLeft w:val="0"/>
      <w:marRight w:val="0"/>
      <w:marTop w:val="0"/>
      <w:marBottom w:val="0"/>
      <w:divBdr>
        <w:top w:val="none" w:sz="0" w:space="0" w:color="auto"/>
        <w:left w:val="none" w:sz="0" w:space="0" w:color="auto"/>
        <w:bottom w:val="none" w:sz="0" w:space="0" w:color="auto"/>
        <w:right w:val="none" w:sz="0" w:space="0" w:color="auto"/>
      </w:divBdr>
    </w:div>
    <w:div w:id="229077816">
      <w:bodyDiv w:val="1"/>
      <w:marLeft w:val="0"/>
      <w:marRight w:val="0"/>
      <w:marTop w:val="0"/>
      <w:marBottom w:val="0"/>
      <w:divBdr>
        <w:top w:val="none" w:sz="0" w:space="0" w:color="auto"/>
        <w:left w:val="none" w:sz="0" w:space="0" w:color="auto"/>
        <w:bottom w:val="none" w:sz="0" w:space="0" w:color="auto"/>
        <w:right w:val="none" w:sz="0" w:space="0" w:color="auto"/>
      </w:divBdr>
    </w:div>
    <w:div w:id="229192514">
      <w:bodyDiv w:val="1"/>
      <w:marLeft w:val="0"/>
      <w:marRight w:val="0"/>
      <w:marTop w:val="0"/>
      <w:marBottom w:val="0"/>
      <w:divBdr>
        <w:top w:val="none" w:sz="0" w:space="0" w:color="auto"/>
        <w:left w:val="none" w:sz="0" w:space="0" w:color="auto"/>
        <w:bottom w:val="none" w:sz="0" w:space="0" w:color="auto"/>
        <w:right w:val="none" w:sz="0" w:space="0" w:color="auto"/>
      </w:divBdr>
    </w:div>
    <w:div w:id="229579156">
      <w:bodyDiv w:val="1"/>
      <w:marLeft w:val="0"/>
      <w:marRight w:val="0"/>
      <w:marTop w:val="0"/>
      <w:marBottom w:val="0"/>
      <w:divBdr>
        <w:top w:val="none" w:sz="0" w:space="0" w:color="auto"/>
        <w:left w:val="none" w:sz="0" w:space="0" w:color="auto"/>
        <w:bottom w:val="none" w:sz="0" w:space="0" w:color="auto"/>
        <w:right w:val="none" w:sz="0" w:space="0" w:color="auto"/>
      </w:divBdr>
    </w:div>
    <w:div w:id="231015315">
      <w:bodyDiv w:val="1"/>
      <w:marLeft w:val="0"/>
      <w:marRight w:val="0"/>
      <w:marTop w:val="0"/>
      <w:marBottom w:val="0"/>
      <w:divBdr>
        <w:top w:val="none" w:sz="0" w:space="0" w:color="auto"/>
        <w:left w:val="none" w:sz="0" w:space="0" w:color="auto"/>
        <w:bottom w:val="none" w:sz="0" w:space="0" w:color="auto"/>
        <w:right w:val="none" w:sz="0" w:space="0" w:color="auto"/>
      </w:divBdr>
    </w:div>
    <w:div w:id="231232764">
      <w:bodyDiv w:val="1"/>
      <w:marLeft w:val="0"/>
      <w:marRight w:val="0"/>
      <w:marTop w:val="0"/>
      <w:marBottom w:val="0"/>
      <w:divBdr>
        <w:top w:val="none" w:sz="0" w:space="0" w:color="auto"/>
        <w:left w:val="none" w:sz="0" w:space="0" w:color="auto"/>
        <w:bottom w:val="none" w:sz="0" w:space="0" w:color="auto"/>
        <w:right w:val="none" w:sz="0" w:space="0" w:color="auto"/>
      </w:divBdr>
    </w:div>
    <w:div w:id="231552760">
      <w:bodyDiv w:val="1"/>
      <w:marLeft w:val="0"/>
      <w:marRight w:val="0"/>
      <w:marTop w:val="0"/>
      <w:marBottom w:val="0"/>
      <w:divBdr>
        <w:top w:val="none" w:sz="0" w:space="0" w:color="auto"/>
        <w:left w:val="none" w:sz="0" w:space="0" w:color="auto"/>
        <w:bottom w:val="none" w:sz="0" w:space="0" w:color="auto"/>
        <w:right w:val="none" w:sz="0" w:space="0" w:color="auto"/>
      </w:divBdr>
    </w:div>
    <w:div w:id="232357649">
      <w:bodyDiv w:val="1"/>
      <w:marLeft w:val="0"/>
      <w:marRight w:val="0"/>
      <w:marTop w:val="0"/>
      <w:marBottom w:val="0"/>
      <w:divBdr>
        <w:top w:val="none" w:sz="0" w:space="0" w:color="auto"/>
        <w:left w:val="none" w:sz="0" w:space="0" w:color="auto"/>
        <w:bottom w:val="none" w:sz="0" w:space="0" w:color="auto"/>
        <w:right w:val="none" w:sz="0" w:space="0" w:color="auto"/>
      </w:divBdr>
    </w:div>
    <w:div w:id="232740929">
      <w:bodyDiv w:val="1"/>
      <w:marLeft w:val="0"/>
      <w:marRight w:val="0"/>
      <w:marTop w:val="0"/>
      <w:marBottom w:val="0"/>
      <w:divBdr>
        <w:top w:val="none" w:sz="0" w:space="0" w:color="auto"/>
        <w:left w:val="none" w:sz="0" w:space="0" w:color="auto"/>
        <w:bottom w:val="none" w:sz="0" w:space="0" w:color="auto"/>
        <w:right w:val="none" w:sz="0" w:space="0" w:color="auto"/>
      </w:divBdr>
    </w:div>
    <w:div w:id="234052163">
      <w:bodyDiv w:val="1"/>
      <w:marLeft w:val="0"/>
      <w:marRight w:val="0"/>
      <w:marTop w:val="0"/>
      <w:marBottom w:val="0"/>
      <w:divBdr>
        <w:top w:val="none" w:sz="0" w:space="0" w:color="auto"/>
        <w:left w:val="none" w:sz="0" w:space="0" w:color="auto"/>
        <w:bottom w:val="none" w:sz="0" w:space="0" w:color="auto"/>
        <w:right w:val="none" w:sz="0" w:space="0" w:color="auto"/>
      </w:divBdr>
    </w:div>
    <w:div w:id="234362446">
      <w:bodyDiv w:val="1"/>
      <w:marLeft w:val="0"/>
      <w:marRight w:val="0"/>
      <w:marTop w:val="0"/>
      <w:marBottom w:val="0"/>
      <w:divBdr>
        <w:top w:val="none" w:sz="0" w:space="0" w:color="auto"/>
        <w:left w:val="none" w:sz="0" w:space="0" w:color="auto"/>
        <w:bottom w:val="none" w:sz="0" w:space="0" w:color="auto"/>
        <w:right w:val="none" w:sz="0" w:space="0" w:color="auto"/>
      </w:divBdr>
    </w:div>
    <w:div w:id="234707817">
      <w:bodyDiv w:val="1"/>
      <w:marLeft w:val="0"/>
      <w:marRight w:val="0"/>
      <w:marTop w:val="0"/>
      <w:marBottom w:val="0"/>
      <w:divBdr>
        <w:top w:val="none" w:sz="0" w:space="0" w:color="auto"/>
        <w:left w:val="none" w:sz="0" w:space="0" w:color="auto"/>
        <w:bottom w:val="none" w:sz="0" w:space="0" w:color="auto"/>
        <w:right w:val="none" w:sz="0" w:space="0" w:color="auto"/>
      </w:divBdr>
    </w:div>
    <w:div w:id="235014442">
      <w:bodyDiv w:val="1"/>
      <w:marLeft w:val="0"/>
      <w:marRight w:val="0"/>
      <w:marTop w:val="0"/>
      <w:marBottom w:val="0"/>
      <w:divBdr>
        <w:top w:val="none" w:sz="0" w:space="0" w:color="auto"/>
        <w:left w:val="none" w:sz="0" w:space="0" w:color="auto"/>
        <w:bottom w:val="none" w:sz="0" w:space="0" w:color="auto"/>
        <w:right w:val="none" w:sz="0" w:space="0" w:color="auto"/>
      </w:divBdr>
    </w:div>
    <w:div w:id="235670085">
      <w:bodyDiv w:val="1"/>
      <w:marLeft w:val="0"/>
      <w:marRight w:val="0"/>
      <w:marTop w:val="0"/>
      <w:marBottom w:val="0"/>
      <w:divBdr>
        <w:top w:val="none" w:sz="0" w:space="0" w:color="auto"/>
        <w:left w:val="none" w:sz="0" w:space="0" w:color="auto"/>
        <w:bottom w:val="none" w:sz="0" w:space="0" w:color="auto"/>
        <w:right w:val="none" w:sz="0" w:space="0" w:color="auto"/>
      </w:divBdr>
    </w:div>
    <w:div w:id="237326206">
      <w:bodyDiv w:val="1"/>
      <w:marLeft w:val="0"/>
      <w:marRight w:val="0"/>
      <w:marTop w:val="0"/>
      <w:marBottom w:val="0"/>
      <w:divBdr>
        <w:top w:val="none" w:sz="0" w:space="0" w:color="auto"/>
        <w:left w:val="none" w:sz="0" w:space="0" w:color="auto"/>
        <w:bottom w:val="none" w:sz="0" w:space="0" w:color="auto"/>
        <w:right w:val="none" w:sz="0" w:space="0" w:color="auto"/>
      </w:divBdr>
    </w:div>
    <w:div w:id="237599796">
      <w:bodyDiv w:val="1"/>
      <w:marLeft w:val="0"/>
      <w:marRight w:val="0"/>
      <w:marTop w:val="0"/>
      <w:marBottom w:val="0"/>
      <w:divBdr>
        <w:top w:val="none" w:sz="0" w:space="0" w:color="auto"/>
        <w:left w:val="none" w:sz="0" w:space="0" w:color="auto"/>
        <w:bottom w:val="none" w:sz="0" w:space="0" w:color="auto"/>
        <w:right w:val="none" w:sz="0" w:space="0" w:color="auto"/>
      </w:divBdr>
    </w:div>
    <w:div w:id="237637173">
      <w:bodyDiv w:val="1"/>
      <w:marLeft w:val="0"/>
      <w:marRight w:val="0"/>
      <w:marTop w:val="0"/>
      <w:marBottom w:val="0"/>
      <w:divBdr>
        <w:top w:val="none" w:sz="0" w:space="0" w:color="auto"/>
        <w:left w:val="none" w:sz="0" w:space="0" w:color="auto"/>
        <w:bottom w:val="none" w:sz="0" w:space="0" w:color="auto"/>
        <w:right w:val="none" w:sz="0" w:space="0" w:color="auto"/>
      </w:divBdr>
    </w:div>
    <w:div w:id="237714457">
      <w:bodyDiv w:val="1"/>
      <w:marLeft w:val="0"/>
      <w:marRight w:val="0"/>
      <w:marTop w:val="0"/>
      <w:marBottom w:val="0"/>
      <w:divBdr>
        <w:top w:val="none" w:sz="0" w:space="0" w:color="auto"/>
        <w:left w:val="none" w:sz="0" w:space="0" w:color="auto"/>
        <w:bottom w:val="none" w:sz="0" w:space="0" w:color="auto"/>
        <w:right w:val="none" w:sz="0" w:space="0" w:color="auto"/>
      </w:divBdr>
    </w:div>
    <w:div w:id="237980010">
      <w:bodyDiv w:val="1"/>
      <w:marLeft w:val="0"/>
      <w:marRight w:val="0"/>
      <w:marTop w:val="0"/>
      <w:marBottom w:val="0"/>
      <w:divBdr>
        <w:top w:val="none" w:sz="0" w:space="0" w:color="auto"/>
        <w:left w:val="none" w:sz="0" w:space="0" w:color="auto"/>
        <w:bottom w:val="none" w:sz="0" w:space="0" w:color="auto"/>
        <w:right w:val="none" w:sz="0" w:space="0" w:color="auto"/>
      </w:divBdr>
    </w:div>
    <w:div w:id="238027324">
      <w:bodyDiv w:val="1"/>
      <w:marLeft w:val="0"/>
      <w:marRight w:val="0"/>
      <w:marTop w:val="0"/>
      <w:marBottom w:val="0"/>
      <w:divBdr>
        <w:top w:val="none" w:sz="0" w:space="0" w:color="auto"/>
        <w:left w:val="none" w:sz="0" w:space="0" w:color="auto"/>
        <w:bottom w:val="none" w:sz="0" w:space="0" w:color="auto"/>
        <w:right w:val="none" w:sz="0" w:space="0" w:color="auto"/>
      </w:divBdr>
    </w:div>
    <w:div w:id="238175845">
      <w:bodyDiv w:val="1"/>
      <w:marLeft w:val="0"/>
      <w:marRight w:val="0"/>
      <w:marTop w:val="0"/>
      <w:marBottom w:val="0"/>
      <w:divBdr>
        <w:top w:val="none" w:sz="0" w:space="0" w:color="auto"/>
        <w:left w:val="none" w:sz="0" w:space="0" w:color="auto"/>
        <w:bottom w:val="none" w:sz="0" w:space="0" w:color="auto"/>
        <w:right w:val="none" w:sz="0" w:space="0" w:color="auto"/>
      </w:divBdr>
    </w:div>
    <w:div w:id="238289418">
      <w:bodyDiv w:val="1"/>
      <w:marLeft w:val="0"/>
      <w:marRight w:val="0"/>
      <w:marTop w:val="0"/>
      <w:marBottom w:val="0"/>
      <w:divBdr>
        <w:top w:val="none" w:sz="0" w:space="0" w:color="auto"/>
        <w:left w:val="none" w:sz="0" w:space="0" w:color="auto"/>
        <w:bottom w:val="none" w:sz="0" w:space="0" w:color="auto"/>
        <w:right w:val="none" w:sz="0" w:space="0" w:color="auto"/>
      </w:divBdr>
    </w:div>
    <w:div w:id="240024305">
      <w:bodyDiv w:val="1"/>
      <w:marLeft w:val="0"/>
      <w:marRight w:val="0"/>
      <w:marTop w:val="0"/>
      <w:marBottom w:val="0"/>
      <w:divBdr>
        <w:top w:val="none" w:sz="0" w:space="0" w:color="auto"/>
        <w:left w:val="none" w:sz="0" w:space="0" w:color="auto"/>
        <w:bottom w:val="none" w:sz="0" w:space="0" w:color="auto"/>
        <w:right w:val="none" w:sz="0" w:space="0" w:color="auto"/>
      </w:divBdr>
    </w:div>
    <w:div w:id="240335595">
      <w:bodyDiv w:val="1"/>
      <w:marLeft w:val="0"/>
      <w:marRight w:val="0"/>
      <w:marTop w:val="0"/>
      <w:marBottom w:val="0"/>
      <w:divBdr>
        <w:top w:val="none" w:sz="0" w:space="0" w:color="auto"/>
        <w:left w:val="none" w:sz="0" w:space="0" w:color="auto"/>
        <w:bottom w:val="none" w:sz="0" w:space="0" w:color="auto"/>
        <w:right w:val="none" w:sz="0" w:space="0" w:color="auto"/>
      </w:divBdr>
    </w:div>
    <w:div w:id="241380269">
      <w:bodyDiv w:val="1"/>
      <w:marLeft w:val="0"/>
      <w:marRight w:val="0"/>
      <w:marTop w:val="0"/>
      <w:marBottom w:val="0"/>
      <w:divBdr>
        <w:top w:val="none" w:sz="0" w:space="0" w:color="auto"/>
        <w:left w:val="none" w:sz="0" w:space="0" w:color="auto"/>
        <w:bottom w:val="none" w:sz="0" w:space="0" w:color="auto"/>
        <w:right w:val="none" w:sz="0" w:space="0" w:color="auto"/>
      </w:divBdr>
    </w:div>
    <w:div w:id="241574741">
      <w:bodyDiv w:val="1"/>
      <w:marLeft w:val="0"/>
      <w:marRight w:val="0"/>
      <w:marTop w:val="0"/>
      <w:marBottom w:val="0"/>
      <w:divBdr>
        <w:top w:val="none" w:sz="0" w:space="0" w:color="auto"/>
        <w:left w:val="none" w:sz="0" w:space="0" w:color="auto"/>
        <w:bottom w:val="none" w:sz="0" w:space="0" w:color="auto"/>
        <w:right w:val="none" w:sz="0" w:space="0" w:color="auto"/>
      </w:divBdr>
    </w:div>
    <w:div w:id="241724193">
      <w:bodyDiv w:val="1"/>
      <w:marLeft w:val="0"/>
      <w:marRight w:val="0"/>
      <w:marTop w:val="0"/>
      <w:marBottom w:val="0"/>
      <w:divBdr>
        <w:top w:val="none" w:sz="0" w:space="0" w:color="auto"/>
        <w:left w:val="none" w:sz="0" w:space="0" w:color="auto"/>
        <w:bottom w:val="none" w:sz="0" w:space="0" w:color="auto"/>
        <w:right w:val="none" w:sz="0" w:space="0" w:color="auto"/>
      </w:divBdr>
    </w:div>
    <w:div w:id="241840333">
      <w:bodyDiv w:val="1"/>
      <w:marLeft w:val="0"/>
      <w:marRight w:val="0"/>
      <w:marTop w:val="0"/>
      <w:marBottom w:val="0"/>
      <w:divBdr>
        <w:top w:val="none" w:sz="0" w:space="0" w:color="auto"/>
        <w:left w:val="none" w:sz="0" w:space="0" w:color="auto"/>
        <w:bottom w:val="none" w:sz="0" w:space="0" w:color="auto"/>
        <w:right w:val="none" w:sz="0" w:space="0" w:color="auto"/>
      </w:divBdr>
    </w:div>
    <w:div w:id="241841218">
      <w:bodyDiv w:val="1"/>
      <w:marLeft w:val="0"/>
      <w:marRight w:val="0"/>
      <w:marTop w:val="0"/>
      <w:marBottom w:val="0"/>
      <w:divBdr>
        <w:top w:val="none" w:sz="0" w:space="0" w:color="auto"/>
        <w:left w:val="none" w:sz="0" w:space="0" w:color="auto"/>
        <w:bottom w:val="none" w:sz="0" w:space="0" w:color="auto"/>
        <w:right w:val="none" w:sz="0" w:space="0" w:color="auto"/>
      </w:divBdr>
    </w:div>
    <w:div w:id="241913616">
      <w:bodyDiv w:val="1"/>
      <w:marLeft w:val="0"/>
      <w:marRight w:val="0"/>
      <w:marTop w:val="0"/>
      <w:marBottom w:val="0"/>
      <w:divBdr>
        <w:top w:val="none" w:sz="0" w:space="0" w:color="auto"/>
        <w:left w:val="none" w:sz="0" w:space="0" w:color="auto"/>
        <w:bottom w:val="none" w:sz="0" w:space="0" w:color="auto"/>
        <w:right w:val="none" w:sz="0" w:space="0" w:color="auto"/>
      </w:divBdr>
    </w:div>
    <w:div w:id="242298558">
      <w:bodyDiv w:val="1"/>
      <w:marLeft w:val="0"/>
      <w:marRight w:val="0"/>
      <w:marTop w:val="0"/>
      <w:marBottom w:val="0"/>
      <w:divBdr>
        <w:top w:val="none" w:sz="0" w:space="0" w:color="auto"/>
        <w:left w:val="none" w:sz="0" w:space="0" w:color="auto"/>
        <w:bottom w:val="none" w:sz="0" w:space="0" w:color="auto"/>
        <w:right w:val="none" w:sz="0" w:space="0" w:color="auto"/>
      </w:divBdr>
    </w:div>
    <w:div w:id="242420007">
      <w:bodyDiv w:val="1"/>
      <w:marLeft w:val="0"/>
      <w:marRight w:val="0"/>
      <w:marTop w:val="0"/>
      <w:marBottom w:val="0"/>
      <w:divBdr>
        <w:top w:val="none" w:sz="0" w:space="0" w:color="auto"/>
        <w:left w:val="none" w:sz="0" w:space="0" w:color="auto"/>
        <w:bottom w:val="none" w:sz="0" w:space="0" w:color="auto"/>
        <w:right w:val="none" w:sz="0" w:space="0" w:color="auto"/>
      </w:divBdr>
    </w:div>
    <w:div w:id="242691284">
      <w:bodyDiv w:val="1"/>
      <w:marLeft w:val="0"/>
      <w:marRight w:val="0"/>
      <w:marTop w:val="0"/>
      <w:marBottom w:val="0"/>
      <w:divBdr>
        <w:top w:val="none" w:sz="0" w:space="0" w:color="auto"/>
        <w:left w:val="none" w:sz="0" w:space="0" w:color="auto"/>
        <w:bottom w:val="none" w:sz="0" w:space="0" w:color="auto"/>
        <w:right w:val="none" w:sz="0" w:space="0" w:color="auto"/>
      </w:divBdr>
    </w:div>
    <w:div w:id="243493342">
      <w:bodyDiv w:val="1"/>
      <w:marLeft w:val="0"/>
      <w:marRight w:val="0"/>
      <w:marTop w:val="0"/>
      <w:marBottom w:val="0"/>
      <w:divBdr>
        <w:top w:val="none" w:sz="0" w:space="0" w:color="auto"/>
        <w:left w:val="none" w:sz="0" w:space="0" w:color="auto"/>
        <w:bottom w:val="none" w:sz="0" w:space="0" w:color="auto"/>
        <w:right w:val="none" w:sz="0" w:space="0" w:color="auto"/>
      </w:divBdr>
    </w:div>
    <w:div w:id="244002758">
      <w:bodyDiv w:val="1"/>
      <w:marLeft w:val="0"/>
      <w:marRight w:val="0"/>
      <w:marTop w:val="0"/>
      <w:marBottom w:val="0"/>
      <w:divBdr>
        <w:top w:val="none" w:sz="0" w:space="0" w:color="auto"/>
        <w:left w:val="none" w:sz="0" w:space="0" w:color="auto"/>
        <w:bottom w:val="none" w:sz="0" w:space="0" w:color="auto"/>
        <w:right w:val="none" w:sz="0" w:space="0" w:color="auto"/>
      </w:divBdr>
    </w:div>
    <w:div w:id="244071547">
      <w:bodyDiv w:val="1"/>
      <w:marLeft w:val="0"/>
      <w:marRight w:val="0"/>
      <w:marTop w:val="0"/>
      <w:marBottom w:val="0"/>
      <w:divBdr>
        <w:top w:val="none" w:sz="0" w:space="0" w:color="auto"/>
        <w:left w:val="none" w:sz="0" w:space="0" w:color="auto"/>
        <w:bottom w:val="none" w:sz="0" w:space="0" w:color="auto"/>
        <w:right w:val="none" w:sz="0" w:space="0" w:color="auto"/>
      </w:divBdr>
    </w:div>
    <w:div w:id="246888811">
      <w:bodyDiv w:val="1"/>
      <w:marLeft w:val="0"/>
      <w:marRight w:val="0"/>
      <w:marTop w:val="0"/>
      <w:marBottom w:val="0"/>
      <w:divBdr>
        <w:top w:val="none" w:sz="0" w:space="0" w:color="auto"/>
        <w:left w:val="none" w:sz="0" w:space="0" w:color="auto"/>
        <w:bottom w:val="none" w:sz="0" w:space="0" w:color="auto"/>
        <w:right w:val="none" w:sz="0" w:space="0" w:color="auto"/>
      </w:divBdr>
    </w:div>
    <w:div w:id="247345729">
      <w:bodyDiv w:val="1"/>
      <w:marLeft w:val="0"/>
      <w:marRight w:val="0"/>
      <w:marTop w:val="0"/>
      <w:marBottom w:val="0"/>
      <w:divBdr>
        <w:top w:val="none" w:sz="0" w:space="0" w:color="auto"/>
        <w:left w:val="none" w:sz="0" w:space="0" w:color="auto"/>
        <w:bottom w:val="none" w:sz="0" w:space="0" w:color="auto"/>
        <w:right w:val="none" w:sz="0" w:space="0" w:color="auto"/>
      </w:divBdr>
    </w:div>
    <w:div w:id="249312906">
      <w:bodyDiv w:val="1"/>
      <w:marLeft w:val="0"/>
      <w:marRight w:val="0"/>
      <w:marTop w:val="0"/>
      <w:marBottom w:val="0"/>
      <w:divBdr>
        <w:top w:val="none" w:sz="0" w:space="0" w:color="auto"/>
        <w:left w:val="none" w:sz="0" w:space="0" w:color="auto"/>
        <w:bottom w:val="none" w:sz="0" w:space="0" w:color="auto"/>
        <w:right w:val="none" w:sz="0" w:space="0" w:color="auto"/>
      </w:divBdr>
    </w:div>
    <w:div w:id="249700029">
      <w:bodyDiv w:val="1"/>
      <w:marLeft w:val="0"/>
      <w:marRight w:val="0"/>
      <w:marTop w:val="0"/>
      <w:marBottom w:val="0"/>
      <w:divBdr>
        <w:top w:val="none" w:sz="0" w:space="0" w:color="auto"/>
        <w:left w:val="none" w:sz="0" w:space="0" w:color="auto"/>
        <w:bottom w:val="none" w:sz="0" w:space="0" w:color="auto"/>
        <w:right w:val="none" w:sz="0" w:space="0" w:color="auto"/>
      </w:divBdr>
    </w:div>
    <w:div w:id="250894813">
      <w:bodyDiv w:val="1"/>
      <w:marLeft w:val="0"/>
      <w:marRight w:val="0"/>
      <w:marTop w:val="0"/>
      <w:marBottom w:val="0"/>
      <w:divBdr>
        <w:top w:val="none" w:sz="0" w:space="0" w:color="auto"/>
        <w:left w:val="none" w:sz="0" w:space="0" w:color="auto"/>
        <w:bottom w:val="none" w:sz="0" w:space="0" w:color="auto"/>
        <w:right w:val="none" w:sz="0" w:space="0" w:color="auto"/>
      </w:divBdr>
    </w:div>
    <w:div w:id="251473077">
      <w:bodyDiv w:val="1"/>
      <w:marLeft w:val="0"/>
      <w:marRight w:val="0"/>
      <w:marTop w:val="0"/>
      <w:marBottom w:val="0"/>
      <w:divBdr>
        <w:top w:val="none" w:sz="0" w:space="0" w:color="auto"/>
        <w:left w:val="none" w:sz="0" w:space="0" w:color="auto"/>
        <w:bottom w:val="none" w:sz="0" w:space="0" w:color="auto"/>
        <w:right w:val="none" w:sz="0" w:space="0" w:color="auto"/>
      </w:divBdr>
    </w:div>
    <w:div w:id="252588049">
      <w:bodyDiv w:val="1"/>
      <w:marLeft w:val="0"/>
      <w:marRight w:val="0"/>
      <w:marTop w:val="0"/>
      <w:marBottom w:val="0"/>
      <w:divBdr>
        <w:top w:val="none" w:sz="0" w:space="0" w:color="auto"/>
        <w:left w:val="none" w:sz="0" w:space="0" w:color="auto"/>
        <w:bottom w:val="none" w:sz="0" w:space="0" w:color="auto"/>
        <w:right w:val="none" w:sz="0" w:space="0" w:color="auto"/>
      </w:divBdr>
    </w:div>
    <w:div w:id="253362439">
      <w:bodyDiv w:val="1"/>
      <w:marLeft w:val="0"/>
      <w:marRight w:val="0"/>
      <w:marTop w:val="0"/>
      <w:marBottom w:val="0"/>
      <w:divBdr>
        <w:top w:val="none" w:sz="0" w:space="0" w:color="auto"/>
        <w:left w:val="none" w:sz="0" w:space="0" w:color="auto"/>
        <w:bottom w:val="none" w:sz="0" w:space="0" w:color="auto"/>
        <w:right w:val="none" w:sz="0" w:space="0" w:color="auto"/>
      </w:divBdr>
    </w:div>
    <w:div w:id="253704879">
      <w:bodyDiv w:val="1"/>
      <w:marLeft w:val="0"/>
      <w:marRight w:val="0"/>
      <w:marTop w:val="0"/>
      <w:marBottom w:val="0"/>
      <w:divBdr>
        <w:top w:val="none" w:sz="0" w:space="0" w:color="auto"/>
        <w:left w:val="none" w:sz="0" w:space="0" w:color="auto"/>
        <w:bottom w:val="none" w:sz="0" w:space="0" w:color="auto"/>
        <w:right w:val="none" w:sz="0" w:space="0" w:color="auto"/>
      </w:divBdr>
    </w:div>
    <w:div w:id="253898761">
      <w:bodyDiv w:val="1"/>
      <w:marLeft w:val="0"/>
      <w:marRight w:val="0"/>
      <w:marTop w:val="0"/>
      <w:marBottom w:val="0"/>
      <w:divBdr>
        <w:top w:val="none" w:sz="0" w:space="0" w:color="auto"/>
        <w:left w:val="none" w:sz="0" w:space="0" w:color="auto"/>
        <w:bottom w:val="none" w:sz="0" w:space="0" w:color="auto"/>
        <w:right w:val="none" w:sz="0" w:space="0" w:color="auto"/>
      </w:divBdr>
    </w:div>
    <w:div w:id="255098618">
      <w:bodyDiv w:val="1"/>
      <w:marLeft w:val="0"/>
      <w:marRight w:val="0"/>
      <w:marTop w:val="0"/>
      <w:marBottom w:val="0"/>
      <w:divBdr>
        <w:top w:val="none" w:sz="0" w:space="0" w:color="auto"/>
        <w:left w:val="none" w:sz="0" w:space="0" w:color="auto"/>
        <w:bottom w:val="none" w:sz="0" w:space="0" w:color="auto"/>
        <w:right w:val="none" w:sz="0" w:space="0" w:color="auto"/>
      </w:divBdr>
    </w:div>
    <w:div w:id="255216749">
      <w:bodyDiv w:val="1"/>
      <w:marLeft w:val="0"/>
      <w:marRight w:val="0"/>
      <w:marTop w:val="0"/>
      <w:marBottom w:val="0"/>
      <w:divBdr>
        <w:top w:val="none" w:sz="0" w:space="0" w:color="auto"/>
        <w:left w:val="none" w:sz="0" w:space="0" w:color="auto"/>
        <w:bottom w:val="none" w:sz="0" w:space="0" w:color="auto"/>
        <w:right w:val="none" w:sz="0" w:space="0" w:color="auto"/>
      </w:divBdr>
    </w:div>
    <w:div w:id="255598474">
      <w:bodyDiv w:val="1"/>
      <w:marLeft w:val="0"/>
      <w:marRight w:val="0"/>
      <w:marTop w:val="0"/>
      <w:marBottom w:val="0"/>
      <w:divBdr>
        <w:top w:val="none" w:sz="0" w:space="0" w:color="auto"/>
        <w:left w:val="none" w:sz="0" w:space="0" w:color="auto"/>
        <w:bottom w:val="none" w:sz="0" w:space="0" w:color="auto"/>
        <w:right w:val="none" w:sz="0" w:space="0" w:color="auto"/>
      </w:divBdr>
    </w:div>
    <w:div w:id="255747594">
      <w:bodyDiv w:val="1"/>
      <w:marLeft w:val="0"/>
      <w:marRight w:val="0"/>
      <w:marTop w:val="0"/>
      <w:marBottom w:val="0"/>
      <w:divBdr>
        <w:top w:val="none" w:sz="0" w:space="0" w:color="auto"/>
        <w:left w:val="none" w:sz="0" w:space="0" w:color="auto"/>
        <w:bottom w:val="none" w:sz="0" w:space="0" w:color="auto"/>
        <w:right w:val="none" w:sz="0" w:space="0" w:color="auto"/>
      </w:divBdr>
    </w:div>
    <w:div w:id="256988325">
      <w:bodyDiv w:val="1"/>
      <w:marLeft w:val="0"/>
      <w:marRight w:val="0"/>
      <w:marTop w:val="0"/>
      <w:marBottom w:val="0"/>
      <w:divBdr>
        <w:top w:val="none" w:sz="0" w:space="0" w:color="auto"/>
        <w:left w:val="none" w:sz="0" w:space="0" w:color="auto"/>
        <w:bottom w:val="none" w:sz="0" w:space="0" w:color="auto"/>
        <w:right w:val="none" w:sz="0" w:space="0" w:color="auto"/>
      </w:divBdr>
    </w:div>
    <w:div w:id="257255445">
      <w:bodyDiv w:val="1"/>
      <w:marLeft w:val="0"/>
      <w:marRight w:val="0"/>
      <w:marTop w:val="0"/>
      <w:marBottom w:val="0"/>
      <w:divBdr>
        <w:top w:val="none" w:sz="0" w:space="0" w:color="auto"/>
        <w:left w:val="none" w:sz="0" w:space="0" w:color="auto"/>
        <w:bottom w:val="none" w:sz="0" w:space="0" w:color="auto"/>
        <w:right w:val="none" w:sz="0" w:space="0" w:color="auto"/>
      </w:divBdr>
    </w:div>
    <w:div w:id="257374319">
      <w:bodyDiv w:val="1"/>
      <w:marLeft w:val="0"/>
      <w:marRight w:val="0"/>
      <w:marTop w:val="0"/>
      <w:marBottom w:val="0"/>
      <w:divBdr>
        <w:top w:val="none" w:sz="0" w:space="0" w:color="auto"/>
        <w:left w:val="none" w:sz="0" w:space="0" w:color="auto"/>
        <w:bottom w:val="none" w:sz="0" w:space="0" w:color="auto"/>
        <w:right w:val="none" w:sz="0" w:space="0" w:color="auto"/>
      </w:divBdr>
    </w:div>
    <w:div w:id="257756552">
      <w:bodyDiv w:val="1"/>
      <w:marLeft w:val="0"/>
      <w:marRight w:val="0"/>
      <w:marTop w:val="0"/>
      <w:marBottom w:val="0"/>
      <w:divBdr>
        <w:top w:val="none" w:sz="0" w:space="0" w:color="auto"/>
        <w:left w:val="none" w:sz="0" w:space="0" w:color="auto"/>
        <w:bottom w:val="none" w:sz="0" w:space="0" w:color="auto"/>
        <w:right w:val="none" w:sz="0" w:space="0" w:color="auto"/>
      </w:divBdr>
    </w:div>
    <w:div w:id="259022290">
      <w:bodyDiv w:val="1"/>
      <w:marLeft w:val="0"/>
      <w:marRight w:val="0"/>
      <w:marTop w:val="0"/>
      <w:marBottom w:val="0"/>
      <w:divBdr>
        <w:top w:val="none" w:sz="0" w:space="0" w:color="auto"/>
        <w:left w:val="none" w:sz="0" w:space="0" w:color="auto"/>
        <w:bottom w:val="none" w:sz="0" w:space="0" w:color="auto"/>
        <w:right w:val="none" w:sz="0" w:space="0" w:color="auto"/>
      </w:divBdr>
    </w:div>
    <w:div w:id="261303402">
      <w:bodyDiv w:val="1"/>
      <w:marLeft w:val="0"/>
      <w:marRight w:val="0"/>
      <w:marTop w:val="0"/>
      <w:marBottom w:val="0"/>
      <w:divBdr>
        <w:top w:val="none" w:sz="0" w:space="0" w:color="auto"/>
        <w:left w:val="none" w:sz="0" w:space="0" w:color="auto"/>
        <w:bottom w:val="none" w:sz="0" w:space="0" w:color="auto"/>
        <w:right w:val="none" w:sz="0" w:space="0" w:color="auto"/>
      </w:divBdr>
    </w:div>
    <w:div w:id="262230959">
      <w:bodyDiv w:val="1"/>
      <w:marLeft w:val="0"/>
      <w:marRight w:val="0"/>
      <w:marTop w:val="0"/>
      <w:marBottom w:val="0"/>
      <w:divBdr>
        <w:top w:val="none" w:sz="0" w:space="0" w:color="auto"/>
        <w:left w:val="none" w:sz="0" w:space="0" w:color="auto"/>
        <w:bottom w:val="none" w:sz="0" w:space="0" w:color="auto"/>
        <w:right w:val="none" w:sz="0" w:space="0" w:color="auto"/>
      </w:divBdr>
    </w:div>
    <w:div w:id="264116843">
      <w:bodyDiv w:val="1"/>
      <w:marLeft w:val="0"/>
      <w:marRight w:val="0"/>
      <w:marTop w:val="0"/>
      <w:marBottom w:val="0"/>
      <w:divBdr>
        <w:top w:val="none" w:sz="0" w:space="0" w:color="auto"/>
        <w:left w:val="none" w:sz="0" w:space="0" w:color="auto"/>
        <w:bottom w:val="none" w:sz="0" w:space="0" w:color="auto"/>
        <w:right w:val="none" w:sz="0" w:space="0" w:color="auto"/>
      </w:divBdr>
    </w:div>
    <w:div w:id="264189669">
      <w:bodyDiv w:val="1"/>
      <w:marLeft w:val="0"/>
      <w:marRight w:val="0"/>
      <w:marTop w:val="0"/>
      <w:marBottom w:val="0"/>
      <w:divBdr>
        <w:top w:val="none" w:sz="0" w:space="0" w:color="auto"/>
        <w:left w:val="none" w:sz="0" w:space="0" w:color="auto"/>
        <w:bottom w:val="none" w:sz="0" w:space="0" w:color="auto"/>
        <w:right w:val="none" w:sz="0" w:space="0" w:color="auto"/>
      </w:divBdr>
    </w:div>
    <w:div w:id="264192020">
      <w:bodyDiv w:val="1"/>
      <w:marLeft w:val="0"/>
      <w:marRight w:val="0"/>
      <w:marTop w:val="0"/>
      <w:marBottom w:val="0"/>
      <w:divBdr>
        <w:top w:val="none" w:sz="0" w:space="0" w:color="auto"/>
        <w:left w:val="none" w:sz="0" w:space="0" w:color="auto"/>
        <w:bottom w:val="none" w:sz="0" w:space="0" w:color="auto"/>
        <w:right w:val="none" w:sz="0" w:space="0" w:color="auto"/>
      </w:divBdr>
    </w:div>
    <w:div w:id="264926179">
      <w:bodyDiv w:val="1"/>
      <w:marLeft w:val="0"/>
      <w:marRight w:val="0"/>
      <w:marTop w:val="0"/>
      <w:marBottom w:val="0"/>
      <w:divBdr>
        <w:top w:val="none" w:sz="0" w:space="0" w:color="auto"/>
        <w:left w:val="none" w:sz="0" w:space="0" w:color="auto"/>
        <w:bottom w:val="none" w:sz="0" w:space="0" w:color="auto"/>
        <w:right w:val="none" w:sz="0" w:space="0" w:color="auto"/>
      </w:divBdr>
    </w:div>
    <w:div w:id="265426953">
      <w:bodyDiv w:val="1"/>
      <w:marLeft w:val="0"/>
      <w:marRight w:val="0"/>
      <w:marTop w:val="0"/>
      <w:marBottom w:val="0"/>
      <w:divBdr>
        <w:top w:val="none" w:sz="0" w:space="0" w:color="auto"/>
        <w:left w:val="none" w:sz="0" w:space="0" w:color="auto"/>
        <w:bottom w:val="none" w:sz="0" w:space="0" w:color="auto"/>
        <w:right w:val="none" w:sz="0" w:space="0" w:color="auto"/>
      </w:divBdr>
    </w:div>
    <w:div w:id="265575092">
      <w:bodyDiv w:val="1"/>
      <w:marLeft w:val="0"/>
      <w:marRight w:val="0"/>
      <w:marTop w:val="0"/>
      <w:marBottom w:val="0"/>
      <w:divBdr>
        <w:top w:val="none" w:sz="0" w:space="0" w:color="auto"/>
        <w:left w:val="none" w:sz="0" w:space="0" w:color="auto"/>
        <w:bottom w:val="none" w:sz="0" w:space="0" w:color="auto"/>
        <w:right w:val="none" w:sz="0" w:space="0" w:color="auto"/>
      </w:divBdr>
    </w:div>
    <w:div w:id="266085083">
      <w:bodyDiv w:val="1"/>
      <w:marLeft w:val="0"/>
      <w:marRight w:val="0"/>
      <w:marTop w:val="0"/>
      <w:marBottom w:val="0"/>
      <w:divBdr>
        <w:top w:val="none" w:sz="0" w:space="0" w:color="auto"/>
        <w:left w:val="none" w:sz="0" w:space="0" w:color="auto"/>
        <w:bottom w:val="none" w:sz="0" w:space="0" w:color="auto"/>
        <w:right w:val="none" w:sz="0" w:space="0" w:color="auto"/>
      </w:divBdr>
    </w:div>
    <w:div w:id="267087690">
      <w:bodyDiv w:val="1"/>
      <w:marLeft w:val="0"/>
      <w:marRight w:val="0"/>
      <w:marTop w:val="0"/>
      <w:marBottom w:val="0"/>
      <w:divBdr>
        <w:top w:val="none" w:sz="0" w:space="0" w:color="auto"/>
        <w:left w:val="none" w:sz="0" w:space="0" w:color="auto"/>
        <w:bottom w:val="none" w:sz="0" w:space="0" w:color="auto"/>
        <w:right w:val="none" w:sz="0" w:space="0" w:color="auto"/>
      </w:divBdr>
    </w:div>
    <w:div w:id="268270855">
      <w:bodyDiv w:val="1"/>
      <w:marLeft w:val="0"/>
      <w:marRight w:val="0"/>
      <w:marTop w:val="0"/>
      <w:marBottom w:val="0"/>
      <w:divBdr>
        <w:top w:val="none" w:sz="0" w:space="0" w:color="auto"/>
        <w:left w:val="none" w:sz="0" w:space="0" w:color="auto"/>
        <w:bottom w:val="none" w:sz="0" w:space="0" w:color="auto"/>
        <w:right w:val="none" w:sz="0" w:space="0" w:color="auto"/>
      </w:divBdr>
    </w:div>
    <w:div w:id="268398192">
      <w:bodyDiv w:val="1"/>
      <w:marLeft w:val="0"/>
      <w:marRight w:val="0"/>
      <w:marTop w:val="0"/>
      <w:marBottom w:val="0"/>
      <w:divBdr>
        <w:top w:val="none" w:sz="0" w:space="0" w:color="auto"/>
        <w:left w:val="none" w:sz="0" w:space="0" w:color="auto"/>
        <w:bottom w:val="none" w:sz="0" w:space="0" w:color="auto"/>
        <w:right w:val="none" w:sz="0" w:space="0" w:color="auto"/>
      </w:divBdr>
    </w:div>
    <w:div w:id="268511783">
      <w:bodyDiv w:val="1"/>
      <w:marLeft w:val="0"/>
      <w:marRight w:val="0"/>
      <w:marTop w:val="0"/>
      <w:marBottom w:val="0"/>
      <w:divBdr>
        <w:top w:val="none" w:sz="0" w:space="0" w:color="auto"/>
        <w:left w:val="none" w:sz="0" w:space="0" w:color="auto"/>
        <w:bottom w:val="none" w:sz="0" w:space="0" w:color="auto"/>
        <w:right w:val="none" w:sz="0" w:space="0" w:color="auto"/>
      </w:divBdr>
    </w:div>
    <w:div w:id="269702967">
      <w:bodyDiv w:val="1"/>
      <w:marLeft w:val="0"/>
      <w:marRight w:val="0"/>
      <w:marTop w:val="0"/>
      <w:marBottom w:val="0"/>
      <w:divBdr>
        <w:top w:val="none" w:sz="0" w:space="0" w:color="auto"/>
        <w:left w:val="none" w:sz="0" w:space="0" w:color="auto"/>
        <w:bottom w:val="none" w:sz="0" w:space="0" w:color="auto"/>
        <w:right w:val="none" w:sz="0" w:space="0" w:color="auto"/>
      </w:divBdr>
    </w:div>
    <w:div w:id="270282995">
      <w:bodyDiv w:val="1"/>
      <w:marLeft w:val="0"/>
      <w:marRight w:val="0"/>
      <w:marTop w:val="0"/>
      <w:marBottom w:val="0"/>
      <w:divBdr>
        <w:top w:val="none" w:sz="0" w:space="0" w:color="auto"/>
        <w:left w:val="none" w:sz="0" w:space="0" w:color="auto"/>
        <w:bottom w:val="none" w:sz="0" w:space="0" w:color="auto"/>
        <w:right w:val="none" w:sz="0" w:space="0" w:color="auto"/>
      </w:divBdr>
    </w:div>
    <w:div w:id="271330640">
      <w:bodyDiv w:val="1"/>
      <w:marLeft w:val="0"/>
      <w:marRight w:val="0"/>
      <w:marTop w:val="0"/>
      <w:marBottom w:val="0"/>
      <w:divBdr>
        <w:top w:val="none" w:sz="0" w:space="0" w:color="auto"/>
        <w:left w:val="none" w:sz="0" w:space="0" w:color="auto"/>
        <w:bottom w:val="none" w:sz="0" w:space="0" w:color="auto"/>
        <w:right w:val="none" w:sz="0" w:space="0" w:color="auto"/>
      </w:divBdr>
    </w:div>
    <w:div w:id="271516140">
      <w:bodyDiv w:val="1"/>
      <w:marLeft w:val="0"/>
      <w:marRight w:val="0"/>
      <w:marTop w:val="0"/>
      <w:marBottom w:val="0"/>
      <w:divBdr>
        <w:top w:val="none" w:sz="0" w:space="0" w:color="auto"/>
        <w:left w:val="none" w:sz="0" w:space="0" w:color="auto"/>
        <w:bottom w:val="none" w:sz="0" w:space="0" w:color="auto"/>
        <w:right w:val="none" w:sz="0" w:space="0" w:color="auto"/>
      </w:divBdr>
    </w:div>
    <w:div w:id="272905985">
      <w:bodyDiv w:val="1"/>
      <w:marLeft w:val="0"/>
      <w:marRight w:val="0"/>
      <w:marTop w:val="0"/>
      <w:marBottom w:val="0"/>
      <w:divBdr>
        <w:top w:val="none" w:sz="0" w:space="0" w:color="auto"/>
        <w:left w:val="none" w:sz="0" w:space="0" w:color="auto"/>
        <w:bottom w:val="none" w:sz="0" w:space="0" w:color="auto"/>
        <w:right w:val="none" w:sz="0" w:space="0" w:color="auto"/>
      </w:divBdr>
    </w:div>
    <w:div w:id="272976151">
      <w:bodyDiv w:val="1"/>
      <w:marLeft w:val="0"/>
      <w:marRight w:val="0"/>
      <w:marTop w:val="0"/>
      <w:marBottom w:val="0"/>
      <w:divBdr>
        <w:top w:val="none" w:sz="0" w:space="0" w:color="auto"/>
        <w:left w:val="none" w:sz="0" w:space="0" w:color="auto"/>
        <w:bottom w:val="none" w:sz="0" w:space="0" w:color="auto"/>
        <w:right w:val="none" w:sz="0" w:space="0" w:color="auto"/>
      </w:divBdr>
    </w:div>
    <w:div w:id="273098444">
      <w:bodyDiv w:val="1"/>
      <w:marLeft w:val="0"/>
      <w:marRight w:val="0"/>
      <w:marTop w:val="0"/>
      <w:marBottom w:val="0"/>
      <w:divBdr>
        <w:top w:val="none" w:sz="0" w:space="0" w:color="auto"/>
        <w:left w:val="none" w:sz="0" w:space="0" w:color="auto"/>
        <w:bottom w:val="none" w:sz="0" w:space="0" w:color="auto"/>
        <w:right w:val="none" w:sz="0" w:space="0" w:color="auto"/>
      </w:divBdr>
    </w:div>
    <w:div w:id="273293183">
      <w:bodyDiv w:val="1"/>
      <w:marLeft w:val="0"/>
      <w:marRight w:val="0"/>
      <w:marTop w:val="0"/>
      <w:marBottom w:val="0"/>
      <w:divBdr>
        <w:top w:val="none" w:sz="0" w:space="0" w:color="auto"/>
        <w:left w:val="none" w:sz="0" w:space="0" w:color="auto"/>
        <w:bottom w:val="none" w:sz="0" w:space="0" w:color="auto"/>
        <w:right w:val="none" w:sz="0" w:space="0" w:color="auto"/>
      </w:divBdr>
    </w:div>
    <w:div w:id="273481921">
      <w:bodyDiv w:val="1"/>
      <w:marLeft w:val="0"/>
      <w:marRight w:val="0"/>
      <w:marTop w:val="0"/>
      <w:marBottom w:val="0"/>
      <w:divBdr>
        <w:top w:val="none" w:sz="0" w:space="0" w:color="auto"/>
        <w:left w:val="none" w:sz="0" w:space="0" w:color="auto"/>
        <w:bottom w:val="none" w:sz="0" w:space="0" w:color="auto"/>
        <w:right w:val="none" w:sz="0" w:space="0" w:color="auto"/>
      </w:divBdr>
    </w:div>
    <w:div w:id="273824646">
      <w:bodyDiv w:val="1"/>
      <w:marLeft w:val="0"/>
      <w:marRight w:val="0"/>
      <w:marTop w:val="0"/>
      <w:marBottom w:val="0"/>
      <w:divBdr>
        <w:top w:val="none" w:sz="0" w:space="0" w:color="auto"/>
        <w:left w:val="none" w:sz="0" w:space="0" w:color="auto"/>
        <w:bottom w:val="none" w:sz="0" w:space="0" w:color="auto"/>
        <w:right w:val="none" w:sz="0" w:space="0" w:color="auto"/>
      </w:divBdr>
    </w:div>
    <w:div w:id="274100516">
      <w:bodyDiv w:val="1"/>
      <w:marLeft w:val="0"/>
      <w:marRight w:val="0"/>
      <w:marTop w:val="0"/>
      <w:marBottom w:val="0"/>
      <w:divBdr>
        <w:top w:val="none" w:sz="0" w:space="0" w:color="auto"/>
        <w:left w:val="none" w:sz="0" w:space="0" w:color="auto"/>
        <w:bottom w:val="none" w:sz="0" w:space="0" w:color="auto"/>
        <w:right w:val="none" w:sz="0" w:space="0" w:color="auto"/>
      </w:divBdr>
    </w:div>
    <w:div w:id="275066531">
      <w:bodyDiv w:val="1"/>
      <w:marLeft w:val="0"/>
      <w:marRight w:val="0"/>
      <w:marTop w:val="0"/>
      <w:marBottom w:val="0"/>
      <w:divBdr>
        <w:top w:val="none" w:sz="0" w:space="0" w:color="auto"/>
        <w:left w:val="none" w:sz="0" w:space="0" w:color="auto"/>
        <w:bottom w:val="none" w:sz="0" w:space="0" w:color="auto"/>
        <w:right w:val="none" w:sz="0" w:space="0" w:color="auto"/>
      </w:divBdr>
    </w:div>
    <w:div w:id="276062897">
      <w:bodyDiv w:val="1"/>
      <w:marLeft w:val="0"/>
      <w:marRight w:val="0"/>
      <w:marTop w:val="0"/>
      <w:marBottom w:val="0"/>
      <w:divBdr>
        <w:top w:val="none" w:sz="0" w:space="0" w:color="auto"/>
        <w:left w:val="none" w:sz="0" w:space="0" w:color="auto"/>
        <w:bottom w:val="none" w:sz="0" w:space="0" w:color="auto"/>
        <w:right w:val="none" w:sz="0" w:space="0" w:color="auto"/>
      </w:divBdr>
    </w:div>
    <w:div w:id="276374574">
      <w:bodyDiv w:val="1"/>
      <w:marLeft w:val="0"/>
      <w:marRight w:val="0"/>
      <w:marTop w:val="0"/>
      <w:marBottom w:val="0"/>
      <w:divBdr>
        <w:top w:val="none" w:sz="0" w:space="0" w:color="auto"/>
        <w:left w:val="none" w:sz="0" w:space="0" w:color="auto"/>
        <w:bottom w:val="none" w:sz="0" w:space="0" w:color="auto"/>
        <w:right w:val="none" w:sz="0" w:space="0" w:color="auto"/>
      </w:divBdr>
    </w:div>
    <w:div w:id="276454384">
      <w:bodyDiv w:val="1"/>
      <w:marLeft w:val="0"/>
      <w:marRight w:val="0"/>
      <w:marTop w:val="0"/>
      <w:marBottom w:val="0"/>
      <w:divBdr>
        <w:top w:val="none" w:sz="0" w:space="0" w:color="auto"/>
        <w:left w:val="none" w:sz="0" w:space="0" w:color="auto"/>
        <w:bottom w:val="none" w:sz="0" w:space="0" w:color="auto"/>
        <w:right w:val="none" w:sz="0" w:space="0" w:color="auto"/>
      </w:divBdr>
    </w:div>
    <w:div w:id="276527672">
      <w:bodyDiv w:val="1"/>
      <w:marLeft w:val="0"/>
      <w:marRight w:val="0"/>
      <w:marTop w:val="0"/>
      <w:marBottom w:val="0"/>
      <w:divBdr>
        <w:top w:val="none" w:sz="0" w:space="0" w:color="auto"/>
        <w:left w:val="none" w:sz="0" w:space="0" w:color="auto"/>
        <w:bottom w:val="none" w:sz="0" w:space="0" w:color="auto"/>
        <w:right w:val="none" w:sz="0" w:space="0" w:color="auto"/>
      </w:divBdr>
    </w:div>
    <w:div w:id="276789334">
      <w:bodyDiv w:val="1"/>
      <w:marLeft w:val="0"/>
      <w:marRight w:val="0"/>
      <w:marTop w:val="0"/>
      <w:marBottom w:val="0"/>
      <w:divBdr>
        <w:top w:val="none" w:sz="0" w:space="0" w:color="auto"/>
        <w:left w:val="none" w:sz="0" w:space="0" w:color="auto"/>
        <w:bottom w:val="none" w:sz="0" w:space="0" w:color="auto"/>
        <w:right w:val="none" w:sz="0" w:space="0" w:color="auto"/>
      </w:divBdr>
    </w:div>
    <w:div w:id="276908440">
      <w:bodyDiv w:val="1"/>
      <w:marLeft w:val="0"/>
      <w:marRight w:val="0"/>
      <w:marTop w:val="0"/>
      <w:marBottom w:val="0"/>
      <w:divBdr>
        <w:top w:val="none" w:sz="0" w:space="0" w:color="auto"/>
        <w:left w:val="none" w:sz="0" w:space="0" w:color="auto"/>
        <w:bottom w:val="none" w:sz="0" w:space="0" w:color="auto"/>
        <w:right w:val="none" w:sz="0" w:space="0" w:color="auto"/>
      </w:divBdr>
    </w:div>
    <w:div w:id="277689611">
      <w:bodyDiv w:val="1"/>
      <w:marLeft w:val="0"/>
      <w:marRight w:val="0"/>
      <w:marTop w:val="0"/>
      <w:marBottom w:val="0"/>
      <w:divBdr>
        <w:top w:val="none" w:sz="0" w:space="0" w:color="auto"/>
        <w:left w:val="none" w:sz="0" w:space="0" w:color="auto"/>
        <w:bottom w:val="none" w:sz="0" w:space="0" w:color="auto"/>
        <w:right w:val="none" w:sz="0" w:space="0" w:color="auto"/>
      </w:divBdr>
    </w:div>
    <w:div w:id="277949769">
      <w:bodyDiv w:val="1"/>
      <w:marLeft w:val="0"/>
      <w:marRight w:val="0"/>
      <w:marTop w:val="0"/>
      <w:marBottom w:val="0"/>
      <w:divBdr>
        <w:top w:val="none" w:sz="0" w:space="0" w:color="auto"/>
        <w:left w:val="none" w:sz="0" w:space="0" w:color="auto"/>
        <w:bottom w:val="none" w:sz="0" w:space="0" w:color="auto"/>
        <w:right w:val="none" w:sz="0" w:space="0" w:color="auto"/>
      </w:divBdr>
    </w:div>
    <w:div w:id="278075884">
      <w:bodyDiv w:val="1"/>
      <w:marLeft w:val="0"/>
      <w:marRight w:val="0"/>
      <w:marTop w:val="0"/>
      <w:marBottom w:val="0"/>
      <w:divBdr>
        <w:top w:val="none" w:sz="0" w:space="0" w:color="auto"/>
        <w:left w:val="none" w:sz="0" w:space="0" w:color="auto"/>
        <w:bottom w:val="none" w:sz="0" w:space="0" w:color="auto"/>
        <w:right w:val="none" w:sz="0" w:space="0" w:color="auto"/>
      </w:divBdr>
    </w:div>
    <w:div w:id="278798842">
      <w:bodyDiv w:val="1"/>
      <w:marLeft w:val="0"/>
      <w:marRight w:val="0"/>
      <w:marTop w:val="0"/>
      <w:marBottom w:val="0"/>
      <w:divBdr>
        <w:top w:val="none" w:sz="0" w:space="0" w:color="auto"/>
        <w:left w:val="none" w:sz="0" w:space="0" w:color="auto"/>
        <w:bottom w:val="none" w:sz="0" w:space="0" w:color="auto"/>
        <w:right w:val="none" w:sz="0" w:space="0" w:color="auto"/>
      </w:divBdr>
    </w:div>
    <w:div w:id="278953598">
      <w:bodyDiv w:val="1"/>
      <w:marLeft w:val="0"/>
      <w:marRight w:val="0"/>
      <w:marTop w:val="0"/>
      <w:marBottom w:val="0"/>
      <w:divBdr>
        <w:top w:val="none" w:sz="0" w:space="0" w:color="auto"/>
        <w:left w:val="none" w:sz="0" w:space="0" w:color="auto"/>
        <w:bottom w:val="none" w:sz="0" w:space="0" w:color="auto"/>
        <w:right w:val="none" w:sz="0" w:space="0" w:color="auto"/>
      </w:divBdr>
    </w:div>
    <w:div w:id="279073529">
      <w:bodyDiv w:val="1"/>
      <w:marLeft w:val="0"/>
      <w:marRight w:val="0"/>
      <w:marTop w:val="0"/>
      <w:marBottom w:val="0"/>
      <w:divBdr>
        <w:top w:val="none" w:sz="0" w:space="0" w:color="auto"/>
        <w:left w:val="none" w:sz="0" w:space="0" w:color="auto"/>
        <w:bottom w:val="none" w:sz="0" w:space="0" w:color="auto"/>
        <w:right w:val="none" w:sz="0" w:space="0" w:color="auto"/>
      </w:divBdr>
    </w:div>
    <w:div w:id="279723223">
      <w:bodyDiv w:val="1"/>
      <w:marLeft w:val="0"/>
      <w:marRight w:val="0"/>
      <w:marTop w:val="0"/>
      <w:marBottom w:val="0"/>
      <w:divBdr>
        <w:top w:val="none" w:sz="0" w:space="0" w:color="auto"/>
        <w:left w:val="none" w:sz="0" w:space="0" w:color="auto"/>
        <w:bottom w:val="none" w:sz="0" w:space="0" w:color="auto"/>
        <w:right w:val="none" w:sz="0" w:space="0" w:color="auto"/>
      </w:divBdr>
    </w:div>
    <w:div w:id="280189497">
      <w:bodyDiv w:val="1"/>
      <w:marLeft w:val="0"/>
      <w:marRight w:val="0"/>
      <w:marTop w:val="0"/>
      <w:marBottom w:val="0"/>
      <w:divBdr>
        <w:top w:val="none" w:sz="0" w:space="0" w:color="auto"/>
        <w:left w:val="none" w:sz="0" w:space="0" w:color="auto"/>
        <w:bottom w:val="none" w:sz="0" w:space="0" w:color="auto"/>
        <w:right w:val="none" w:sz="0" w:space="0" w:color="auto"/>
      </w:divBdr>
    </w:div>
    <w:div w:id="280570955">
      <w:bodyDiv w:val="1"/>
      <w:marLeft w:val="0"/>
      <w:marRight w:val="0"/>
      <w:marTop w:val="0"/>
      <w:marBottom w:val="0"/>
      <w:divBdr>
        <w:top w:val="none" w:sz="0" w:space="0" w:color="auto"/>
        <w:left w:val="none" w:sz="0" w:space="0" w:color="auto"/>
        <w:bottom w:val="none" w:sz="0" w:space="0" w:color="auto"/>
        <w:right w:val="none" w:sz="0" w:space="0" w:color="auto"/>
      </w:divBdr>
    </w:div>
    <w:div w:id="282420636">
      <w:bodyDiv w:val="1"/>
      <w:marLeft w:val="0"/>
      <w:marRight w:val="0"/>
      <w:marTop w:val="0"/>
      <w:marBottom w:val="0"/>
      <w:divBdr>
        <w:top w:val="none" w:sz="0" w:space="0" w:color="auto"/>
        <w:left w:val="none" w:sz="0" w:space="0" w:color="auto"/>
        <w:bottom w:val="none" w:sz="0" w:space="0" w:color="auto"/>
        <w:right w:val="none" w:sz="0" w:space="0" w:color="auto"/>
      </w:divBdr>
    </w:div>
    <w:div w:id="282733562">
      <w:bodyDiv w:val="1"/>
      <w:marLeft w:val="0"/>
      <w:marRight w:val="0"/>
      <w:marTop w:val="0"/>
      <w:marBottom w:val="0"/>
      <w:divBdr>
        <w:top w:val="none" w:sz="0" w:space="0" w:color="auto"/>
        <w:left w:val="none" w:sz="0" w:space="0" w:color="auto"/>
        <w:bottom w:val="none" w:sz="0" w:space="0" w:color="auto"/>
        <w:right w:val="none" w:sz="0" w:space="0" w:color="auto"/>
      </w:divBdr>
    </w:div>
    <w:div w:id="284506715">
      <w:bodyDiv w:val="1"/>
      <w:marLeft w:val="0"/>
      <w:marRight w:val="0"/>
      <w:marTop w:val="0"/>
      <w:marBottom w:val="0"/>
      <w:divBdr>
        <w:top w:val="none" w:sz="0" w:space="0" w:color="auto"/>
        <w:left w:val="none" w:sz="0" w:space="0" w:color="auto"/>
        <w:bottom w:val="none" w:sz="0" w:space="0" w:color="auto"/>
        <w:right w:val="none" w:sz="0" w:space="0" w:color="auto"/>
      </w:divBdr>
    </w:div>
    <w:div w:id="285045350">
      <w:bodyDiv w:val="1"/>
      <w:marLeft w:val="0"/>
      <w:marRight w:val="0"/>
      <w:marTop w:val="0"/>
      <w:marBottom w:val="0"/>
      <w:divBdr>
        <w:top w:val="none" w:sz="0" w:space="0" w:color="auto"/>
        <w:left w:val="none" w:sz="0" w:space="0" w:color="auto"/>
        <w:bottom w:val="none" w:sz="0" w:space="0" w:color="auto"/>
        <w:right w:val="none" w:sz="0" w:space="0" w:color="auto"/>
      </w:divBdr>
    </w:div>
    <w:div w:id="285091256">
      <w:bodyDiv w:val="1"/>
      <w:marLeft w:val="0"/>
      <w:marRight w:val="0"/>
      <w:marTop w:val="0"/>
      <w:marBottom w:val="0"/>
      <w:divBdr>
        <w:top w:val="none" w:sz="0" w:space="0" w:color="auto"/>
        <w:left w:val="none" w:sz="0" w:space="0" w:color="auto"/>
        <w:bottom w:val="none" w:sz="0" w:space="0" w:color="auto"/>
        <w:right w:val="none" w:sz="0" w:space="0" w:color="auto"/>
      </w:divBdr>
    </w:div>
    <w:div w:id="286013918">
      <w:bodyDiv w:val="1"/>
      <w:marLeft w:val="0"/>
      <w:marRight w:val="0"/>
      <w:marTop w:val="0"/>
      <w:marBottom w:val="0"/>
      <w:divBdr>
        <w:top w:val="none" w:sz="0" w:space="0" w:color="auto"/>
        <w:left w:val="none" w:sz="0" w:space="0" w:color="auto"/>
        <w:bottom w:val="none" w:sz="0" w:space="0" w:color="auto"/>
        <w:right w:val="none" w:sz="0" w:space="0" w:color="auto"/>
      </w:divBdr>
    </w:div>
    <w:div w:id="286358037">
      <w:bodyDiv w:val="1"/>
      <w:marLeft w:val="0"/>
      <w:marRight w:val="0"/>
      <w:marTop w:val="0"/>
      <w:marBottom w:val="0"/>
      <w:divBdr>
        <w:top w:val="none" w:sz="0" w:space="0" w:color="auto"/>
        <w:left w:val="none" w:sz="0" w:space="0" w:color="auto"/>
        <w:bottom w:val="none" w:sz="0" w:space="0" w:color="auto"/>
        <w:right w:val="none" w:sz="0" w:space="0" w:color="auto"/>
      </w:divBdr>
    </w:div>
    <w:div w:id="286550848">
      <w:bodyDiv w:val="1"/>
      <w:marLeft w:val="0"/>
      <w:marRight w:val="0"/>
      <w:marTop w:val="0"/>
      <w:marBottom w:val="0"/>
      <w:divBdr>
        <w:top w:val="none" w:sz="0" w:space="0" w:color="auto"/>
        <w:left w:val="none" w:sz="0" w:space="0" w:color="auto"/>
        <w:bottom w:val="none" w:sz="0" w:space="0" w:color="auto"/>
        <w:right w:val="none" w:sz="0" w:space="0" w:color="auto"/>
      </w:divBdr>
    </w:div>
    <w:div w:id="287977414">
      <w:bodyDiv w:val="1"/>
      <w:marLeft w:val="0"/>
      <w:marRight w:val="0"/>
      <w:marTop w:val="0"/>
      <w:marBottom w:val="0"/>
      <w:divBdr>
        <w:top w:val="none" w:sz="0" w:space="0" w:color="auto"/>
        <w:left w:val="none" w:sz="0" w:space="0" w:color="auto"/>
        <w:bottom w:val="none" w:sz="0" w:space="0" w:color="auto"/>
        <w:right w:val="none" w:sz="0" w:space="0" w:color="auto"/>
      </w:divBdr>
    </w:div>
    <w:div w:id="288316439">
      <w:bodyDiv w:val="1"/>
      <w:marLeft w:val="0"/>
      <w:marRight w:val="0"/>
      <w:marTop w:val="0"/>
      <w:marBottom w:val="0"/>
      <w:divBdr>
        <w:top w:val="none" w:sz="0" w:space="0" w:color="auto"/>
        <w:left w:val="none" w:sz="0" w:space="0" w:color="auto"/>
        <w:bottom w:val="none" w:sz="0" w:space="0" w:color="auto"/>
        <w:right w:val="none" w:sz="0" w:space="0" w:color="auto"/>
      </w:divBdr>
    </w:div>
    <w:div w:id="288441420">
      <w:bodyDiv w:val="1"/>
      <w:marLeft w:val="0"/>
      <w:marRight w:val="0"/>
      <w:marTop w:val="0"/>
      <w:marBottom w:val="0"/>
      <w:divBdr>
        <w:top w:val="none" w:sz="0" w:space="0" w:color="auto"/>
        <w:left w:val="none" w:sz="0" w:space="0" w:color="auto"/>
        <w:bottom w:val="none" w:sz="0" w:space="0" w:color="auto"/>
        <w:right w:val="none" w:sz="0" w:space="0" w:color="auto"/>
      </w:divBdr>
    </w:div>
    <w:div w:id="289096482">
      <w:bodyDiv w:val="1"/>
      <w:marLeft w:val="0"/>
      <w:marRight w:val="0"/>
      <w:marTop w:val="0"/>
      <w:marBottom w:val="0"/>
      <w:divBdr>
        <w:top w:val="none" w:sz="0" w:space="0" w:color="auto"/>
        <w:left w:val="none" w:sz="0" w:space="0" w:color="auto"/>
        <w:bottom w:val="none" w:sz="0" w:space="0" w:color="auto"/>
        <w:right w:val="none" w:sz="0" w:space="0" w:color="auto"/>
      </w:divBdr>
    </w:div>
    <w:div w:id="289164417">
      <w:bodyDiv w:val="1"/>
      <w:marLeft w:val="0"/>
      <w:marRight w:val="0"/>
      <w:marTop w:val="0"/>
      <w:marBottom w:val="0"/>
      <w:divBdr>
        <w:top w:val="none" w:sz="0" w:space="0" w:color="auto"/>
        <w:left w:val="none" w:sz="0" w:space="0" w:color="auto"/>
        <w:bottom w:val="none" w:sz="0" w:space="0" w:color="auto"/>
        <w:right w:val="none" w:sz="0" w:space="0" w:color="auto"/>
      </w:divBdr>
    </w:div>
    <w:div w:id="290786039">
      <w:bodyDiv w:val="1"/>
      <w:marLeft w:val="0"/>
      <w:marRight w:val="0"/>
      <w:marTop w:val="0"/>
      <w:marBottom w:val="0"/>
      <w:divBdr>
        <w:top w:val="none" w:sz="0" w:space="0" w:color="auto"/>
        <w:left w:val="none" w:sz="0" w:space="0" w:color="auto"/>
        <w:bottom w:val="none" w:sz="0" w:space="0" w:color="auto"/>
        <w:right w:val="none" w:sz="0" w:space="0" w:color="auto"/>
      </w:divBdr>
    </w:div>
    <w:div w:id="291443145">
      <w:bodyDiv w:val="1"/>
      <w:marLeft w:val="0"/>
      <w:marRight w:val="0"/>
      <w:marTop w:val="0"/>
      <w:marBottom w:val="0"/>
      <w:divBdr>
        <w:top w:val="none" w:sz="0" w:space="0" w:color="auto"/>
        <w:left w:val="none" w:sz="0" w:space="0" w:color="auto"/>
        <w:bottom w:val="none" w:sz="0" w:space="0" w:color="auto"/>
        <w:right w:val="none" w:sz="0" w:space="0" w:color="auto"/>
      </w:divBdr>
    </w:div>
    <w:div w:id="291904187">
      <w:bodyDiv w:val="1"/>
      <w:marLeft w:val="0"/>
      <w:marRight w:val="0"/>
      <w:marTop w:val="0"/>
      <w:marBottom w:val="0"/>
      <w:divBdr>
        <w:top w:val="none" w:sz="0" w:space="0" w:color="auto"/>
        <w:left w:val="none" w:sz="0" w:space="0" w:color="auto"/>
        <w:bottom w:val="none" w:sz="0" w:space="0" w:color="auto"/>
        <w:right w:val="none" w:sz="0" w:space="0" w:color="auto"/>
      </w:divBdr>
    </w:div>
    <w:div w:id="292635526">
      <w:bodyDiv w:val="1"/>
      <w:marLeft w:val="0"/>
      <w:marRight w:val="0"/>
      <w:marTop w:val="0"/>
      <w:marBottom w:val="0"/>
      <w:divBdr>
        <w:top w:val="none" w:sz="0" w:space="0" w:color="auto"/>
        <w:left w:val="none" w:sz="0" w:space="0" w:color="auto"/>
        <w:bottom w:val="none" w:sz="0" w:space="0" w:color="auto"/>
        <w:right w:val="none" w:sz="0" w:space="0" w:color="auto"/>
      </w:divBdr>
    </w:div>
    <w:div w:id="292642172">
      <w:bodyDiv w:val="1"/>
      <w:marLeft w:val="0"/>
      <w:marRight w:val="0"/>
      <w:marTop w:val="0"/>
      <w:marBottom w:val="0"/>
      <w:divBdr>
        <w:top w:val="none" w:sz="0" w:space="0" w:color="auto"/>
        <w:left w:val="none" w:sz="0" w:space="0" w:color="auto"/>
        <w:bottom w:val="none" w:sz="0" w:space="0" w:color="auto"/>
        <w:right w:val="none" w:sz="0" w:space="0" w:color="auto"/>
      </w:divBdr>
    </w:div>
    <w:div w:id="293096257">
      <w:bodyDiv w:val="1"/>
      <w:marLeft w:val="0"/>
      <w:marRight w:val="0"/>
      <w:marTop w:val="0"/>
      <w:marBottom w:val="0"/>
      <w:divBdr>
        <w:top w:val="none" w:sz="0" w:space="0" w:color="auto"/>
        <w:left w:val="none" w:sz="0" w:space="0" w:color="auto"/>
        <w:bottom w:val="none" w:sz="0" w:space="0" w:color="auto"/>
        <w:right w:val="none" w:sz="0" w:space="0" w:color="auto"/>
      </w:divBdr>
    </w:div>
    <w:div w:id="293341208">
      <w:bodyDiv w:val="1"/>
      <w:marLeft w:val="0"/>
      <w:marRight w:val="0"/>
      <w:marTop w:val="0"/>
      <w:marBottom w:val="0"/>
      <w:divBdr>
        <w:top w:val="none" w:sz="0" w:space="0" w:color="auto"/>
        <w:left w:val="none" w:sz="0" w:space="0" w:color="auto"/>
        <w:bottom w:val="none" w:sz="0" w:space="0" w:color="auto"/>
        <w:right w:val="none" w:sz="0" w:space="0" w:color="auto"/>
      </w:divBdr>
    </w:div>
    <w:div w:id="293559150">
      <w:bodyDiv w:val="1"/>
      <w:marLeft w:val="0"/>
      <w:marRight w:val="0"/>
      <w:marTop w:val="0"/>
      <w:marBottom w:val="0"/>
      <w:divBdr>
        <w:top w:val="none" w:sz="0" w:space="0" w:color="auto"/>
        <w:left w:val="none" w:sz="0" w:space="0" w:color="auto"/>
        <w:bottom w:val="none" w:sz="0" w:space="0" w:color="auto"/>
        <w:right w:val="none" w:sz="0" w:space="0" w:color="auto"/>
      </w:divBdr>
    </w:div>
    <w:div w:id="294524312">
      <w:bodyDiv w:val="1"/>
      <w:marLeft w:val="0"/>
      <w:marRight w:val="0"/>
      <w:marTop w:val="0"/>
      <w:marBottom w:val="0"/>
      <w:divBdr>
        <w:top w:val="none" w:sz="0" w:space="0" w:color="auto"/>
        <w:left w:val="none" w:sz="0" w:space="0" w:color="auto"/>
        <w:bottom w:val="none" w:sz="0" w:space="0" w:color="auto"/>
        <w:right w:val="none" w:sz="0" w:space="0" w:color="auto"/>
      </w:divBdr>
    </w:div>
    <w:div w:id="297228967">
      <w:bodyDiv w:val="1"/>
      <w:marLeft w:val="0"/>
      <w:marRight w:val="0"/>
      <w:marTop w:val="0"/>
      <w:marBottom w:val="0"/>
      <w:divBdr>
        <w:top w:val="none" w:sz="0" w:space="0" w:color="auto"/>
        <w:left w:val="none" w:sz="0" w:space="0" w:color="auto"/>
        <w:bottom w:val="none" w:sz="0" w:space="0" w:color="auto"/>
        <w:right w:val="none" w:sz="0" w:space="0" w:color="auto"/>
      </w:divBdr>
    </w:div>
    <w:div w:id="300379572">
      <w:bodyDiv w:val="1"/>
      <w:marLeft w:val="0"/>
      <w:marRight w:val="0"/>
      <w:marTop w:val="0"/>
      <w:marBottom w:val="0"/>
      <w:divBdr>
        <w:top w:val="none" w:sz="0" w:space="0" w:color="auto"/>
        <w:left w:val="none" w:sz="0" w:space="0" w:color="auto"/>
        <w:bottom w:val="none" w:sz="0" w:space="0" w:color="auto"/>
        <w:right w:val="none" w:sz="0" w:space="0" w:color="auto"/>
      </w:divBdr>
    </w:div>
    <w:div w:id="300771450">
      <w:bodyDiv w:val="1"/>
      <w:marLeft w:val="0"/>
      <w:marRight w:val="0"/>
      <w:marTop w:val="0"/>
      <w:marBottom w:val="0"/>
      <w:divBdr>
        <w:top w:val="none" w:sz="0" w:space="0" w:color="auto"/>
        <w:left w:val="none" w:sz="0" w:space="0" w:color="auto"/>
        <w:bottom w:val="none" w:sz="0" w:space="0" w:color="auto"/>
        <w:right w:val="none" w:sz="0" w:space="0" w:color="auto"/>
      </w:divBdr>
    </w:div>
    <w:div w:id="301010542">
      <w:bodyDiv w:val="1"/>
      <w:marLeft w:val="0"/>
      <w:marRight w:val="0"/>
      <w:marTop w:val="0"/>
      <w:marBottom w:val="0"/>
      <w:divBdr>
        <w:top w:val="none" w:sz="0" w:space="0" w:color="auto"/>
        <w:left w:val="none" w:sz="0" w:space="0" w:color="auto"/>
        <w:bottom w:val="none" w:sz="0" w:space="0" w:color="auto"/>
        <w:right w:val="none" w:sz="0" w:space="0" w:color="auto"/>
      </w:divBdr>
    </w:div>
    <w:div w:id="301010729">
      <w:bodyDiv w:val="1"/>
      <w:marLeft w:val="0"/>
      <w:marRight w:val="0"/>
      <w:marTop w:val="0"/>
      <w:marBottom w:val="0"/>
      <w:divBdr>
        <w:top w:val="none" w:sz="0" w:space="0" w:color="auto"/>
        <w:left w:val="none" w:sz="0" w:space="0" w:color="auto"/>
        <w:bottom w:val="none" w:sz="0" w:space="0" w:color="auto"/>
        <w:right w:val="none" w:sz="0" w:space="0" w:color="auto"/>
      </w:divBdr>
    </w:div>
    <w:div w:id="301011115">
      <w:bodyDiv w:val="1"/>
      <w:marLeft w:val="0"/>
      <w:marRight w:val="0"/>
      <w:marTop w:val="0"/>
      <w:marBottom w:val="0"/>
      <w:divBdr>
        <w:top w:val="none" w:sz="0" w:space="0" w:color="auto"/>
        <w:left w:val="none" w:sz="0" w:space="0" w:color="auto"/>
        <w:bottom w:val="none" w:sz="0" w:space="0" w:color="auto"/>
        <w:right w:val="none" w:sz="0" w:space="0" w:color="auto"/>
      </w:divBdr>
    </w:div>
    <w:div w:id="301616886">
      <w:bodyDiv w:val="1"/>
      <w:marLeft w:val="0"/>
      <w:marRight w:val="0"/>
      <w:marTop w:val="0"/>
      <w:marBottom w:val="0"/>
      <w:divBdr>
        <w:top w:val="none" w:sz="0" w:space="0" w:color="auto"/>
        <w:left w:val="none" w:sz="0" w:space="0" w:color="auto"/>
        <w:bottom w:val="none" w:sz="0" w:space="0" w:color="auto"/>
        <w:right w:val="none" w:sz="0" w:space="0" w:color="auto"/>
      </w:divBdr>
    </w:div>
    <w:div w:id="301741213">
      <w:bodyDiv w:val="1"/>
      <w:marLeft w:val="0"/>
      <w:marRight w:val="0"/>
      <w:marTop w:val="0"/>
      <w:marBottom w:val="0"/>
      <w:divBdr>
        <w:top w:val="none" w:sz="0" w:space="0" w:color="auto"/>
        <w:left w:val="none" w:sz="0" w:space="0" w:color="auto"/>
        <w:bottom w:val="none" w:sz="0" w:space="0" w:color="auto"/>
        <w:right w:val="none" w:sz="0" w:space="0" w:color="auto"/>
      </w:divBdr>
    </w:div>
    <w:div w:id="301811393">
      <w:bodyDiv w:val="1"/>
      <w:marLeft w:val="0"/>
      <w:marRight w:val="0"/>
      <w:marTop w:val="0"/>
      <w:marBottom w:val="0"/>
      <w:divBdr>
        <w:top w:val="none" w:sz="0" w:space="0" w:color="auto"/>
        <w:left w:val="none" w:sz="0" w:space="0" w:color="auto"/>
        <w:bottom w:val="none" w:sz="0" w:space="0" w:color="auto"/>
        <w:right w:val="none" w:sz="0" w:space="0" w:color="auto"/>
      </w:divBdr>
    </w:div>
    <w:div w:id="302007270">
      <w:bodyDiv w:val="1"/>
      <w:marLeft w:val="0"/>
      <w:marRight w:val="0"/>
      <w:marTop w:val="0"/>
      <w:marBottom w:val="0"/>
      <w:divBdr>
        <w:top w:val="none" w:sz="0" w:space="0" w:color="auto"/>
        <w:left w:val="none" w:sz="0" w:space="0" w:color="auto"/>
        <w:bottom w:val="none" w:sz="0" w:space="0" w:color="auto"/>
        <w:right w:val="none" w:sz="0" w:space="0" w:color="auto"/>
      </w:divBdr>
    </w:div>
    <w:div w:id="302008632">
      <w:bodyDiv w:val="1"/>
      <w:marLeft w:val="0"/>
      <w:marRight w:val="0"/>
      <w:marTop w:val="0"/>
      <w:marBottom w:val="0"/>
      <w:divBdr>
        <w:top w:val="none" w:sz="0" w:space="0" w:color="auto"/>
        <w:left w:val="none" w:sz="0" w:space="0" w:color="auto"/>
        <w:bottom w:val="none" w:sz="0" w:space="0" w:color="auto"/>
        <w:right w:val="none" w:sz="0" w:space="0" w:color="auto"/>
      </w:divBdr>
    </w:div>
    <w:div w:id="302543183">
      <w:bodyDiv w:val="1"/>
      <w:marLeft w:val="0"/>
      <w:marRight w:val="0"/>
      <w:marTop w:val="0"/>
      <w:marBottom w:val="0"/>
      <w:divBdr>
        <w:top w:val="none" w:sz="0" w:space="0" w:color="auto"/>
        <w:left w:val="none" w:sz="0" w:space="0" w:color="auto"/>
        <w:bottom w:val="none" w:sz="0" w:space="0" w:color="auto"/>
        <w:right w:val="none" w:sz="0" w:space="0" w:color="auto"/>
      </w:divBdr>
    </w:div>
    <w:div w:id="304118010">
      <w:bodyDiv w:val="1"/>
      <w:marLeft w:val="0"/>
      <w:marRight w:val="0"/>
      <w:marTop w:val="0"/>
      <w:marBottom w:val="0"/>
      <w:divBdr>
        <w:top w:val="none" w:sz="0" w:space="0" w:color="auto"/>
        <w:left w:val="none" w:sz="0" w:space="0" w:color="auto"/>
        <w:bottom w:val="none" w:sz="0" w:space="0" w:color="auto"/>
        <w:right w:val="none" w:sz="0" w:space="0" w:color="auto"/>
      </w:divBdr>
    </w:div>
    <w:div w:id="304744100">
      <w:bodyDiv w:val="1"/>
      <w:marLeft w:val="0"/>
      <w:marRight w:val="0"/>
      <w:marTop w:val="0"/>
      <w:marBottom w:val="0"/>
      <w:divBdr>
        <w:top w:val="none" w:sz="0" w:space="0" w:color="auto"/>
        <w:left w:val="none" w:sz="0" w:space="0" w:color="auto"/>
        <w:bottom w:val="none" w:sz="0" w:space="0" w:color="auto"/>
        <w:right w:val="none" w:sz="0" w:space="0" w:color="auto"/>
      </w:divBdr>
    </w:div>
    <w:div w:id="304749506">
      <w:bodyDiv w:val="1"/>
      <w:marLeft w:val="0"/>
      <w:marRight w:val="0"/>
      <w:marTop w:val="0"/>
      <w:marBottom w:val="0"/>
      <w:divBdr>
        <w:top w:val="none" w:sz="0" w:space="0" w:color="auto"/>
        <w:left w:val="none" w:sz="0" w:space="0" w:color="auto"/>
        <w:bottom w:val="none" w:sz="0" w:space="0" w:color="auto"/>
        <w:right w:val="none" w:sz="0" w:space="0" w:color="auto"/>
      </w:divBdr>
    </w:div>
    <w:div w:id="305934181">
      <w:bodyDiv w:val="1"/>
      <w:marLeft w:val="0"/>
      <w:marRight w:val="0"/>
      <w:marTop w:val="0"/>
      <w:marBottom w:val="0"/>
      <w:divBdr>
        <w:top w:val="none" w:sz="0" w:space="0" w:color="auto"/>
        <w:left w:val="none" w:sz="0" w:space="0" w:color="auto"/>
        <w:bottom w:val="none" w:sz="0" w:space="0" w:color="auto"/>
        <w:right w:val="none" w:sz="0" w:space="0" w:color="auto"/>
      </w:divBdr>
    </w:div>
    <w:div w:id="305938028">
      <w:bodyDiv w:val="1"/>
      <w:marLeft w:val="0"/>
      <w:marRight w:val="0"/>
      <w:marTop w:val="0"/>
      <w:marBottom w:val="0"/>
      <w:divBdr>
        <w:top w:val="none" w:sz="0" w:space="0" w:color="auto"/>
        <w:left w:val="none" w:sz="0" w:space="0" w:color="auto"/>
        <w:bottom w:val="none" w:sz="0" w:space="0" w:color="auto"/>
        <w:right w:val="none" w:sz="0" w:space="0" w:color="auto"/>
      </w:divBdr>
    </w:div>
    <w:div w:id="306059099">
      <w:bodyDiv w:val="1"/>
      <w:marLeft w:val="0"/>
      <w:marRight w:val="0"/>
      <w:marTop w:val="0"/>
      <w:marBottom w:val="0"/>
      <w:divBdr>
        <w:top w:val="none" w:sz="0" w:space="0" w:color="auto"/>
        <w:left w:val="none" w:sz="0" w:space="0" w:color="auto"/>
        <w:bottom w:val="none" w:sz="0" w:space="0" w:color="auto"/>
        <w:right w:val="none" w:sz="0" w:space="0" w:color="auto"/>
      </w:divBdr>
    </w:div>
    <w:div w:id="306908555">
      <w:bodyDiv w:val="1"/>
      <w:marLeft w:val="0"/>
      <w:marRight w:val="0"/>
      <w:marTop w:val="0"/>
      <w:marBottom w:val="0"/>
      <w:divBdr>
        <w:top w:val="none" w:sz="0" w:space="0" w:color="auto"/>
        <w:left w:val="none" w:sz="0" w:space="0" w:color="auto"/>
        <w:bottom w:val="none" w:sz="0" w:space="0" w:color="auto"/>
        <w:right w:val="none" w:sz="0" w:space="0" w:color="auto"/>
      </w:divBdr>
    </w:div>
    <w:div w:id="307243180">
      <w:bodyDiv w:val="1"/>
      <w:marLeft w:val="0"/>
      <w:marRight w:val="0"/>
      <w:marTop w:val="0"/>
      <w:marBottom w:val="0"/>
      <w:divBdr>
        <w:top w:val="none" w:sz="0" w:space="0" w:color="auto"/>
        <w:left w:val="none" w:sz="0" w:space="0" w:color="auto"/>
        <w:bottom w:val="none" w:sz="0" w:space="0" w:color="auto"/>
        <w:right w:val="none" w:sz="0" w:space="0" w:color="auto"/>
      </w:divBdr>
    </w:div>
    <w:div w:id="307830938">
      <w:bodyDiv w:val="1"/>
      <w:marLeft w:val="0"/>
      <w:marRight w:val="0"/>
      <w:marTop w:val="0"/>
      <w:marBottom w:val="0"/>
      <w:divBdr>
        <w:top w:val="none" w:sz="0" w:space="0" w:color="auto"/>
        <w:left w:val="none" w:sz="0" w:space="0" w:color="auto"/>
        <w:bottom w:val="none" w:sz="0" w:space="0" w:color="auto"/>
        <w:right w:val="none" w:sz="0" w:space="0" w:color="auto"/>
      </w:divBdr>
    </w:div>
    <w:div w:id="308098137">
      <w:bodyDiv w:val="1"/>
      <w:marLeft w:val="0"/>
      <w:marRight w:val="0"/>
      <w:marTop w:val="0"/>
      <w:marBottom w:val="0"/>
      <w:divBdr>
        <w:top w:val="none" w:sz="0" w:space="0" w:color="auto"/>
        <w:left w:val="none" w:sz="0" w:space="0" w:color="auto"/>
        <w:bottom w:val="none" w:sz="0" w:space="0" w:color="auto"/>
        <w:right w:val="none" w:sz="0" w:space="0" w:color="auto"/>
      </w:divBdr>
    </w:div>
    <w:div w:id="308941198">
      <w:bodyDiv w:val="1"/>
      <w:marLeft w:val="0"/>
      <w:marRight w:val="0"/>
      <w:marTop w:val="0"/>
      <w:marBottom w:val="0"/>
      <w:divBdr>
        <w:top w:val="none" w:sz="0" w:space="0" w:color="auto"/>
        <w:left w:val="none" w:sz="0" w:space="0" w:color="auto"/>
        <w:bottom w:val="none" w:sz="0" w:space="0" w:color="auto"/>
        <w:right w:val="none" w:sz="0" w:space="0" w:color="auto"/>
      </w:divBdr>
    </w:div>
    <w:div w:id="309403648">
      <w:bodyDiv w:val="1"/>
      <w:marLeft w:val="0"/>
      <w:marRight w:val="0"/>
      <w:marTop w:val="0"/>
      <w:marBottom w:val="0"/>
      <w:divBdr>
        <w:top w:val="none" w:sz="0" w:space="0" w:color="auto"/>
        <w:left w:val="none" w:sz="0" w:space="0" w:color="auto"/>
        <w:bottom w:val="none" w:sz="0" w:space="0" w:color="auto"/>
        <w:right w:val="none" w:sz="0" w:space="0" w:color="auto"/>
      </w:divBdr>
    </w:div>
    <w:div w:id="309796153">
      <w:bodyDiv w:val="1"/>
      <w:marLeft w:val="0"/>
      <w:marRight w:val="0"/>
      <w:marTop w:val="0"/>
      <w:marBottom w:val="0"/>
      <w:divBdr>
        <w:top w:val="none" w:sz="0" w:space="0" w:color="auto"/>
        <w:left w:val="none" w:sz="0" w:space="0" w:color="auto"/>
        <w:bottom w:val="none" w:sz="0" w:space="0" w:color="auto"/>
        <w:right w:val="none" w:sz="0" w:space="0" w:color="auto"/>
      </w:divBdr>
    </w:div>
    <w:div w:id="309864689">
      <w:bodyDiv w:val="1"/>
      <w:marLeft w:val="0"/>
      <w:marRight w:val="0"/>
      <w:marTop w:val="0"/>
      <w:marBottom w:val="0"/>
      <w:divBdr>
        <w:top w:val="none" w:sz="0" w:space="0" w:color="auto"/>
        <w:left w:val="none" w:sz="0" w:space="0" w:color="auto"/>
        <w:bottom w:val="none" w:sz="0" w:space="0" w:color="auto"/>
        <w:right w:val="none" w:sz="0" w:space="0" w:color="auto"/>
      </w:divBdr>
    </w:div>
    <w:div w:id="310328173">
      <w:bodyDiv w:val="1"/>
      <w:marLeft w:val="0"/>
      <w:marRight w:val="0"/>
      <w:marTop w:val="0"/>
      <w:marBottom w:val="0"/>
      <w:divBdr>
        <w:top w:val="none" w:sz="0" w:space="0" w:color="auto"/>
        <w:left w:val="none" w:sz="0" w:space="0" w:color="auto"/>
        <w:bottom w:val="none" w:sz="0" w:space="0" w:color="auto"/>
        <w:right w:val="none" w:sz="0" w:space="0" w:color="auto"/>
      </w:divBdr>
    </w:div>
    <w:div w:id="310524132">
      <w:bodyDiv w:val="1"/>
      <w:marLeft w:val="0"/>
      <w:marRight w:val="0"/>
      <w:marTop w:val="0"/>
      <w:marBottom w:val="0"/>
      <w:divBdr>
        <w:top w:val="none" w:sz="0" w:space="0" w:color="auto"/>
        <w:left w:val="none" w:sz="0" w:space="0" w:color="auto"/>
        <w:bottom w:val="none" w:sz="0" w:space="0" w:color="auto"/>
        <w:right w:val="none" w:sz="0" w:space="0" w:color="auto"/>
      </w:divBdr>
    </w:div>
    <w:div w:id="310527521">
      <w:bodyDiv w:val="1"/>
      <w:marLeft w:val="0"/>
      <w:marRight w:val="0"/>
      <w:marTop w:val="0"/>
      <w:marBottom w:val="0"/>
      <w:divBdr>
        <w:top w:val="none" w:sz="0" w:space="0" w:color="auto"/>
        <w:left w:val="none" w:sz="0" w:space="0" w:color="auto"/>
        <w:bottom w:val="none" w:sz="0" w:space="0" w:color="auto"/>
        <w:right w:val="none" w:sz="0" w:space="0" w:color="auto"/>
      </w:divBdr>
    </w:div>
    <w:div w:id="310912450">
      <w:bodyDiv w:val="1"/>
      <w:marLeft w:val="0"/>
      <w:marRight w:val="0"/>
      <w:marTop w:val="0"/>
      <w:marBottom w:val="0"/>
      <w:divBdr>
        <w:top w:val="none" w:sz="0" w:space="0" w:color="auto"/>
        <w:left w:val="none" w:sz="0" w:space="0" w:color="auto"/>
        <w:bottom w:val="none" w:sz="0" w:space="0" w:color="auto"/>
        <w:right w:val="none" w:sz="0" w:space="0" w:color="auto"/>
      </w:divBdr>
    </w:div>
    <w:div w:id="311058157">
      <w:bodyDiv w:val="1"/>
      <w:marLeft w:val="0"/>
      <w:marRight w:val="0"/>
      <w:marTop w:val="0"/>
      <w:marBottom w:val="0"/>
      <w:divBdr>
        <w:top w:val="none" w:sz="0" w:space="0" w:color="auto"/>
        <w:left w:val="none" w:sz="0" w:space="0" w:color="auto"/>
        <w:bottom w:val="none" w:sz="0" w:space="0" w:color="auto"/>
        <w:right w:val="none" w:sz="0" w:space="0" w:color="auto"/>
      </w:divBdr>
    </w:div>
    <w:div w:id="311250942">
      <w:bodyDiv w:val="1"/>
      <w:marLeft w:val="0"/>
      <w:marRight w:val="0"/>
      <w:marTop w:val="0"/>
      <w:marBottom w:val="0"/>
      <w:divBdr>
        <w:top w:val="none" w:sz="0" w:space="0" w:color="auto"/>
        <w:left w:val="none" w:sz="0" w:space="0" w:color="auto"/>
        <w:bottom w:val="none" w:sz="0" w:space="0" w:color="auto"/>
        <w:right w:val="none" w:sz="0" w:space="0" w:color="auto"/>
      </w:divBdr>
    </w:div>
    <w:div w:id="311714537">
      <w:bodyDiv w:val="1"/>
      <w:marLeft w:val="0"/>
      <w:marRight w:val="0"/>
      <w:marTop w:val="0"/>
      <w:marBottom w:val="0"/>
      <w:divBdr>
        <w:top w:val="none" w:sz="0" w:space="0" w:color="auto"/>
        <w:left w:val="none" w:sz="0" w:space="0" w:color="auto"/>
        <w:bottom w:val="none" w:sz="0" w:space="0" w:color="auto"/>
        <w:right w:val="none" w:sz="0" w:space="0" w:color="auto"/>
      </w:divBdr>
    </w:div>
    <w:div w:id="311912056">
      <w:bodyDiv w:val="1"/>
      <w:marLeft w:val="0"/>
      <w:marRight w:val="0"/>
      <w:marTop w:val="0"/>
      <w:marBottom w:val="0"/>
      <w:divBdr>
        <w:top w:val="none" w:sz="0" w:space="0" w:color="auto"/>
        <w:left w:val="none" w:sz="0" w:space="0" w:color="auto"/>
        <w:bottom w:val="none" w:sz="0" w:space="0" w:color="auto"/>
        <w:right w:val="none" w:sz="0" w:space="0" w:color="auto"/>
      </w:divBdr>
    </w:div>
    <w:div w:id="313487088">
      <w:bodyDiv w:val="1"/>
      <w:marLeft w:val="0"/>
      <w:marRight w:val="0"/>
      <w:marTop w:val="0"/>
      <w:marBottom w:val="0"/>
      <w:divBdr>
        <w:top w:val="none" w:sz="0" w:space="0" w:color="auto"/>
        <w:left w:val="none" w:sz="0" w:space="0" w:color="auto"/>
        <w:bottom w:val="none" w:sz="0" w:space="0" w:color="auto"/>
        <w:right w:val="none" w:sz="0" w:space="0" w:color="auto"/>
      </w:divBdr>
    </w:div>
    <w:div w:id="314725607">
      <w:bodyDiv w:val="1"/>
      <w:marLeft w:val="0"/>
      <w:marRight w:val="0"/>
      <w:marTop w:val="0"/>
      <w:marBottom w:val="0"/>
      <w:divBdr>
        <w:top w:val="none" w:sz="0" w:space="0" w:color="auto"/>
        <w:left w:val="none" w:sz="0" w:space="0" w:color="auto"/>
        <w:bottom w:val="none" w:sz="0" w:space="0" w:color="auto"/>
        <w:right w:val="none" w:sz="0" w:space="0" w:color="auto"/>
      </w:divBdr>
    </w:div>
    <w:div w:id="314800106">
      <w:bodyDiv w:val="1"/>
      <w:marLeft w:val="0"/>
      <w:marRight w:val="0"/>
      <w:marTop w:val="0"/>
      <w:marBottom w:val="0"/>
      <w:divBdr>
        <w:top w:val="none" w:sz="0" w:space="0" w:color="auto"/>
        <w:left w:val="none" w:sz="0" w:space="0" w:color="auto"/>
        <w:bottom w:val="none" w:sz="0" w:space="0" w:color="auto"/>
        <w:right w:val="none" w:sz="0" w:space="0" w:color="auto"/>
      </w:divBdr>
    </w:div>
    <w:div w:id="314991779">
      <w:bodyDiv w:val="1"/>
      <w:marLeft w:val="0"/>
      <w:marRight w:val="0"/>
      <w:marTop w:val="0"/>
      <w:marBottom w:val="0"/>
      <w:divBdr>
        <w:top w:val="none" w:sz="0" w:space="0" w:color="auto"/>
        <w:left w:val="none" w:sz="0" w:space="0" w:color="auto"/>
        <w:bottom w:val="none" w:sz="0" w:space="0" w:color="auto"/>
        <w:right w:val="none" w:sz="0" w:space="0" w:color="auto"/>
      </w:divBdr>
    </w:div>
    <w:div w:id="315231593">
      <w:bodyDiv w:val="1"/>
      <w:marLeft w:val="0"/>
      <w:marRight w:val="0"/>
      <w:marTop w:val="0"/>
      <w:marBottom w:val="0"/>
      <w:divBdr>
        <w:top w:val="none" w:sz="0" w:space="0" w:color="auto"/>
        <w:left w:val="none" w:sz="0" w:space="0" w:color="auto"/>
        <w:bottom w:val="none" w:sz="0" w:space="0" w:color="auto"/>
        <w:right w:val="none" w:sz="0" w:space="0" w:color="auto"/>
      </w:divBdr>
    </w:div>
    <w:div w:id="315690529">
      <w:bodyDiv w:val="1"/>
      <w:marLeft w:val="0"/>
      <w:marRight w:val="0"/>
      <w:marTop w:val="0"/>
      <w:marBottom w:val="0"/>
      <w:divBdr>
        <w:top w:val="none" w:sz="0" w:space="0" w:color="auto"/>
        <w:left w:val="none" w:sz="0" w:space="0" w:color="auto"/>
        <w:bottom w:val="none" w:sz="0" w:space="0" w:color="auto"/>
        <w:right w:val="none" w:sz="0" w:space="0" w:color="auto"/>
      </w:divBdr>
    </w:div>
    <w:div w:id="316692656">
      <w:bodyDiv w:val="1"/>
      <w:marLeft w:val="0"/>
      <w:marRight w:val="0"/>
      <w:marTop w:val="0"/>
      <w:marBottom w:val="0"/>
      <w:divBdr>
        <w:top w:val="none" w:sz="0" w:space="0" w:color="auto"/>
        <w:left w:val="none" w:sz="0" w:space="0" w:color="auto"/>
        <w:bottom w:val="none" w:sz="0" w:space="0" w:color="auto"/>
        <w:right w:val="none" w:sz="0" w:space="0" w:color="auto"/>
      </w:divBdr>
    </w:div>
    <w:div w:id="317543717">
      <w:bodyDiv w:val="1"/>
      <w:marLeft w:val="0"/>
      <w:marRight w:val="0"/>
      <w:marTop w:val="0"/>
      <w:marBottom w:val="0"/>
      <w:divBdr>
        <w:top w:val="none" w:sz="0" w:space="0" w:color="auto"/>
        <w:left w:val="none" w:sz="0" w:space="0" w:color="auto"/>
        <w:bottom w:val="none" w:sz="0" w:space="0" w:color="auto"/>
        <w:right w:val="none" w:sz="0" w:space="0" w:color="auto"/>
      </w:divBdr>
    </w:div>
    <w:div w:id="317805063">
      <w:bodyDiv w:val="1"/>
      <w:marLeft w:val="0"/>
      <w:marRight w:val="0"/>
      <w:marTop w:val="0"/>
      <w:marBottom w:val="0"/>
      <w:divBdr>
        <w:top w:val="none" w:sz="0" w:space="0" w:color="auto"/>
        <w:left w:val="none" w:sz="0" w:space="0" w:color="auto"/>
        <w:bottom w:val="none" w:sz="0" w:space="0" w:color="auto"/>
        <w:right w:val="none" w:sz="0" w:space="0" w:color="auto"/>
      </w:divBdr>
    </w:div>
    <w:div w:id="319702280">
      <w:bodyDiv w:val="1"/>
      <w:marLeft w:val="0"/>
      <w:marRight w:val="0"/>
      <w:marTop w:val="0"/>
      <w:marBottom w:val="0"/>
      <w:divBdr>
        <w:top w:val="none" w:sz="0" w:space="0" w:color="auto"/>
        <w:left w:val="none" w:sz="0" w:space="0" w:color="auto"/>
        <w:bottom w:val="none" w:sz="0" w:space="0" w:color="auto"/>
        <w:right w:val="none" w:sz="0" w:space="0" w:color="auto"/>
      </w:divBdr>
    </w:div>
    <w:div w:id="320625592">
      <w:bodyDiv w:val="1"/>
      <w:marLeft w:val="0"/>
      <w:marRight w:val="0"/>
      <w:marTop w:val="0"/>
      <w:marBottom w:val="0"/>
      <w:divBdr>
        <w:top w:val="none" w:sz="0" w:space="0" w:color="auto"/>
        <w:left w:val="none" w:sz="0" w:space="0" w:color="auto"/>
        <w:bottom w:val="none" w:sz="0" w:space="0" w:color="auto"/>
        <w:right w:val="none" w:sz="0" w:space="0" w:color="auto"/>
      </w:divBdr>
    </w:div>
    <w:div w:id="323971600">
      <w:bodyDiv w:val="1"/>
      <w:marLeft w:val="0"/>
      <w:marRight w:val="0"/>
      <w:marTop w:val="0"/>
      <w:marBottom w:val="0"/>
      <w:divBdr>
        <w:top w:val="none" w:sz="0" w:space="0" w:color="auto"/>
        <w:left w:val="none" w:sz="0" w:space="0" w:color="auto"/>
        <w:bottom w:val="none" w:sz="0" w:space="0" w:color="auto"/>
        <w:right w:val="none" w:sz="0" w:space="0" w:color="auto"/>
      </w:divBdr>
    </w:div>
    <w:div w:id="324091159">
      <w:bodyDiv w:val="1"/>
      <w:marLeft w:val="0"/>
      <w:marRight w:val="0"/>
      <w:marTop w:val="0"/>
      <w:marBottom w:val="0"/>
      <w:divBdr>
        <w:top w:val="none" w:sz="0" w:space="0" w:color="auto"/>
        <w:left w:val="none" w:sz="0" w:space="0" w:color="auto"/>
        <w:bottom w:val="none" w:sz="0" w:space="0" w:color="auto"/>
        <w:right w:val="none" w:sz="0" w:space="0" w:color="auto"/>
      </w:divBdr>
    </w:div>
    <w:div w:id="325283902">
      <w:bodyDiv w:val="1"/>
      <w:marLeft w:val="0"/>
      <w:marRight w:val="0"/>
      <w:marTop w:val="0"/>
      <w:marBottom w:val="0"/>
      <w:divBdr>
        <w:top w:val="none" w:sz="0" w:space="0" w:color="auto"/>
        <w:left w:val="none" w:sz="0" w:space="0" w:color="auto"/>
        <w:bottom w:val="none" w:sz="0" w:space="0" w:color="auto"/>
        <w:right w:val="none" w:sz="0" w:space="0" w:color="auto"/>
      </w:divBdr>
    </w:div>
    <w:div w:id="326372247">
      <w:bodyDiv w:val="1"/>
      <w:marLeft w:val="0"/>
      <w:marRight w:val="0"/>
      <w:marTop w:val="0"/>
      <w:marBottom w:val="0"/>
      <w:divBdr>
        <w:top w:val="none" w:sz="0" w:space="0" w:color="auto"/>
        <w:left w:val="none" w:sz="0" w:space="0" w:color="auto"/>
        <w:bottom w:val="none" w:sz="0" w:space="0" w:color="auto"/>
        <w:right w:val="none" w:sz="0" w:space="0" w:color="auto"/>
      </w:divBdr>
    </w:div>
    <w:div w:id="327368494">
      <w:bodyDiv w:val="1"/>
      <w:marLeft w:val="0"/>
      <w:marRight w:val="0"/>
      <w:marTop w:val="0"/>
      <w:marBottom w:val="0"/>
      <w:divBdr>
        <w:top w:val="none" w:sz="0" w:space="0" w:color="auto"/>
        <w:left w:val="none" w:sz="0" w:space="0" w:color="auto"/>
        <w:bottom w:val="none" w:sz="0" w:space="0" w:color="auto"/>
        <w:right w:val="none" w:sz="0" w:space="0" w:color="auto"/>
      </w:divBdr>
    </w:div>
    <w:div w:id="327942990">
      <w:bodyDiv w:val="1"/>
      <w:marLeft w:val="0"/>
      <w:marRight w:val="0"/>
      <w:marTop w:val="0"/>
      <w:marBottom w:val="0"/>
      <w:divBdr>
        <w:top w:val="none" w:sz="0" w:space="0" w:color="auto"/>
        <w:left w:val="none" w:sz="0" w:space="0" w:color="auto"/>
        <w:bottom w:val="none" w:sz="0" w:space="0" w:color="auto"/>
        <w:right w:val="none" w:sz="0" w:space="0" w:color="auto"/>
      </w:divBdr>
    </w:div>
    <w:div w:id="328757775">
      <w:bodyDiv w:val="1"/>
      <w:marLeft w:val="0"/>
      <w:marRight w:val="0"/>
      <w:marTop w:val="0"/>
      <w:marBottom w:val="0"/>
      <w:divBdr>
        <w:top w:val="none" w:sz="0" w:space="0" w:color="auto"/>
        <w:left w:val="none" w:sz="0" w:space="0" w:color="auto"/>
        <w:bottom w:val="none" w:sz="0" w:space="0" w:color="auto"/>
        <w:right w:val="none" w:sz="0" w:space="0" w:color="auto"/>
      </w:divBdr>
    </w:div>
    <w:div w:id="328795583">
      <w:bodyDiv w:val="1"/>
      <w:marLeft w:val="0"/>
      <w:marRight w:val="0"/>
      <w:marTop w:val="0"/>
      <w:marBottom w:val="0"/>
      <w:divBdr>
        <w:top w:val="none" w:sz="0" w:space="0" w:color="auto"/>
        <w:left w:val="none" w:sz="0" w:space="0" w:color="auto"/>
        <w:bottom w:val="none" w:sz="0" w:space="0" w:color="auto"/>
        <w:right w:val="none" w:sz="0" w:space="0" w:color="auto"/>
      </w:divBdr>
    </w:div>
    <w:div w:id="329676267">
      <w:bodyDiv w:val="1"/>
      <w:marLeft w:val="0"/>
      <w:marRight w:val="0"/>
      <w:marTop w:val="0"/>
      <w:marBottom w:val="0"/>
      <w:divBdr>
        <w:top w:val="none" w:sz="0" w:space="0" w:color="auto"/>
        <w:left w:val="none" w:sz="0" w:space="0" w:color="auto"/>
        <w:bottom w:val="none" w:sz="0" w:space="0" w:color="auto"/>
        <w:right w:val="none" w:sz="0" w:space="0" w:color="auto"/>
      </w:divBdr>
    </w:div>
    <w:div w:id="329724797">
      <w:bodyDiv w:val="1"/>
      <w:marLeft w:val="0"/>
      <w:marRight w:val="0"/>
      <w:marTop w:val="0"/>
      <w:marBottom w:val="0"/>
      <w:divBdr>
        <w:top w:val="none" w:sz="0" w:space="0" w:color="auto"/>
        <w:left w:val="none" w:sz="0" w:space="0" w:color="auto"/>
        <w:bottom w:val="none" w:sz="0" w:space="0" w:color="auto"/>
        <w:right w:val="none" w:sz="0" w:space="0" w:color="auto"/>
      </w:divBdr>
    </w:div>
    <w:div w:id="330639700">
      <w:bodyDiv w:val="1"/>
      <w:marLeft w:val="0"/>
      <w:marRight w:val="0"/>
      <w:marTop w:val="0"/>
      <w:marBottom w:val="0"/>
      <w:divBdr>
        <w:top w:val="none" w:sz="0" w:space="0" w:color="auto"/>
        <w:left w:val="none" w:sz="0" w:space="0" w:color="auto"/>
        <w:bottom w:val="none" w:sz="0" w:space="0" w:color="auto"/>
        <w:right w:val="none" w:sz="0" w:space="0" w:color="auto"/>
      </w:divBdr>
    </w:div>
    <w:div w:id="331684736">
      <w:bodyDiv w:val="1"/>
      <w:marLeft w:val="0"/>
      <w:marRight w:val="0"/>
      <w:marTop w:val="0"/>
      <w:marBottom w:val="0"/>
      <w:divBdr>
        <w:top w:val="none" w:sz="0" w:space="0" w:color="auto"/>
        <w:left w:val="none" w:sz="0" w:space="0" w:color="auto"/>
        <w:bottom w:val="none" w:sz="0" w:space="0" w:color="auto"/>
        <w:right w:val="none" w:sz="0" w:space="0" w:color="auto"/>
      </w:divBdr>
    </w:div>
    <w:div w:id="333917055">
      <w:bodyDiv w:val="1"/>
      <w:marLeft w:val="0"/>
      <w:marRight w:val="0"/>
      <w:marTop w:val="0"/>
      <w:marBottom w:val="0"/>
      <w:divBdr>
        <w:top w:val="none" w:sz="0" w:space="0" w:color="auto"/>
        <w:left w:val="none" w:sz="0" w:space="0" w:color="auto"/>
        <w:bottom w:val="none" w:sz="0" w:space="0" w:color="auto"/>
        <w:right w:val="none" w:sz="0" w:space="0" w:color="auto"/>
      </w:divBdr>
    </w:div>
    <w:div w:id="334723800">
      <w:bodyDiv w:val="1"/>
      <w:marLeft w:val="0"/>
      <w:marRight w:val="0"/>
      <w:marTop w:val="0"/>
      <w:marBottom w:val="0"/>
      <w:divBdr>
        <w:top w:val="none" w:sz="0" w:space="0" w:color="auto"/>
        <w:left w:val="none" w:sz="0" w:space="0" w:color="auto"/>
        <w:bottom w:val="none" w:sz="0" w:space="0" w:color="auto"/>
        <w:right w:val="none" w:sz="0" w:space="0" w:color="auto"/>
      </w:divBdr>
    </w:div>
    <w:div w:id="334764317">
      <w:bodyDiv w:val="1"/>
      <w:marLeft w:val="0"/>
      <w:marRight w:val="0"/>
      <w:marTop w:val="0"/>
      <w:marBottom w:val="0"/>
      <w:divBdr>
        <w:top w:val="none" w:sz="0" w:space="0" w:color="auto"/>
        <w:left w:val="none" w:sz="0" w:space="0" w:color="auto"/>
        <w:bottom w:val="none" w:sz="0" w:space="0" w:color="auto"/>
        <w:right w:val="none" w:sz="0" w:space="0" w:color="auto"/>
      </w:divBdr>
    </w:div>
    <w:div w:id="335310352">
      <w:bodyDiv w:val="1"/>
      <w:marLeft w:val="0"/>
      <w:marRight w:val="0"/>
      <w:marTop w:val="0"/>
      <w:marBottom w:val="0"/>
      <w:divBdr>
        <w:top w:val="none" w:sz="0" w:space="0" w:color="auto"/>
        <w:left w:val="none" w:sz="0" w:space="0" w:color="auto"/>
        <w:bottom w:val="none" w:sz="0" w:space="0" w:color="auto"/>
        <w:right w:val="none" w:sz="0" w:space="0" w:color="auto"/>
      </w:divBdr>
    </w:div>
    <w:div w:id="335377565">
      <w:bodyDiv w:val="1"/>
      <w:marLeft w:val="0"/>
      <w:marRight w:val="0"/>
      <w:marTop w:val="0"/>
      <w:marBottom w:val="0"/>
      <w:divBdr>
        <w:top w:val="none" w:sz="0" w:space="0" w:color="auto"/>
        <w:left w:val="none" w:sz="0" w:space="0" w:color="auto"/>
        <w:bottom w:val="none" w:sz="0" w:space="0" w:color="auto"/>
        <w:right w:val="none" w:sz="0" w:space="0" w:color="auto"/>
      </w:divBdr>
    </w:div>
    <w:div w:id="335545920">
      <w:bodyDiv w:val="1"/>
      <w:marLeft w:val="0"/>
      <w:marRight w:val="0"/>
      <w:marTop w:val="0"/>
      <w:marBottom w:val="0"/>
      <w:divBdr>
        <w:top w:val="none" w:sz="0" w:space="0" w:color="auto"/>
        <w:left w:val="none" w:sz="0" w:space="0" w:color="auto"/>
        <w:bottom w:val="none" w:sz="0" w:space="0" w:color="auto"/>
        <w:right w:val="none" w:sz="0" w:space="0" w:color="auto"/>
      </w:divBdr>
    </w:div>
    <w:div w:id="335811982">
      <w:bodyDiv w:val="1"/>
      <w:marLeft w:val="0"/>
      <w:marRight w:val="0"/>
      <w:marTop w:val="0"/>
      <w:marBottom w:val="0"/>
      <w:divBdr>
        <w:top w:val="none" w:sz="0" w:space="0" w:color="auto"/>
        <w:left w:val="none" w:sz="0" w:space="0" w:color="auto"/>
        <w:bottom w:val="none" w:sz="0" w:space="0" w:color="auto"/>
        <w:right w:val="none" w:sz="0" w:space="0" w:color="auto"/>
      </w:divBdr>
    </w:div>
    <w:div w:id="335812794">
      <w:bodyDiv w:val="1"/>
      <w:marLeft w:val="0"/>
      <w:marRight w:val="0"/>
      <w:marTop w:val="0"/>
      <w:marBottom w:val="0"/>
      <w:divBdr>
        <w:top w:val="none" w:sz="0" w:space="0" w:color="auto"/>
        <w:left w:val="none" w:sz="0" w:space="0" w:color="auto"/>
        <w:bottom w:val="none" w:sz="0" w:space="0" w:color="auto"/>
        <w:right w:val="none" w:sz="0" w:space="0" w:color="auto"/>
      </w:divBdr>
    </w:div>
    <w:div w:id="337082807">
      <w:bodyDiv w:val="1"/>
      <w:marLeft w:val="0"/>
      <w:marRight w:val="0"/>
      <w:marTop w:val="0"/>
      <w:marBottom w:val="0"/>
      <w:divBdr>
        <w:top w:val="none" w:sz="0" w:space="0" w:color="auto"/>
        <w:left w:val="none" w:sz="0" w:space="0" w:color="auto"/>
        <w:bottom w:val="none" w:sz="0" w:space="0" w:color="auto"/>
        <w:right w:val="none" w:sz="0" w:space="0" w:color="auto"/>
      </w:divBdr>
    </w:div>
    <w:div w:id="337313927">
      <w:bodyDiv w:val="1"/>
      <w:marLeft w:val="0"/>
      <w:marRight w:val="0"/>
      <w:marTop w:val="0"/>
      <w:marBottom w:val="0"/>
      <w:divBdr>
        <w:top w:val="none" w:sz="0" w:space="0" w:color="auto"/>
        <w:left w:val="none" w:sz="0" w:space="0" w:color="auto"/>
        <w:bottom w:val="none" w:sz="0" w:space="0" w:color="auto"/>
        <w:right w:val="none" w:sz="0" w:space="0" w:color="auto"/>
      </w:divBdr>
    </w:div>
    <w:div w:id="337734022">
      <w:bodyDiv w:val="1"/>
      <w:marLeft w:val="0"/>
      <w:marRight w:val="0"/>
      <w:marTop w:val="0"/>
      <w:marBottom w:val="0"/>
      <w:divBdr>
        <w:top w:val="none" w:sz="0" w:space="0" w:color="auto"/>
        <w:left w:val="none" w:sz="0" w:space="0" w:color="auto"/>
        <w:bottom w:val="none" w:sz="0" w:space="0" w:color="auto"/>
        <w:right w:val="none" w:sz="0" w:space="0" w:color="auto"/>
      </w:divBdr>
    </w:div>
    <w:div w:id="337737118">
      <w:bodyDiv w:val="1"/>
      <w:marLeft w:val="0"/>
      <w:marRight w:val="0"/>
      <w:marTop w:val="0"/>
      <w:marBottom w:val="0"/>
      <w:divBdr>
        <w:top w:val="none" w:sz="0" w:space="0" w:color="auto"/>
        <w:left w:val="none" w:sz="0" w:space="0" w:color="auto"/>
        <w:bottom w:val="none" w:sz="0" w:space="0" w:color="auto"/>
        <w:right w:val="none" w:sz="0" w:space="0" w:color="auto"/>
      </w:divBdr>
    </w:div>
    <w:div w:id="339045850">
      <w:bodyDiv w:val="1"/>
      <w:marLeft w:val="0"/>
      <w:marRight w:val="0"/>
      <w:marTop w:val="0"/>
      <w:marBottom w:val="0"/>
      <w:divBdr>
        <w:top w:val="none" w:sz="0" w:space="0" w:color="auto"/>
        <w:left w:val="none" w:sz="0" w:space="0" w:color="auto"/>
        <w:bottom w:val="none" w:sz="0" w:space="0" w:color="auto"/>
        <w:right w:val="none" w:sz="0" w:space="0" w:color="auto"/>
      </w:divBdr>
    </w:div>
    <w:div w:id="341708395">
      <w:bodyDiv w:val="1"/>
      <w:marLeft w:val="0"/>
      <w:marRight w:val="0"/>
      <w:marTop w:val="0"/>
      <w:marBottom w:val="0"/>
      <w:divBdr>
        <w:top w:val="none" w:sz="0" w:space="0" w:color="auto"/>
        <w:left w:val="none" w:sz="0" w:space="0" w:color="auto"/>
        <w:bottom w:val="none" w:sz="0" w:space="0" w:color="auto"/>
        <w:right w:val="none" w:sz="0" w:space="0" w:color="auto"/>
      </w:divBdr>
    </w:div>
    <w:div w:id="343940744">
      <w:bodyDiv w:val="1"/>
      <w:marLeft w:val="0"/>
      <w:marRight w:val="0"/>
      <w:marTop w:val="0"/>
      <w:marBottom w:val="0"/>
      <w:divBdr>
        <w:top w:val="none" w:sz="0" w:space="0" w:color="auto"/>
        <w:left w:val="none" w:sz="0" w:space="0" w:color="auto"/>
        <w:bottom w:val="none" w:sz="0" w:space="0" w:color="auto"/>
        <w:right w:val="none" w:sz="0" w:space="0" w:color="auto"/>
      </w:divBdr>
    </w:div>
    <w:div w:id="344330128">
      <w:bodyDiv w:val="1"/>
      <w:marLeft w:val="0"/>
      <w:marRight w:val="0"/>
      <w:marTop w:val="0"/>
      <w:marBottom w:val="0"/>
      <w:divBdr>
        <w:top w:val="none" w:sz="0" w:space="0" w:color="auto"/>
        <w:left w:val="none" w:sz="0" w:space="0" w:color="auto"/>
        <w:bottom w:val="none" w:sz="0" w:space="0" w:color="auto"/>
        <w:right w:val="none" w:sz="0" w:space="0" w:color="auto"/>
      </w:divBdr>
    </w:div>
    <w:div w:id="344484584">
      <w:bodyDiv w:val="1"/>
      <w:marLeft w:val="0"/>
      <w:marRight w:val="0"/>
      <w:marTop w:val="0"/>
      <w:marBottom w:val="0"/>
      <w:divBdr>
        <w:top w:val="none" w:sz="0" w:space="0" w:color="auto"/>
        <w:left w:val="none" w:sz="0" w:space="0" w:color="auto"/>
        <w:bottom w:val="none" w:sz="0" w:space="0" w:color="auto"/>
        <w:right w:val="none" w:sz="0" w:space="0" w:color="auto"/>
      </w:divBdr>
    </w:div>
    <w:div w:id="345056712">
      <w:bodyDiv w:val="1"/>
      <w:marLeft w:val="0"/>
      <w:marRight w:val="0"/>
      <w:marTop w:val="0"/>
      <w:marBottom w:val="0"/>
      <w:divBdr>
        <w:top w:val="none" w:sz="0" w:space="0" w:color="auto"/>
        <w:left w:val="none" w:sz="0" w:space="0" w:color="auto"/>
        <w:bottom w:val="none" w:sz="0" w:space="0" w:color="auto"/>
        <w:right w:val="none" w:sz="0" w:space="0" w:color="auto"/>
      </w:divBdr>
    </w:div>
    <w:div w:id="346832731">
      <w:bodyDiv w:val="1"/>
      <w:marLeft w:val="0"/>
      <w:marRight w:val="0"/>
      <w:marTop w:val="0"/>
      <w:marBottom w:val="0"/>
      <w:divBdr>
        <w:top w:val="none" w:sz="0" w:space="0" w:color="auto"/>
        <w:left w:val="none" w:sz="0" w:space="0" w:color="auto"/>
        <w:bottom w:val="none" w:sz="0" w:space="0" w:color="auto"/>
        <w:right w:val="none" w:sz="0" w:space="0" w:color="auto"/>
      </w:divBdr>
    </w:div>
    <w:div w:id="347172202">
      <w:bodyDiv w:val="1"/>
      <w:marLeft w:val="0"/>
      <w:marRight w:val="0"/>
      <w:marTop w:val="0"/>
      <w:marBottom w:val="0"/>
      <w:divBdr>
        <w:top w:val="none" w:sz="0" w:space="0" w:color="auto"/>
        <w:left w:val="none" w:sz="0" w:space="0" w:color="auto"/>
        <w:bottom w:val="none" w:sz="0" w:space="0" w:color="auto"/>
        <w:right w:val="none" w:sz="0" w:space="0" w:color="auto"/>
      </w:divBdr>
    </w:div>
    <w:div w:id="347408661">
      <w:bodyDiv w:val="1"/>
      <w:marLeft w:val="0"/>
      <w:marRight w:val="0"/>
      <w:marTop w:val="0"/>
      <w:marBottom w:val="0"/>
      <w:divBdr>
        <w:top w:val="none" w:sz="0" w:space="0" w:color="auto"/>
        <w:left w:val="none" w:sz="0" w:space="0" w:color="auto"/>
        <w:bottom w:val="none" w:sz="0" w:space="0" w:color="auto"/>
        <w:right w:val="none" w:sz="0" w:space="0" w:color="auto"/>
      </w:divBdr>
    </w:div>
    <w:div w:id="347566992">
      <w:bodyDiv w:val="1"/>
      <w:marLeft w:val="0"/>
      <w:marRight w:val="0"/>
      <w:marTop w:val="0"/>
      <w:marBottom w:val="0"/>
      <w:divBdr>
        <w:top w:val="none" w:sz="0" w:space="0" w:color="auto"/>
        <w:left w:val="none" w:sz="0" w:space="0" w:color="auto"/>
        <w:bottom w:val="none" w:sz="0" w:space="0" w:color="auto"/>
        <w:right w:val="none" w:sz="0" w:space="0" w:color="auto"/>
      </w:divBdr>
    </w:div>
    <w:div w:id="347681497">
      <w:bodyDiv w:val="1"/>
      <w:marLeft w:val="0"/>
      <w:marRight w:val="0"/>
      <w:marTop w:val="0"/>
      <w:marBottom w:val="0"/>
      <w:divBdr>
        <w:top w:val="none" w:sz="0" w:space="0" w:color="auto"/>
        <w:left w:val="none" w:sz="0" w:space="0" w:color="auto"/>
        <w:bottom w:val="none" w:sz="0" w:space="0" w:color="auto"/>
        <w:right w:val="none" w:sz="0" w:space="0" w:color="auto"/>
      </w:divBdr>
    </w:div>
    <w:div w:id="348603865">
      <w:bodyDiv w:val="1"/>
      <w:marLeft w:val="0"/>
      <w:marRight w:val="0"/>
      <w:marTop w:val="0"/>
      <w:marBottom w:val="0"/>
      <w:divBdr>
        <w:top w:val="none" w:sz="0" w:space="0" w:color="auto"/>
        <w:left w:val="none" w:sz="0" w:space="0" w:color="auto"/>
        <w:bottom w:val="none" w:sz="0" w:space="0" w:color="auto"/>
        <w:right w:val="none" w:sz="0" w:space="0" w:color="auto"/>
      </w:divBdr>
    </w:div>
    <w:div w:id="348992191">
      <w:bodyDiv w:val="1"/>
      <w:marLeft w:val="0"/>
      <w:marRight w:val="0"/>
      <w:marTop w:val="0"/>
      <w:marBottom w:val="0"/>
      <w:divBdr>
        <w:top w:val="none" w:sz="0" w:space="0" w:color="auto"/>
        <w:left w:val="none" w:sz="0" w:space="0" w:color="auto"/>
        <w:bottom w:val="none" w:sz="0" w:space="0" w:color="auto"/>
        <w:right w:val="none" w:sz="0" w:space="0" w:color="auto"/>
      </w:divBdr>
    </w:div>
    <w:div w:id="349525381">
      <w:bodyDiv w:val="1"/>
      <w:marLeft w:val="0"/>
      <w:marRight w:val="0"/>
      <w:marTop w:val="0"/>
      <w:marBottom w:val="0"/>
      <w:divBdr>
        <w:top w:val="none" w:sz="0" w:space="0" w:color="auto"/>
        <w:left w:val="none" w:sz="0" w:space="0" w:color="auto"/>
        <w:bottom w:val="none" w:sz="0" w:space="0" w:color="auto"/>
        <w:right w:val="none" w:sz="0" w:space="0" w:color="auto"/>
      </w:divBdr>
    </w:div>
    <w:div w:id="350763233">
      <w:bodyDiv w:val="1"/>
      <w:marLeft w:val="0"/>
      <w:marRight w:val="0"/>
      <w:marTop w:val="0"/>
      <w:marBottom w:val="0"/>
      <w:divBdr>
        <w:top w:val="none" w:sz="0" w:space="0" w:color="auto"/>
        <w:left w:val="none" w:sz="0" w:space="0" w:color="auto"/>
        <w:bottom w:val="none" w:sz="0" w:space="0" w:color="auto"/>
        <w:right w:val="none" w:sz="0" w:space="0" w:color="auto"/>
      </w:divBdr>
    </w:div>
    <w:div w:id="351151432">
      <w:bodyDiv w:val="1"/>
      <w:marLeft w:val="0"/>
      <w:marRight w:val="0"/>
      <w:marTop w:val="0"/>
      <w:marBottom w:val="0"/>
      <w:divBdr>
        <w:top w:val="none" w:sz="0" w:space="0" w:color="auto"/>
        <w:left w:val="none" w:sz="0" w:space="0" w:color="auto"/>
        <w:bottom w:val="none" w:sz="0" w:space="0" w:color="auto"/>
        <w:right w:val="none" w:sz="0" w:space="0" w:color="auto"/>
      </w:divBdr>
    </w:div>
    <w:div w:id="352726229">
      <w:bodyDiv w:val="1"/>
      <w:marLeft w:val="0"/>
      <w:marRight w:val="0"/>
      <w:marTop w:val="0"/>
      <w:marBottom w:val="0"/>
      <w:divBdr>
        <w:top w:val="none" w:sz="0" w:space="0" w:color="auto"/>
        <w:left w:val="none" w:sz="0" w:space="0" w:color="auto"/>
        <w:bottom w:val="none" w:sz="0" w:space="0" w:color="auto"/>
        <w:right w:val="none" w:sz="0" w:space="0" w:color="auto"/>
      </w:divBdr>
    </w:div>
    <w:div w:id="355736016">
      <w:bodyDiv w:val="1"/>
      <w:marLeft w:val="0"/>
      <w:marRight w:val="0"/>
      <w:marTop w:val="0"/>
      <w:marBottom w:val="0"/>
      <w:divBdr>
        <w:top w:val="none" w:sz="0" w:space="0" w:color="auto"/>
        <w:left w:val="none" w:sz="0" w:space="0" w:color="auto"/>
        <w:bottom w:val="none" w:sz="0" w:space="0" w:color="auto"/>
        <w:right w:val="none" w:sz="0" w:space="0" w:color="auto"/>
      </w:divBdr>
    </w:div>
    <w:div w:id="356078329">
      <w:bodyDiv w:val="1"/>
      <w:marLeft w:val="0"/>
      <w:marRight w:val="0"/>
      <w:marTop w:val="0"/>
      <w:marBottom w:val="0"/>
      <w:divBdr>
        <w:top w:val="none" w:sz="0" w:space="0" w:color="auto"/>
        <w:left w:val="none" w:sz="0" w:space="0" w:color="auto"/>
        <w:bottom w:val="none" w:sz="0" w:space="0" w:color="auto"/>
        <w:right w:val="none" w:sz="0" w:space="0" w:color="auto"/>
      </w:divBdr>
    </w:div>
    <w:div w:id="356541021">
      <w:bodyDiv w:val="1"/>
      <w:marLeft w:val="0"/>
      <w:marRight w:val="0"/>
      <w:marTop w:val="0"/>
      <w:marBottom w:val="0"/>
      <w:divBdr>
        <w:top w:val="none" w:sz="0" w:space="0" w:color="auto"/>
        <w:left w:val="none" w:sz="0" w:space="0" w:color="auto"/>
        <w:bottom w:val="none" w:sz="0" w:space="0" w:color="auto"/>
        <w:right w:val="none" w:sz="0" w:space="0" w:color="auto"/>
      </w:divBdr>
    </w:div>
    <w:div w:id="356929091">
      <w:bodyDiv w:val="1"/>
      <w:marLeft w:val="0"/>
      <w:marRight w:val="0"/>
      <w:marTop w:val="0"/>
      <w:marBottom w:val="0"/>
      <w:divBdr>
        <w:top w:val="none" w:sz="0" w:space="0" w:color="auto"/>
        <w:left w:val="none" w:sz="0" w:space="0" w:color="auto"/>
        <w:bottom w:val="none" w:sz="0" w:space="0" w:color="auto"/>
        <w:right w:val="none" w:sz="0" w:space="0" w:color="auto"/>
      </w:divBdr>
    </w:div>
    <w:div w:id="357045951">
      <w:bodyDiv w:val="1"/>
      <w:marLeft w:val="0"/>
      <w:marRight w:val="0"/>
      <w:marTop w:val="0"/>
      <w:marBottom w:val="0"/>
      <w:divBdr>
        <w:top w:val="none" w:sz="0" w:space="0" w:color="auto"/>
        <w:left w:val="none" w:sz="0" w:space="0" w:color="auto"/>
        <w:bottom w:val="none" w:sz="0" w:space="0" w:color="auto"/>
        <w:right w:val="none" w:sz="0" w:space="0" w:color="auto"/>
      </w:divBdr>
    </w:div>
    <w:div w:id="357510055">
      <w:bodyDiv w:val="1"/>
      <w:marLeft w:val="0"/>
      <w:marRight w:val="0"/>
      <w:marTop w:val="0"/>
      <w:marBottom w:val="0"/>
      <w:divBdr>
        <w:top w:val="none" w:sz="0" w:space="0" w:color="auto"/>
        <w:left w:val="none" w:sz="0" w:space="0" w:color="auto"/>
        <w:bottom w:val="none" w:sz="0" w:space="0" w:color="auto"/>
        <w:right w:val="none" w:sz="0" w:space="0" w:color="auto"/>
      </w:divBdr>
    </w:div>
    <w:div w:id="358242328">
      <w:bodyDiv w:val="1"/>
      <w:marLeft w:val="0"/>
      <w:marRight w:val="0"/>
      <w:marTop w:val="0"/>
      <w:marBottom w:val="0"/>
      <w:divBdr>
        <w:top w:val="none" w:sz="0" w:space="0" w:color="auto"/>
        <w:left w:val="none" w:sz="0" w:space="0" w:color="auto"/>
        <w:bottom w:val="none" w:sz="0" w:space="0" w:color="auto"/>
        <w:right w:val="none" w:sz="0" w:space="0" w:color="auto"/>
      </w:divBdr>
    </w:div>
    <w:div w:id="358286740">
      <w:bodyDiv w:val="1"/>
      <w:marLeft w:val="0"/>
      <w:marRight w:val="0"/>
      <w:marTop w:val="0"/>
      <w:marBottom w:val="0"/>
      <w:divBdr>
        <w:top w:val="none" w:sz="0" w:space="0" w:color="auto"/>
        <w:left w:val="none" w:sz="0" w:space="0" w:color="auto"/>
        <w:bottom w:val="none" w:sz="0" w:space="0" w:color="auto"/>
        <w:right w:val="none" w:sz="0" w:space="0" w:color="auto"/>
      </w:divBdr>
    </w:div>
    <w:div w:id="358431196">
      <w:bodyDiv w:val="1"/>
      <w:marLeft w:val="0"/>
      <w:marRight w:val="0"/>
      <w:marTop w:val="0"/>
      <w:marBottom w:val="0"/>
      <w:divBdr>
        <w:top w:val="none" w:sz="0" w:space="0" w:color="auto"/>
        <w:left w:val="none" w:sz="0" w:space="0" w:color="auto"/>
        <w:bottom w:val="none" w:sz="0" w:space="0" w:color="auto"/>
        <w:right w:val="none" w:sz="0" w:space="0" w:color="auto"/>
      </w:divBdr>
    </w:div>
    <w:div w:id="361830084">
      <w:bodyDiv w:val="1"/>
      <w:marLeft w:val="0"/>
      <w:marRight w:val="0"/>
      <w:marTop w:val="0"/>
      <w:marBottom w:val="0"/>
      <w:divBdr>
        <w:top w:val="none" w:sz="0" w:space="0" w:color="auto"/>
        <w:left w:val="none" w:sz="0" w:space="0" w:color="auto"/>
        <w:bottom w:val="none" w:sz="0" w:space="0" w:color="auto"/>
        <w:right w:val="none" w:sz="0" w:space="0" w:color="auto"/>
      </w:divBdr>
    </w:div>
    <w:div w:id="361902910">
      <w:bodyDiv w:val="1"/>
      <w:marLeft w:val="0"/>
      <w:marRight w:val="0"/>
      <w:marTop w:val="0"/>
      <w:marBottom w:val="0"/>
      <w:divBdr>
        <w:top w:val="none" w:sz="0" w:space="0" w:color="auto"/>
        <w:left w:val="none" w:sz="0" w:space="0" w:color="auto"/>
        <w:bottom w:val="none" w:sz="0" w:space="0" w:color="auto"/>
        <w:right w:val="none" w:sz="0" w:space="0" w:color="auto"/>
      </w:divBdr>
    </w:div>
    <w:div w:id="362557555">
      <w:bodyDiv w:val="1"/>
      <w:marLeft w:val="0"/>
      <w:marRight w:val="0"/>
      <w:marTop w:val="0"/>
      <w:marBottom w:val="0"/>
      <w:divBdr>
        <w:top w:val="none" w:sz="0" w:space="0" w:color="auto"/>
        <w:left w:val="none" w:sz="0" w:space="0" w:color="auto"/>
        <w:bottom w:val="none" w:sz="0" w:space="0" w:color="auto"/>
        <w:right w:val="none" w:sz="0" w:space="0" w:color="auto"/>
      </w:divBdr>
    </w:div>
    <w:div w:id="363141045">
      <w:bodyDiv w:val="1"/>
      <w:marLeft w:val="0"/>
      <w:marRight w:val="0"/>
      <w:marTop w:val="0"/>
      <w:marBottom w:val="0"/>
      <w:divBdr>
        <w:top w:val="none" w:sz="0" w:space="0" w:color="auto"/>
        <w:left w:val="none" w:sz="0" w:space="0" w:color="auto"/>
        <w:bottom w:val="none" w:sz="0" w:space="0" w:color="auto"/>
        <w:right w:val="none" w:sz="0" w:space="0" w:color="auto"/>
      </w:divBdr>
    </w:div>
    <w:div w:id="363793834">
      <w:bodyDiv w:val="1"/>
      <w:marLeft w:val="0"/>
      <w:marRight w:val="0"/>
      <w:marTop w:val="0"/>
      <w:marBottom w:val="0"/>
      <w:divBdr>
        <w:top w:val="none" w:sz="0" w:space="0" w:color="auto"/>
        <w:left w:val="none" w:sz="0" w:space="0" w:color="auto"/>
        <w:bottom w:val="none" w:sz="0" w:space="0" w:color="auto"/>
        <w:right w:val="none" w:sz="0" w:space="0" w:color="auto"/>
      </w:divBdr>
    </w:div>
    <w:div w:id="363871927">
      <w:bodyDiv w:val="1"/>
      <w:marLeft w:val="0"/>
      <w:marRight w:val="0"/>
      <w:marTop w:val="0"/>
      <w:marBottom w:val="0"/>
      <w:divBdr>
        <w:top w:val="none" w:sz="0" w:space="0" w:color="auto"/>
        <w:left w:val="none" w:sz="0" w:space="0" w:color="auto"/>
        <w:bottom w:val="none" w:sz="0" w:space="0" w:color="auto"/>
        <w:right w:val="none" w:sz="0" w:space="0" w:color="auto"/>
      </w:divBdr>
    </w:div>
    <w:div w:id="363947085">
      <w:bodyDiv w:val="1"/>
      <w:marLeft w:val="0"/>
      <w:marRight w:val="0"/>
      <w:marTop w:val="0"/>
      <w:marBottom w:val="0"/>
      <w:divBdr>
        <w:top w:val="none" w:sz="0" w:space="0" w:color="auto"/>
        <w:left w:val="none" w:sz="0" w:space="0" w:color="auto"/>
        <w:bottom w:val="none" w:sz="0" w:space="0" w:color="auto"/>
        <w:right w:val="none" w:sz="0" w:space="0" w:color="auto"/>
      </w:divBdr>
    </w:div>
    <w:div w:id="363947130">
      <w:bodyDiv w:val="1"/>
      <w:marLeft w:val="0"/>
      <w:marRight w:val="0"/>
      <w:marTop w:val="0"/>
      <w:marBottom w:val="0"/>
      <w:divBdr>
        <w:top w:val="none" w:sz="0" w:space="0" w:color="auto"/>
        <w:left w:val="none" w:sz="0" w:space="0" w:color="auto"/>
        <w:bottom w:val="none" w:sz="0" w:space="0" w:color="auto"/>
        <w:right w:val="none" w:sz="0" w:space="0" w:color="auto"/>
      </w:divBdr>
    </w:div>
    <w:div w:id="364061166">
      <w:bodyDiv w:val="1"/>
      <w:marLeft w:val="0"/>
      <w:marRight w:val="0"/>
      <w:marTop w:val="0"/>
      <w:marBottom w:val="0"/>
      <w:divBdr>
        <w:top w:val="none" w:sz="0" w:space="0" w:color="auto"/>
        <w:left w:val="none" w:sz="0" w:space="0" w:color="auto"/>
        <w:bottom w:val="none" w:sz="0" w:space="0" w:color="auto"/>
        <w:right w:val="none" w:sz="0" w:space="0" w:color="auto"/>
      </w:divBdr>
    </w:div>
    <w:div w:id="364529040">
      <w:bodyDiv w:val="1"/>
      <w:marLeft w:val="0"/>
      <w:marRight w:val="0"/>
      <w:marTop w:val="0"/>
      <w:marBottom w:val="0"/>
      <w:divBdr>
        <w:top w:val="none" w:sz="0" w:space="0" w:color="auto"/>
        <w:left w:val="none" w:sz="0" w:space="0" w:color="auto"/>
        <w:bottom w:val="none" w:sz="0" w:space="0" w:color="auto"/>
        <w:right w:val="none" w:sz="0" w:space="0" w:color="auto"/>
      </w:divBdr>
    </w:div>
    <w:div w:id="364840172">
      <w:bodyDiv w:val="1"/>
      <w:marLeft w:val="0"/>
      <w:marRight w:val="0"/>
      <w:marTop w:val="0"/>
      <w:marBottom w:val="0"/>
      <w:divBdr>
        <w:top w:val="none" w:sz="0" w:space="0" w:color="auto"/>
        <w:left w:val="none" w:sz="0" w:space="0" w:color="auto"/>
        <w:bottom w:val="none" w:sz="0" w:space="0" w:color="auto"/>
        <w:right w:val="none" w:sz="0" w:space="0" w:color="auto"/>
      </w:divBdr>
    </w:div>
    <w:div w:id="365566111">
      <w:bodyDiv w:val="1"/>
      <w:marLeft w:val="0"/>
      <w:marRight w:val="0"/>
      <w:marTop w:val="0"/>
      <w:marBottom w:val="0"/>
      <w:divBdr>
        <w:top w:val="none" w:sz="0" w:space="0" w:color="auto"/>
        <w:left w:val="none" w:sz="0" w:space="0" w:color="auto"/>
        <w:bottom w:val="none" w:sz="0" w:space="0" w:color="auto"/>
        <w:right w:val="none" w:sz="0" w:space="0" w:color="auto"/>
      </w:divBdr>
    </w:div>
    <w:div w:id="365641174">
      <w:bodyDiv w:val="1"/>
      <w:marLeft w:val="0"/>
      <w:marRight w:val="0"/>
      <w:marTop w:val="0"/>
      <w:marBottom w:val="0"/>
      <w:divBdr>
        <w:top w:val="none" w:sz="0" w:space="0" w:color="auto"/>
        <w:left w:val="none" w:sz="0" w:space="0" w:color="auto"/>
        <w:bottom w:val="none" w:sz="0" w:space="0" w:color="auto"/>
        <w:right w:val="none" w:sz="0" w:space="0" w:color="auto"/>
      </w:divBdr>
    </w:div>
    <w:div w:id="365643363">
      <w:bodyDiv w:val="1"/>
      <w:marLeft w:val="0"/>
      <w:marRight w:val="0"/>
      <w:marTop w:val="0"/>
      <w:marBottom w:val="0"/>
      <w:divBdr>
        <w:top w:val="none" w:sz="0" w:space="0" w:color="auto"/>
        <w:left w:val="none" w:sz="0" w:space="0" w:color="auto"/>
        <w:bottom w:val="none" w:sz="0" w:space="0" w:color="auto"/>
        <w:right w:val="none" w:sz="0" w:space="0" w:color="auto"/>
      </w:divBdr>
    </w:div>
    <w:div w:id="366100913">
      <w:bodyDiv w:val="1"/>
      <w:marLeft w:val="0"/>
      <w:marRight w:val="0"/>
      <w:marTop w:val="0"/>
      <w:marBottom w:val="0"/>
      <w:divBdr>
        <w:top w:val="none" w:sz="0" w:space="0" w:color="auto"/>
        <w:left w:val="none" w:sz="0" w:space="0" w:color="auto"/>
        <w:bottom w:val="none" w:sz="0" w:space="0" w:color="auto"/>
        <w:right w:val="none" w:sz="0" w:space="0" w:color="auto"/>
      </w:divBdr>
    </w:div>
    <w:div w:id="366613313">
      <w:bodyDiv w:val="1"/>
      <w:marLeft w:val="0"/>
      <w:marRight w:val="0"/>
      <w:marTop w:val="0"/>
      <w:marBottom w:val="0"/>
      <w:divBdr>
        <w:top w:val="none" w:sz="0" w:space="0" w:color="auto"/>
        <w:left w:val="none" w:sz="0" w:space="0" w:color="auto"/>
        <w:bottom w:val="none" w:sz="0" w:space="0" w:color="auto"/>
        <w:right w:val="none" w:sz="0" w:space="0" w:color="auto"/>
      </w:divBdr>
    </w:div>
    <w:div w:id="367411788">
      <w:bodyDiv w:val="1"/>
      <w:marLeft w:val="0"/>
      <w:marRight w:val="0"/>
      <w:marTop w:val="0"/>
      <w:marBottom w:val="0"/>
      <w:divBdr>
        <w:top w:val="none" w:sz="0" w:space="0" w:color="auto"/>
        <w:left w:val="none" w:sz="0" w:space="0" w:color="auto"/>
        <w:bottom w:val="none" w:sz="0" w:space="0" w:color="auto"/>
        <w:right w:val="none" w:sz="0" w:space="0" w:color="auto"/>
      </w:divBdr>
    </w:div>
    <w:div w:id="368382253">
      <w:bodyDiv w:val="1"/>
      <w:marLeft w:val="0"/>
      <w:marRight w:val="0"/>
      <w:marTop w:val="0"/>
      <w:marBottom w:val="0"/>
      <w:divBdr>
        <w:top w:val="none" w:sz="0" w:space="0" w:color="auto"/>
        <w:left w:val="none" w:sz="0" w:space="0" w:color="auto"/>
        <w:bottom w:val="none" w:sz="0" w:space="0" w:color="auto"/>
        <w:right w:val="none" w:sz="0" w:space="0" w:color="auto"/>
      </w:divBdr>
    </w:div>
    <w:div w:id="369762377">
      <w:bodyDiv w:val="1"/>
      <w:marLeft w:val="0"/>
      <w:marRight w:val="0"/>
      <w:marTop w:val="0"/>
      <w:marBottom w:val="0"/>
      <w:divBdr>
        <w:top w:val="none" w:sz="0" w:space="0" w:color="auto"/>
        <w:left w:val="none" w:sz="0" w:space="0" w:color="auto"/>
        <w:bottom w:val="none" w:sz="0" w:space="0" w:color="auto"/>
        <w:right w:val="none" w:sz="0" w:space="0" w:color="auto"/>
      </w:divBdr>
    </w:div>
    <w:div w:id="369888578">
      <w:bodyDiv w:val="1"/>
      <w:marLeft w:val="0"/>
      <w:marRight w:val="0"/>
      <w:marTop w:val="0"/>
      <w:marBottom w:val="0"/>
      <w:divBdr>
        <w:top w:val="none" w:sz="0" w:space="0" w:color="auto"/>
        <w:left w:val="none" w:sz="0" w:space="0" w:color="auto"/>
        <w:bottom w:val="none" w:sz="0" w:space="0" w:color="auto"/>
        <w:right w:val="none" w:sz="0" w:space="0" w:color="auto"/>
      </w:divBdr>
    </w:div>
    <w:div w:id="371155751">
      <w:bodyDiv w:val="1"/>
      <w:marLeft w:val="0"/>
      <w:marRight w:val="0"/>
      <w:marTop w:val="0"/>
      <w:marBottom w:val="0"/>
      <w:divBdr>
        <w:top w:val="none" w:sz="0" w:space="0" w:color="auto"/>
        <w:left w:val="none" w:sz="0" w:space="0" w:color="auto"/>
        <w:bottom w:val="none" w:sz="0" w:space="0" w:color="auto"/>
        <w:right w:val="none" w:sz="0" w:space="0" w:color="auto"/>
      </w:divBdr>
    </w:div>
    <w:div w:id="371880844">
      <w:bodyDiv w:val="1"/>
      <w:marLeft w:val="0"/>
      <w:marRight w:val="0"/>
      <w:marTop w:val="0"/>
      <w:marBottom w:val="0"/>
      <w:divBdr>
        <w:top w:val="none" w:sz="0" w:space="0" w:color="auto"/>
        <w:left w:val="none" w:sz="0" w:space="0" w:color="auto"/>
        <w:bottom w:val="none" w:sz="0" w:space="0" w:color="auto"/>
        <w:right w:val="none" w:sz="0" w:space="0" w:color="auto"/>
      </w:divBdr>
    </w:div>
    <w:div w:id="371925295">
      <w:bodyDiv w:val="1"/>
      <w:marLeft w:val="0"/>
      <w:marRight w:val="0"/>
      <w:marTop w:val="0"/>
      <w:marBottom w:val="0"/>
      <w:divBdr>
        <w:top w:val="none" w:sz="0" w:space="0" w:color="auto"/>
        <w:left w:val="none" w:sz="0" w:space="0" w:color="auto"/>
        <w:bottom w:val="none" w:sz="0" w:space="0" w:color="auto"/>
        <w:right w:val="none" w:sz="0" w:space="0" w:color="auto"/>
      </w:divBdr>
    </w:div>
    <w:div w:id="372077816">
      <w:bodyDiv w:val="1"/>
      <w:marLeft w:val="0"/>
      <w:marRight w:val="0"/>
      <w:marTop w:val="0"/>
      <w:marBottom w:val="0"/>
      <w:divBdr>
        <w:top w:val="none" w:sz="0" w:space="0" w:color="auto"/>
        <w:left w:val="none" w:sz="0" w:space="0" w:color="auto"/>
        <w:bottom w:val="none" w:sz="0" w:space="0" w:color="auto"/>
        <w:right w:val="none" w:sz="0" w:space="0" w:color="auto"/>
      </w:divBdr>
    </w:div>
    <w:div w:id="372117015">
      <w:bodyDiv w:val="1"/>
      <w:marLeft w:val="0"/>
      <w:marRight w:val="0"/>
      <w:marTop w:val="0"/>
      <w:marBottom w:val="0"/>
      <w:divBdr>
        <w:top w:val="none" w:sz="0" w:space="0" w:color="auto"/>
        <w:left w:val="none" w:sz="0" w:space="0" w:color="auto"/>
        <w:bottom w:val="none" w:sz="0" w:space="0" w:color="auto"/>
        <w:right w:val="none" w:sz="0" w:space="0" w:color="auto"/>
      </w:divBdr>
    </w:div>
    <w:div w:id="372583813">
      <w:bodyDiv w:val="1"/>
      <w:marLeft w:val="0"/>
      <w:marRight w:val="0"/>
      <w:marTop w:val="0"/>
      <w:marBottom w:val="0"/>
      <w:divBdr>
        <w:top w:val="none" w:sz="0" w:space="0" w:color="auto"/>
        <w:left w:val="none" w:sz="0" w:space="0" w:color="auto"/>
        <w:bottom w:val="none" w:sz="0" w:space="0" w:color="auto"/>
        <w:right w:val="none" w:sz="0" w:space="0" w:color="auto"/>
      </w:divBdr>
    </w:div>
    <w:div w:id="373507542">
      <w:bodyDiv w:val="1"/>
      <w:marLeft w:val="0"/>
      <w:marRight w:val="0"/>
      <w:marTop w:val="0"/>
      <w:marBottom w:val="0"/>
      <w:divBdr>
        <w:top w:val="none" w:sz="0" w:space="0" w:color="auto"/>
        <w:left w:val="none" w:sz="0" w:space="0" w:color="auto"/>
        <w:bottom w:val="none" w:sz="0" w:space="0" w:color="auto"/>
        <w:right w:val="none" w:sz="0" w:space="0" w:color="auto"/>
      </w:divBdr>
    </w:div>
    <w:div w:id="374086531">
      <w:bodyDiv w:val="1"/>
      <w:marLeft w:val="0"/>
      <w:marRight w:val="0"/>
      <w:marTop w:val="0"/>
      <w:marBottom w:val="0"/>
      <w:divBdr>
        <w:top w:val="none" w:sz="0" w:space="0" w:color="auto"/>
        <w:left w:val="none" w:sz="0" w:space="0" w:color="auto"/>
        <w:bottom w:val="none" w:sz="0" w:space="0" w:color="auto"/>
        <w:right w:val="none" w:sz="0" w:space="0" w:color="auto"/>
      </w:divBdr>
    </w:div>
    <w:div w:id="375197645">
      <w:bodyDiv w:val="1"/>
      <w:marLeft w:val="0"/>
      <w:marRight w:val="0"/>
      <w:marTop w:val="0"/>
      <w:marBottom w:val="0"/>
      <w:divBdr>
        <w:top w:val="none" w:sz="0" w:space="0" w:color="auto"/>
        <w:left w:val="none" w:sz="0" w:space="0" w:color="auto"/>
        <w:bottom w:val="none" w:sz="0" w:space="0" w:color="auto"/>
        <w:right w:val="none" w:sz="0" w:space="0" w:color="auto"/>
      </w:divBdr>
    </w:div>
    <w:div w:id="376009404">
      <w:bodyDiv w:val="1"/>
      <w:marLeft w:val="0"/>
      <w:marRight w:val="0"/>
      <w:marTop w:val="0"/>
      <w:marBottom w:val="0"/>
      <w:divBdr>
        <w:top w:val="none" w:sz="0" w:space="0" w:color="auto"/>
        <w:left w:val="none" w:sz="0" w:space="0" w:color="auto"/>
        <w:bottom w:val="none" w:sz="0" w:space="0" w:color="auto"/>
        <w:right w:val="none" w:sz="0" w:space="0" w:color="auto"/>
      </w:divBdr>
    </w:div>
    <w:div w:id="376901269">
      <w:bodyDiv w:val="1"/>
      <w:marLeft w:val="0"/>
      <w:marRight w:val="0"/>
      <w:marTop w:val="0"/>
      <w:marBottom w:val="0"/>
      <w:divBdr>
        <w:top w:val="none" w:sz="0" w:space="0" w:color="auto"/>
        <w:left w:val="none" w:sz="0" w:space="0" w:color="auto"/>
        <w:bottom w:val="none" w:sz="0" w:space="0" w:color="auto"/>
        <w:right w:val="none" w:sz="0" w:space="0" w:color="auto"/>
      </w:divBdr>
    </w:div>
    <w:div w:id="377171771">
      <w:bodyDiv w:val="1"/>
      <w:marLeft w:val="0"/>
      <w:marRight w:val="0"/>
      <w:marTop w:val="0"/>
      <w:marBottom w:val="0"/>
      <w:divBdr>
        <w:top w:val="none" w:sz="0" w:space="0" w:color="auto"/>
        <w:left w:val="none" w:sz="0" w:space="0" w:color="auto"/>
        <w:bottom w:val="none" w:sz="0" w:space="0" w:color="auto"/>
        <w:right w:val="none" w:sz="0" w:space="0" w:color="auto"/>
      </w:divBdr>
    </w:div>
    <w:div w:id="377243302">
      <w:bodyDiv w:val="1"/>
      <w:marLeft w:val="0"/>
      <w:marRight w:val="0"/>
      <w:marTop w:val="0"/>
      <w:marBottom w:val="0"/>
      <w:divBdr>
        <w:top w:val="none" w:sz="0" w:space="0" w:color="auto"/>
        <w:left w:val="none" w:sz="0" w:space="0" w:color="auto"/>
        <w:bottom w:val="none" w:sz="0" w:space="0" w:color="auto"/>
        <w:right w:val="none" w:sz="0" w:space="0" w:color="auto"/>
      </w:divBdr>
    </w:div>
    <w:div w:id="378474060">
      <w:bodyDiv w:val="1"/>
      <w:marLeft w:val="0"/>
      <w:marRight w:val="0"/>
      <w:marTop w:val="0"/>
      <w:marBottom w:val="0"/>
      <w:divBdr>
        <w:top w:val="none" w:sz="0" w:space="0" w:color="auto"/>
        <w:left w:val="none" w:sz="0" w:space="0" w:color="auto"/>
        <w:bottom w:val="none" w:sz="0" w:space="0" w:color="auto"/>
        <w:right w:val="none" w:sz="0" w:space="0" w:color="auto"/>
      </w:divBdr>
    </w:div>
    <w:div w:id="378549807">
      <w:bodyDiv w:val="1"/>
      <w:marLeft w:val="0"/>
      <w:marRight w:val="0"/>
      <w:marTop w:val="0"/>
      <w:marBottom w:val="0"/>
      <w:divBdr>
        <w:top w:val="none" w:sz="0" w:space="0" w:color="auto"/>
        <w:left w:val="none" w:sz="0" w:space="0" w:color="auto"/>
        <w:bottom w:val="none" w:sz="0" w:space="0" w:color="auto"/>
        <w:right w:val="none" w:sz="0" w:space="0" w:color="auto"/>
      </w:divBdr>
    </w:div>
    <w:div w:id="379941851">
      <w:bodyDiv w:val="1"/>
      <w:marLeft w:val="0"/>
      <w:marRight w:val="0"/>
      <w:marTop w:val="0"/>
      <w:marBottom w:val="0"/>
      <w:divBdr>
        <w:top w:val="none" w:sz="0" w:space="0" w:color="auto"/>
        <w:left w:val="none" w:sz="0" w:space="0" w:color="auto"/>
        <w:bottom w:val="none" w:sz="0" w:space="0" w:color="auto"/>
        <w:right w:val="none" w:sz="0" w:space="0" w:color="auto"/>
      </w:divBdr>
    </w:div>
    <w:div w:id="381028921">
      <w:bodyDiv w:val="1"/>
      <w:marLeft w:val="0"/>
      <w:marRight w:val="0"/>
      <w:marTop w:val="0"/>
      <w:marBottom w:val="0"/>
      <w:divBdr>
        <w:top w:val="none" w:sz="0" w:space="0" w:color="auto"/>
        <w:left w:val="none" w:sz="0" w:space="0" w:color="auto"/>
        <w:bottom w:val="none" w:sz="0" w:space="0" w:color="auto"/>
        <w:right w:val="none" w:sz="0" w:space="0" w:color="auto"/>
      </w:divBdr>
    </w:div>
    <w:div w:id="381297767">
      <w:bodyDiv w:val="1"/>
      <w:marLeft w:val="0"/>
      <w:marRight w:val="0"/>
      <w:marTop w:val="0"/>
      <w:marBottom w:val="0"/>
      <w:divBdr>
        <w:top w:val="none" w:sz="0" w:space="0" w:color="auto"/>
        <w:left w:val="none" w:sz="0" w:space="0" w:color="auto"/>
        <w:bottom w:val="none" w:sz="0" w:space="0" w:color="auto"/>
        <w:right w:val="none" w:sz="0" w:space="0" w:color="auto"/>
      </w:divBdr>
    </w:div>
    <w:div w:id="381371685">
      <w:bodyDiv w:val="1"/>
      <w:marLeft w:val="0"/>
      <w:marRight w:val="0"/>
      <w:marTop w:val="0"/>
      <w:marBottom w:val="0"/>
      <w:divBdr>
        <w:top w:val="none" w:sz="0" w:space="0" w:color="auto"/>
        <w:left w:val="none" w:sz="0" w:space="0" w:color="auto"/>
        <w:bottom w:val="none" w:sz="0" w:space="0" w:color="auto"/>
        <w:right w:val="none" w:sz="0" w:space="0" w:color="auto"/>
      </w:divBdr>
    </w:div>
    <w:div w:id="382103616">
      <w:bodyDiv w:val="1"/>
      <w:marLeft w:val="0"/>
      <w:marRight w:val="0"/>
      <w:marTop w:val="0"/>
      <w:marBottom w:val="0"/>
      <w:divBdr>
        <w:top w:val="none" w:sz="0" w:space="0" w:color="auto"/>
        <w:left w:val="none" w:sz="0" w:space="0" w:color="auto"/>
        <w:bottom w:val="none" w:sz="0" w:space="0" w:color="auto"/>
        <w:right w:val="none" w:sz="0" w:space="0" w:color="auto"/>
      </w:divBdr>
    </w:div>
    <w:div w:id="382170086">
      <w:bodyDiv w:val="1"/>
      <w:marLeft w:val="0"/>
      <w:marRight w:val="0"/>
      <w:marTop w:val="0"/>
      <w:marBottom w:val="0"/>
      <w:divBdr>
        <w:top w:val="none" w:sz="0" w:space="0" w:color="auto"/>
        <w:left w:val="none" w:sz="0" w:space="0" w:color="auto"/>
        <w:bottom w:val="none" w:sz="0" w:space="0" w:color="auto"/>
        <w:right w:val="none" w:sz="0" w:space="0" w:color="auto"/>
      </w:divBdr>
    </w:div>
    <w:div w:id="382221243">
      <w:bodyDiv w:val="1"/>
      <w:marLeft w:val="0"/>
      <w:marRight w:val="0"/>
      <w:marTop w:val="0"/>
      <w:marBottom w:val="0"/>
      <w:divBdr>
        <w:top w:val="none" w:sz="0" w:space="0" w:color="auto"/>
        <w:left w:val="none" w:sz="0" w:space="0" w:color="auto"/>
        <w:bottom w:val="none" w:sz="0" w:space="0" w:color="auto"/>
        <w:right w:val="none" w:sz="0" w:space="0" w:color="auto"/>
      </w:divBdr>
    </w:div>
    <w:div w:id="382874031">
      <w:bodyDiv w:val="1"/>
      <w:marLeft w:val="0"/>
      <w:marRight w:val="0"/>
      <w:marTop w:val="0"/>
      <w:marBottom w:val="0"/>
      <w:divBdr>
        <w:top w:val="none" w:sz="0" w:space="0" w:color="auto"/>
        <w:left w:val="none" w:sz="0" w:space="0" w:color="auto"/>
        <w:bottom w:val="none" w:sz="0" w:space="0" w:color="auto"/>
        <w:right w:val="none" w:sz="0" w:space="0" w:color="auto"/>
      </w:divBdr>
    </w:div>
    <w:div w:id="383211766">
      <w:bodyDiv w:val="1"/>
      <w:marLeft w:val="0"/>
      <w:marRight w:val="0"/>
      <w:marTop w:val="0"/>
      <w:marBottom w:val="0"/>
      <w:divBdr>
        <w:top w:val="none" w:sz="0" w:space="0" w:color="auto"/>
        <w:left w:val="none" w:sz="0" w:space="0" w:color="auto"/>
        <w:bottom w:val="none" w:sz="0" w:space="0" w:color="auto"/>
        <w:right w:val="none" w:sz="0" w:space="0" w:color="auto"/>
      </w:divBdr>
    </w:div>
    <w:div w:id="383606559">
      <w:bodyDiv w:val="1"/>
      <w:marLeft w:val="0"/>
      <w:marRight w:val="0"/>
      <w:marTop w:val="0"/>
      <w:marBottom w:val="0"/>
      <w:divBdr>
        <w:top w:val="none" w:sz="0" w:space="0" w:color="auto"/>
        <w:left w:val="none" w:sz="0" w:space="0" w:color="auto"/>
        <w:bottom w:val="none" w:sz="0" w:space="0" w:color="auto"/>
        <w:right w:val="none" w:sz="0" w:space="0" w:color="auto"/>
      </w:divBdr>
    </w:div>
    <w:div w:id="384106506">
      <w:bodyDiv w:val="1"/>
      <w:marLeft w:val="0"/>
      <w:marRight w:val="0"/>
      <w:marTop w:val="0"/>
      <w:marBottom w:val="0"/>
      <w:divBdr>
        <w:top w:val="none" w:sz="0" w:space="0" w:color="auto"/>
        <w:left w:val="none" w:sz="0" w:space="0" w:color="auto"/>
        <w:bottom w:val="none" w:sz="0" w:space="0" w:color="auto"/>
        <w:right w:val="none" w:sz="0" w:space="0" w:color="auto"/>
      </w:divBdr>
    </w:div>
    <w:div w:id="384453349">
      <w:bodyDiv w:val="1"/>
      <w:marLeft w:val="0"/>
      <w:marRight w:val="0"/>
      <w:marTop w:val="0"/>
      <w:marBottom w:val="0"/>
      <w:divBdr>
        <w:top w:val="none" w:sz="0" w:space="0" w:color="auto"/>
        <w:left w:val="none" w:sz="0" w:space="0" w:color="auto"/>
        <w:bottom w:val="none" w:sz="0" w:space="0" w:color="auto"/>
        <w:right w:val="none" w:sz="0" w:space="0" w:color="auto"/>
      </w:divBdr>
    </w:div>
    <w:div w:id="384764850">
      <w:bodyDiv w:val="1"/>
      <w:marLeft w:val="0"/>
      <w:marRight w:val="0"/>
      <w:marTop w:val="0"/>
      <w:marBottom w:val="0"/>
      <w:divBdr>
        <w:top w:val="none" w:sz="0" w:space="0" w:color="auto"/>
        <w:left w:val="none" w:sz="0" w:space="0" w:color="auto"/>
        <w:bottom w:val="none" w:sz="0" w:space="0" w:color="auto"/>
        <w:right w:val="none" w:sz="0" w:space="0" w:color="auto"/>
      </w:divBdr>
    </w:div>
    <w:div w:id="385035750">
      <w:bodyDiv w:val="1"/>
      <w:marLeft w:val="0"/>
      <w:marRight w:val="0"/>
      <w:marTop w:val="0"/>
      <w:marBottom w:val="0"/>
      <w:divBdr>
        <w:top w:val="none" w:sz="0" w:space="0" w:color="auto"/>
        <w:left w:val="none" w:sz="0" w:space="0" w:color="auto"/>
        <w:bottom w:val="none" w:sz="0" w:space="0" w:color="auto"/>
        <w:right w:val="none" w:sz="0" w:space="0" w:color="auto"/>
      </w:divBdr>
    </w:div>
    <w:div w:id="385877234">
      <w:bodyDiv w:val="1"/>
      <w:marLeft w:val="0"/>
      <w:marRight w:val="0"/>
      <w:marTop w:val="0"/>
      <w:marBottom w:val="0"/>
      <w:divBdr>
        <w:top w:val="none" w:sz="0" w:space="0" w:color="auto"/>
        <w:left w:val="none" w:sz="0" w:space="0" w:color="auto"/>
        <w:bottom w:val="none" w:sz="0" w:space="0" w:color="auto"/>
        <w:right w:val="none" w:sz="0" w:space="0" w:color="auto"/>
      </w:divBdr>
    </w:div>
    <w:div w:id="386414779">
      <w:bodyDiv w:val="1"/>
      <w:marLeft w:val="0"/>
      <w:marRight w:val="0"/>
      <w:marTop w:val="0"/>
      <w:marBottom w:val="0"/>
      <w:divBdr>
        <w:top w:val="none" w:sz="0" w:space="0" w:color="auto"/>
        <w:left w:val="none" w:sz="0" w:space="0" w:color="auto"/>
        <w:bottom w:val="none" w:sz="0" w:space="0" w:color="auto"/>
        <w:right w:val="none" w:sz="0" w:space="0" w:color="auto"/>
      </w:divBdr>
    </w:div>
    <w:div w:id="387413788">
      <w:bodyDiv w:val="1"/>
      <w:marLeft w:val="0"/>
      <w:marRight w:val="0"/>
      <w:marTop w:val="0"/>
      <w:marBottom w:val="0"/>
      <w:divBdr>
        <w:top w:val="none" w:sz="0" w:space="0" w:color="auto"/>
        <w:left w:val="none" w:sz="0" w:space="0" w:color="auto"/>
        <w:bottom w:val="none" w:sz="0" w:space="0" w:color="auto"/>
        <w:right w:val="none" w:sz="0" w:space="0" w:color="auto"/>
      </w:divBdr>
    </w:div>
    <w:div w:id="388647387">
      <w:bodyDiv w:val="1"/>
      <w:marLeft w:val="0"/>
      <w:marRight w:val="0"/>
      <w:marTop w:val="0"/>
      <w:marBottom w:val="0"/>
      <w:divBdr>
        <w:top w:val="none" w:sz="0" w:space="0" w:color="auto"/>
        <w:left w:val="none" w:sz="0" w:space="0" w:color="auto"/>
        <w:bottom w:val="none" w:sz="0" w:space="0" w:color="auto"/>
        <w:right w:val="none" w:sz="0" w:space="0" w:color="auto"/>
      </w:divBdr>
    </w:div>
    <w:div w:id="390421957">
      <w:bodyDiv w:val="1"/>
      <w:marLeft w:val="0"/>
      <w:marRight w:val="0"/>
      <w:marTop w:val="0"/>
      <w:marBottom w:val="0"/>
      <w:divBdr>
        <w:top w:val="none" w:sz="0" w:space="0" w:color="auto"/>
        <w:left w:val="none" w:sz="0" w:space="0" w:color="auto"/>
        <w:bottom w:val="none" w:sz="0" w:space="0" w:color="auto"/>
        <w:right w:val="none" w:sz="0" w:space="0" w:color="auto"/>
      </w:divBdr>
    </w:div>
    <w:div w:id="390662679">
      <w:bodyDiv w:val="1"/>
      <w:marLeft w:val="0"/>
      <w:marRight w:val="0"/>
      <w:marTop w:val="0"/>
      <w:marBottom w:val="0"/>
      <w:divBdr>
        <w:top w:val="none" w:sz="0" w:space="0" w:color="auto"/>
        <w:left w:val="none" w:sz="0" w:space="0" w:color="auto"/>
        <w:bottom w:val="none" w:sz="0" w:space="0" w:color="auto"/>
        <w:right w:val="none" w:sz="0" w:space="0" w:color="auto"/>
      </w:divBdr>
    </w:div>
    <w:div w:id="390734760">
      <w:bodyDiv w:val="1"/>
      <w:marLeft w:val="0"/>
      <w:marRight w:val="0"/>
      <w:marTop w:val="0"/>
      <w:marBottom w:val="0"/>
      <w:divBdr>
        <w:top w:val="none" w:sz="0" w:space="0" w:color="auto"/>
        <w:left w:val="none" w:sz="0" w:space="0" w:color="auto"/>
        <w:bottom w:val="none" w:sz="0" w:space="0" w:color="auto"/>
        <w:right w:val="none" w:sz="0" w:space="0" w:color="auto"/>
      </w:divBdr>
    </w:div>
    <w:div w:id="391076797">
      <w:bodyDiv w:val="1"/>
      <w:marLeft w:val="0"/>
      <w:marRight w:val="0"/>
      <w:marTop w:val="0"/>
      <w:marBottom w:val="0"/>
      <w:divBdr>
        <w:top w:val="none" w:sz="0" w:space="0" w:color="auto"/>
        <w:left w:val="none" w:sz="0" w:space="0" w:color="auto"/>
        <w:bottom w:val="none" w:sz="0" w:space="0" w:color="auto"/>
        <w:right w:val="none" w:sz="0" w:space="0" w:color="auto"/>
      </w:divBdr>
    </w:div>
    <w:div w:id="392050849">
      <w:bodyDiv w:val="1"/>
      <w:marLeft w:val="0"/>
      <w:marRight w:val="0"/>
      <w:marTop w:val="0"/>
      <w:marBottom w:val="0"/>
      <w:divBdr>
        <w:top w:val="none" w:sz="0" w:space="0" w:color="auto"/>
        <w:left w:val="none" w:sz="0" w:space="0" w:color="auto"/>
        <w:bottom w:val="none" w:sz="0" w:space="0" w:color="auto"/>
        <w:right w:val="none" w:sz="0" w:space="0" w:color="auto"/>
      </w:divBdr>
    </w:div>
    <w:div w:id="392436990">
      <w:bodyDiv w:val="1"/>
      <w:marLeft w:val="0"/>
      <w:marRight w:val="0"/>
      <w:marTop w:val="0"/>
      <w:marBottom w:val="0"/>
      <w:divBdr>
        <w:top w:val="none" w:sz="0" w:space="0" w:color="auto"/>
        <w:left w:val="none" w:sz="0" w:space="0" w:color="auto"/>
        <w:bottom w:val="none" w:sz="0" w:space="0" w:color="auto"/>
        <w:right w:val="none" w:sz="0" w:space="0" w:color="auto"/>
      </w:divBdr>
    </w:div>
    <w:div w:id="393357297">
      <w:bodyDiv w:val="1"/>
      <w:marLeft w:val="0"/>
      <w:marRight w:val="0"/>
      <w:marTop w:val="0"/>
      <w:marBottom w:val="0"/>
      <w:divBdr>
        <w:top w:val="none" w:sz="0" w:space="0" w:color="auto"/>
        <w:left w:val="none" w:sz="0" w:space="0" w:color="auto"/>
        <w:bottom w:val="none" w:sz="0" w:space="0" w:color="auto"/>
        <w:right w:val="none" w:sz="0" w:space="0" w:color="auto"/>
      </w:divBdr>
    </w:div>
    <w:div w:id="393429086">
      <w:bodyDiv w:val="1"/>
      <w:marLeft w:val="0"/>
      <w:marRight w:val="0"/>
      <w:marTop w:val="0"/>
      <w:marBottom w:val="0"/>
      <w:divBdr>
        <w:top w:val="none" w:sz="0" w:space="0" w:color="auto"/>
        <w:left w:val="none" w:sz="0" w:space="0" w:color="auto"/>
        <w:bottom w:val="none" w:sz="0" w:space="0" w:color="auto"/>
        <w:right w:val="none" w:sz="0" w:space="0" w:color="auto"/>
      </w:divBdr>
    </w:div>
    <w:div w:id="393771722">
      <w:bodyDiv w:val="1"/>
      <w:marLeft w:val="0"/>
      <w:marRight w:val="0"/>
      <w:marTop w:val="0"/>
      <w:marBottom w:val="0"/>
      <w:divBdr>
        <w:top w:val="none" w:sz="0" w:space="0" w:color="auto"/>
        <w:left w:val="none" w:sz="0" w:space="0" w:color="auto"/>
        <w:bottom w:val="none" w:sz="0" w:space="0" w:color="auto"/>
        <w:right w:val="none" w:sz="0" w:space="0" w:color="auto"/>
      </w:divBdr>
    </w:div>
    <w:div w:id="394164539">
      <w:bodyDiv w:val="1"/>
      <w:marLeft w:val="0"/>
      <w:marRight w:val="0"/>
      <w:marTop w:val="0"/>
      <w:marBottom w:val="0"/>
      <w:divBdr>
        <w:top w:val="none" w:sz="0" w:space="0" w:color="auto"/>
        <w:left w:val="none" w:sz="0" w:space="0" w:color="auto"/>
        <w:bottom w:val="none" w:sz="0" w:space="0" w:color="auto"/>
        <w:right w:val="none" w:sz="0" w:space="0" w:color="auto"/>
      </w:divBdr>
    </w:div>
    <w:div w:id="394935182">
      <w:bodyDiv w:val="1"/>
      <w:marLeft w:val="0"/>
      <w:marRight w:val="0"/>
      <w:marTop w:val="0"/>
      <w:marBottom w:val="0"/>
      <w:divBdr>
        <w:top w:val="none" w:sz="0" w:space="0" w:color="auto"/>
        <w:left w:val="none" w:sz="0" w:space="0" w:color="auto"/>
        <w:bottom w:val="none" w:sz="0" w:space="0" w:color="auto"/>
        <w:right w:val="none" w:sz="0" w:space="0" w:color="auto"/>
      </w:divBdr>
    </w:div>
    <w:div w:id="395321701">
      <w:bodyDiv w:val="1"/>
      <w:marLeft w:val="0"/>
      <w:marRight w:val="0"/>
      <w:marTop w:val="0"/>
      <w:marBottom w:val="0"/>
      <w:divBdr>
        <w:top w:val="none" w:sz="0" w:space="0" w:color="auto"/>
        <w:left w:val="none" w:sz="0" w:space="0" w:color="auto"/>
        <w:bottom w:val="none" w:sz="0" w:space="0" w:color="auto"/>
        <w:right w:val="none" w:sz="0" w:space="0" w:color="auto"/>
      </w:divBdr>
    </w:div>
    <w:div w:id="395399335">
      <w:bodyDiv w:val="1"/>
      <w:marLeft w:val="0"/>
      <w:marRight w:val="0"/>
      <w:marTop w:val="0"/>
      <w:marBottom w:val="0"/>
      <w:divBdr>
        <w:top w:val="none" w:sz="0" w:space="0" w:color="auto"/>
        <w:left w:val="none" w:sz="0" w:space="0" w:color="auto"/>
        <w:bottom w:val="none" w:sz="0" w:space="0" w:color="auto"/>
        <w:right w:val="none" w:sz="0" w:space="0" w:color="auto"/>
      </w:divBdr>
    </w:div>
    <w:div w:id="395475480">
      <w:bodyDiv w:val="1"/>
      <w:marLeft w:val="0"/>
      <w:marRight w:val="0"/>
      <w:marTop w:val="0"/>
      <w:marBottom w:val="0"/>
      <w:divBdr>
        <w:top w:val="none" w:sz="0" w:space="0" w:color="auto"/>
        <w:left w:val="none" w:sz="0" w:space="0" w:color="auto"/>
        <w:bottom w:val="none" w:sz="0" w:space="0" w:color="auto"/>
        <w:right w:val="none" w:sz="0" w:space="0" w:color="auto"/>
      </w:divBdr>
    </w:div>
    <w:div w:id="396906128">
      <w:bodyDiv w:val="1"/>
      <w:marLeft w:val="0"/>
      <w:marRight w:val="0"/>
      <w:marTop w:val="0"/>
      <w:marBottom w:val="0"/>
      <w:divBdr>
        <w:top w:val="none" w:sz="0" w:space="0" w:color="auto"/>
        <w:left w:val="none" w:sz="0" w:space="0" w:color="auto"/>
        <w:bottom w:val="none" w:sz="0" w:space="0" w:color="auto"/>
        <w:right w:val="none" w:sz="0" w:space="0" w:color="auto"/>
      </w:divBdr>
    </w:div>
    <w:div w:id="398940869">
      <w:bodyDiv w:val="1"/>
      <w:marLeft w:val="0"/>
      <w:marRight w:val="0"/>
      <w:marTop w:val="0"/>
      <w:marBottom w:val="0"/>
      <w:divBdr>
        <w:top w:val="none" w:sz="0" w:space="0" w:color="auto"/>
        <w:left w:val="none" w:sz="0" w:space="0" w:color="auto"/>
        <w:bottom w:val="none" w:sz="0" w:space="0" w:color="auto"/>
        <w:right w:val="none" w:sz="0" w:space="0" w:color="auto"/>
      </w:divBdr>
    </w:div>
    <w:div w:id="399639709">
      <w:bodyDiv w:val="1"/>
      <w:marLeft w:val="0"/>
      <w:marRight w:val="0"/>
      <w:marTop w:val="0"/>
      <w:marBottom w:val="0"/>
      <w:divBdr>
        <w:top w:val="none" w:sz="0" w:space="0" w:color="auto"/>
        <w:left w:val="none" w:sz="0" w:space="0" w:color="auto"/>
        <w:bottom w:val="none" w:sz="0" w:space="0" w:color="auto"/>
        <w:right w:val="none" w:sz="0" w:space="0" w:color="auto"/>
      </w:divBdr>
    </w:div>
    <w:div w:id="400561160">
      <w:bodyDiv w:val="1"/>
      <w:marLeft w:val="0"/>
      <w:marRight w:val="0"/>
      <w:marTop w:val="0"/>
      <w:marBottom w:val="0"/>
      <w:divBdr>
        <w:top w:val="none" w:sz="0" w:space="0" w:color="auto"/>
        <w:left w:val="none" w:sz="0" w:space="0" w:color="auto"/>
        <w:bottom w:val="none" w:sz="0" w:space="0" w:color="auto"/>
        <w:right w:val="none" w:sz="0" w:space="0" w:color="auto"/>
      </w:divBdr>
    </w:div>
    <w:div w:id="402721606">
      <w:bodyDiv w:val="1"/>
      <w:marLeft w:val="0"/>
      <w:marRight w:val="0"/>
      <w:marTop w:val="0"/>
      <w:marBottom w:val="0"/>
      <w:divBdr>
        <w:top w:val="none" w:sz="0" w:space="0" w:color="auto"/>
        <w:left w:val="none" w:sz="0" w:space="0" w:color="auto"/>
        <w:bottom w:val="none" w:sz="0" w:space="0" w:color="auto"/>
        <w:right w:val="none" w:sz="0" w:space="0" w:color="auto"/>
      </w:divBdr>
    </w:div>
    <w:div w:id="404106732">
      <w:bodyDiv w:val="1"/>
      <w:marLeft w:val="0"/>
      <w:marRight w:val="0"/>
      <w:marTop w:val="0"/>
      <w:marBottom w:val="0"/>
      <w:divBdr>
        <w:top w:val="none" w:sz="0" w:space="0" w:color="auto"/>
        <w:left w:val="none" w:sz="0" w:space="0" w:color="auto"/>
        <w:bottom w:val="none" w:sz="0" w:space="0" w:color="auto"/>
        <w:right w:val="none" w:sz="0" w:space="0" w:color="auto"/>
      </w:divBdr>
    </w:div>
    <w:div w:id="404422851">
      <w:bodyDiv w:val="1"/>
      <w:marLeft w:val="0"/>
      <w:marRight w:val="0"/>
      <w:marTop w:val="0"/>
      <w:marBottom w:val="0"/>
      <w:divBdr>
        <w:top w:val="none" w:sz="0" w:space="0" w:color="auto"/>
        <w:left w:val="none" w:sz="0" w:space="0" w:color="auto"/>
        <w:bottom w:val="none" w:sz="0" w:space="0" w:color="auto"/>
        <w:right w:val="none" w:sz="0" w:space="0" w:color="auto"/>
      </w:divBdr>
    </w:div>
    <w:div w:id="404651544">
      <w:bodyDiv w:val="1"/>
      <w:marLeft w:val="0"/>
      <w:marRight w:val="0"/>
      <w:marTop w:val="0"/>
      <w:marBottom w:val="0"/>
      <w:divBdr>
        <w:top w:val="none" w:sz="0" w:space="0" w:color="auto"/>
        <w:left w:val="none" w:sz="0" w:space="0" w:color="auto"/>
        <w:bottom w:val="none" w:sz="0" w:space="0" w:color="auto"/>
        <w:right w:val="none" w:sz="0" w:space="0" w:color="auto"/>
      </w:divBdr>
    </w:div>
    <w:div w:id="406076056">
      <w:bodyDiv w:val="1"/>
      <w:marLeft w:val="0"/>
      <w:marRight w:val="0"/>
      <w:marTop w:val="0"/>
      <w:marBottom w:val="0"/>
      <w:divBdr>
        <w:top w:val="none" w:sz="0" w:space="0" w:color="auto"/>
        <w:left w:val="none" w:sz="0" w:space="0" w:color="auto"/>
        <w:bottom w:val="none" w:sz="0" w:space="0" w:color="auto"/>
        <w:right w:val="none" w:sz="0" w:space="0" w:color="auto"/>
      </w:divBdr>
    </w:div>
    <w:div w:id="406611261">
      <w:bodyDiv w:val="1"/>
      <w:marLeft w:val="0"/>
      <w:marRight w:val="0"/>
      <w:marTop w:val="0"/>
      <w:marBottom w:val="0"/>
      <w:divBdr>
        <w:top w:val="none" w:sz="0" w:space="0" w:color="auto"/>
        <w:left w:val="none" w:sz="0" w:space="0" w:color="auto"/>
        <w:bottom w:val="none" w:sz="0" w:space="0" w:color="auto"/>
        <w:right w:val="none" w:sz="0" w:space="0" w:color="auto"/>
      </w:divBdr>
    </w:div>
    <w:div w:id="407532708">
      <w:bodyDiv w:val="1"/>
      <w:marLeft w:val="0"/>
      <w:marRight w:val="0"/>
      <w:marTop w:val="0"/>
      <w:marBottom w:val="0"/>
      <w:divBdr>
        <w:top w:val="none" w:sz="0" w:space="0" w:color="auto"/>
        <w:left w:val="none" w:sz="0" w:space="0" w:color="auto"/>
        <w:bottom w:val="none" w:sz="0" w:space="0" w:color="auto"/>
        <w:right w:val="none" w:sz="0" w:space="0" w:color="auto"/>
      </w:divBdr>
    </w:div>
    <w:div w:id="407847477">
      <w:bodyDiv w:val="1"/>
      <w:marLeft w:val="0"/>
      <w:marRight w:val="0"/>
      <w:marTop w:val="0"/>
      <w:marBottom w:val="0"/>
      <w:divBdr>
        <w:top w:val="none" w:sz="0" w:space="0" w:color="auto"/>
        <w:left w:val="none" w:sz="0" w:space="0" w:color="auto"/>
        <w:bottom w:val="none" w:sz="0" w:space="0" w:color="auto"/>
        <w:right w:val="none" w:sz="0" w:space="0" w:color="auto"/>
      </w:divBdr>
    </w:div>
    <w:div w:id="410154736">
      <w:bodyDiv w:val="1"/>
      <w:marLeft w:val="0"/>
      <w:marRight w:val="0"/>
      <w:marTop w:val="0"/>
      <w:marBottom w:val="0"/>
      <w:divBdr>
        <w:top w:val="none" w:sz="0" w:space="0" w:color="auto"/>
        <w:left w:val="none" w:sz="0" w:space="0" w:color="auto"/>
        <w:bottom w:val="none" w:sz="0" w:space="0" w:color="auto"/>
        <w:right w:val="none" w:sz="0" w:space="0" w:color="auto"/>
      </w:divBdr>
    </w:div>
    <w:div w:id="411195335">
      <w:bodyDiv w:val="1"/>
      <w:marLeft w:val="0"/>
      <w:marRight w:val="0"/>
      <w:marTop w:val="0"/>
      <w:marBottom w:val="0"/>
      <w:divBdr>
        <w:top w:val="none" w:sz="0" w:space="0" w:color="auto"/>
        <w:left w:val="none" w:sz="0" w:space="0" w:color="auto"/>
        <w:bottom w:val="none" w:sz="0" w:space="0" w:color="auto"/>
        <w:right w:val="none" w:sz="0" w:space="0" w:color="auto"/>
      </w:divBdr>
    </w:div>
    <w:div w:id="412315635">
      <w:bodyDiv w:val="1"/>
      <w:marLeft w:val="0"/>
      <w:marRight w:val="0"/>
      <w:marTop w:val="0"/>
      <w:marBottom w:val="0"/>
      <w:divBdr>
        <w:top w:val="none" w:sz="0" w:space="0" w:color="auto"/>
        <w:left w:val="none" w:sz="0" w:space="0" w:color="auto"/>
        <w:bottom w:val="none" w:sz="0" w:space="0" w:color="auto"/>
        <w:right w:val="none" w:sz="0" w:space="0" w:color="auto"/>
      </w:divBdr>
    </w:div>
    <w:div w:id="412355858">
      <w:bodyDiv w:val="1"/>
      <w:marLeft w:val="0"/>
      <w:marRight w:val="0"/>
      <w:marTop w:val="0"/>
      <w:marBottom w:val="0"/>
      <w:divBdr>
        <w:top w:val="none" w:sz="0" w:space="0" w:color="auto"/>
        <w:left w:val="none" w:sz="0" w:space="0" w:color="auto"/>
        <w:bottom w:val="none" w:sz="0" w:space="0" w:color="auto"/>
        <w:right w:val="none" w:sz="0" w:space="0" w:color="auto"/>
      </w:divBdr>
    </w:div>
    <w:div w:id="413280405">
      <w:bodyDiv w:val="1"/>
      <w:marLeft w:val="0"/>
      <w:marRight w:val="0"/>
      <w:marTop w:val="0"/>
      <w:marBottom w:val="0"/>
      <w:divBdr>
        <w:top w:val="none" w:sz="0" w:space="0" w:color="auto"/>
        <w:left w:val="none" w:sz="0" w:space="0" w:color="auto"/>
        <w:bottom w:val="none" w:sz="0" w:space="0" w:color="auto"/>
        <w:right w:val="none" w:sz="0" w:space="0" w:color="auto"/>
      </w:divBdr>
    </w:div>
    <w:div w:id="413361041">
      <w:bodyDiv w:val="1"/>
      <w:marLeft w:val="0"/>
      <w:marRight w:val="0"/>
      <w:marTop w:val="0"/>
      <w:marBottom w:val="0"/>
      <w:divBdr>
        <w:top w:val="none" w:sz="0" w:space="0" w:color="auto"/>
        <w:left w:val="none" w:sz="0" w:space="0" w:color="auto"/>
        <w:bottom w:val="none" w:sz="0" w:space="0" w:color="auto"/>
        <w:right w:val="none" w:sz="0" w:space="0" w:color="auto"/>
      </w:divBdr>
    </w:div>
    <w:div w:id="413473030">
      <w:bodyDiv w:val="1"/>
      <w:marLeft w:val="0"/>
      <w:marRight w:val="0"/>
      <w:marTop w:val="0"/>
      <w:marBottom w:val="0"/>
      <w:divBdr>
        <w:top w:val="none" w:sz="0" w:space="0" w:color="auto"/>
        <w:left w:val="none" w:sz="0" w:space="0" w:color="auto"/>
        <w:bottom w:val="none" w:sz="0" w:space="0" w:color="auto"/>
        <w:right w:val="none" w:sz="0" w:space="0" w:color="auto"/>
      </w:divBdr>
    </w:div>
    <w:div w:id="413670471">
      <w:bodyDiv w:val="1"/>
      <w:marLeft w:val="0"/>
      <w:marRight w:val="0"/>
      <w:marTop w:val="0"/>
      <w:marBottom w:val="0"/>
      <w:divBdr>
        <w:top w:val="none" w:sz="0" w:space="0" w:color="auto"/>
        <w:left w:val="none" w:sz="0" w:space="0" w:color="auto"/>
        <w:bottom w:val="none" w:sz="0" w:space="0" w:color="auto"/>
        <w:right w:val="none" w:sz="0" w:space="0" w:color="auto"/>
      </w:divBdr>
    </w:div>
    <w:div w:id="416289111">
      <w:bodyDiv w:val="1"/>
      <w:marLeft w:val="0"/>
      <w:marRight w:val="0"/>
      <w:marTop w:val="0"/>
      <w:marBottom w:val="0"/>
      <w:divBdr>
        <w:top w:val="none" w:sz="0" w:space="0" w:color="auto"/>
        <w:left w:val="none" w:sz="0" w:space="0" w:color="auto"/>
        <w:bottom w:val="none" w:sz="0" w:space="0" w:color="auto"/>
        <w:right w:val="none" w:sz="0" w:space="0" w:color="auto"/>
      </w:divBdr>
    </w:div>
    <w:div w:id="417334989">
      <w:bodyDiv w:val="1"/>
      <w:marLeft w:val="0"/>
      <w:marRight w:val="0"/>
      <w:marTop w:val="0"/>
      <w:marBottom w:val="0"/>
      <w:divBdr>
        <w:top w:val="none" w:sz="0" w:space="0" w:color="auto"/>
        <w:left w:val="none" w:sz="0" w:space="0" w:color="auto"/>
        <w:bottom w:val="none" w:sz="0" w:space="0" w:color="auto"/>
        <w:right w:val="none" w:sz="0" w:space="0" w:color="auto"/>
      </w:divBdr>
    </w:div>
    <w:div w:id="417870590">
      <w:bodyDiv w:val="1"/>
      <w:marLeft w:val="0"/>
      <w:marRight w:val="0"/>
      <w:marTop w:val="0"/>
      <w:marBottom w:val="0"/>
      <w:divBdr>
        <w:top w:val="none" w:sz="0" w:space="0" w:color="auto"/>
        <w:left w:val="none" w:sz="0" w:space="0" w:color="auto"/>
        <w:bottom w:val="none" w:sz="0" w:space="0" w:color="auto"/>
        <w:right w:val="none" w:sz="0" w:space="0" w:color="auto"/>
      </w:divBdr>
    </w:div>
    <w:div w:id="418672373">
      <w:bodyDiv w:val="1"/>
      <w:marLeft w:val="0"/>
      <w:marRight w:val="0"/>
      <w:marTop w:val="0"/>
      <w:marBottom w:val="0"/>
      <w:divBdr>
        <w:top w:val="none" w:sz="0" w:space="0" w:color="auto"/>
        <w:left w:val="none" w:sz="0" w:space="0" w:color="auto"/>
        <w:bottom w:val="none" w:sz="0" w:space="0" w:color="auto"/>
        <w:right w:val="none" w:sz="0" w:space="0" w:color="auto"/>
      </w:divBdr>
    </w:div>
    <w:div w:id="420445243">
      <w:bodyDiv w:val="1"/>
      <w:marLeft w:val="0"/>
      <w:marRight w:val="0"/>
      <w:marTop w:val="0"/>
      <w:marBottom w:val="0"/>
      <w:divBdr>
        <w:top w:val="none" w:sz="0" w:space="0" w:color="auto"/>
        <w:left w:val="none" w:sz="0" w:space="0" w:color="auto"/>
        <w:bottom w:val="none" w:sz="0" w:space="0" w:color="auto"/>
        <w:right w:val="none" w:sz="0" w:space="0" w:color="auto"/>
      </w:divBdr>
    </w:div>
    <w:div w:id="420563598">
      <w:bodyDiv w:val="1"/>
      <w:marLeft w:val="0"/>
      <w:marRight w:val="0"/>
      <w:marTop w:val="0"/>
      <w:marBottom w:val="0"/>
      <w:divBdr>
        <w:top w:val="none" w:sz="0" w:space="0" w:color="auto"/>
        <w:left w:val="none" w:sz="0" w:space="0" w:color="auto"/>
        <w:bottom w:val="none" w:sz="0" w:space="0" w:color="auto"/>
        <w:right w:val="none" w:sz="0" w:space="0" w:color="auto"/>
      </w:divBdr>
    </w:div>
    <w:div w:id="421874436">
      <w:bodyDiv w:val="1"/>
      <w:marLeft w:val="0"/>
      <w:marRight w:val="0"/>
      <w:marTop w:val="0"/>
      <w:marBottom w:val="0"/>
      <w:divBdr>
        <w:top w:val="none" w:sz="0" w:space="0" w:color="auto"/>
        <w:left w:val="none" w:sz="0" w:space="0" w:color="auto"/>
        <w:bottom w:val="none" w:sz="0" w:space="0" w:color="auto"/>
        <w:right w:val="none" w:sz="0" w:space="0" w:color="auto"/>
      </w:divBdr>
    </w:div>
    <w:div w:id="421882000">
      <w:bodyDiv w:val="1"/>
      <w:marLeft w:val="0"/>
      <w:marRight w:val="0"/>
      <w:marTop w:val="0"/>
      <w:marBottom w:val="0"/>
      <w:divBdr>
        <w:top w:val="none" w:sz="0" w:space="0" w:color="auto"/>
        <w:left w:val="none" w:sz="0" w:space="0" w:color="auto"/>
        <w:bottom w:val="none" w:sz="0" w:space="0" w:color="auto"/>
        <w:right w:val="none" w:sz="0" w:space="0" w:color="auto"/>
      </w:divBdr>
    </w:div>
    <w:div w:id="421882178">
      <w:bodyDiv w:val="1"/>
      <w:marLeft w:val="0"/>
      <w:marRight w:val="0"/>
      <w:marTop w:val="0"/>
      <w:marBottom w:val="0"/>
      <w:divBdr>
        <w:top w:val="none" w:sz="0" w:space="0" w:color="auto"/>
        <w:left w:val="none" w:sz="0" w:space="0" w:color="auto"/>
        <w:bottom w:val="none" w:sz="0" w:space="0" w:color="auto"/>
        <w:right w:val="none" w:sz="0" w:space="0" w:color="auto"/>
      </w:divBdr>
    </w:div>
    <w:div w:id="422192750">
      <w:bodyDiv w:val="1"/>
      <w:marLeft w:val="0"/>
      <w:marRight w:val="0"/>
      <w:marTop w:val="0"/>
      <w:marBottom w:val="0"/>
      <w:divBdr>
        <w:top w:val="none" w:sz="0" w:space="0" w:color="auto"/>
        <w:left w:val="none" w:sz="0" w:space="0" w:color="auto"/>
        <w:bottom w:val="none" w:sz="0" w:space="0" w:color="auto"/>
        <w:right w:val="none" w:sz="0" w:space="0" w:color="auto"/>
      </w:divBdr>
    </w:div>
    <w:div w:id="422262895">
      <w:bodyDiv w:val="1"/>
      <w:marLeft w:val="0"/>
      <w:marRight w:val="0"/>
      <w:marTop w:val="0"/>
      <w:marBottom w:val="0"/>
      <w:divBdr>
        <w:top w:val="none" w:sz="0" w:space="0" w:color="auto"/>
        <w:left w:val="none" w:sz="0" w:space="0" w:color="auto"/>
        <w:bottom w:val="none" w:sz="0" w:space="0" w:color="auto"/>
        <w:right w:val="none" w:sz="0" w:space="0" w:color="auto"/>
      </w:divBdr>
    </w:div>
    <w:div w:id="422919490">
      <w:bodyDiv w:val="1"/>
      <w:marLeft w:val="0"/>
      <w:marRight w:val="0"/>
      <w:marTop w:val="0"/>
      <w:marBottom w:val="0"/>
      <w:divBdr>
        <w:top w:val="none" w:sz="0" w:space="0" w:color="auto"/>
        <w:left w:val="none" w:sz="0" w:space="0" w:color="auto"/>
        <w:bottom w:val="none" w:sz="0" w:space="0" w:color="auto"/>
        <w:right w:val="none" w:sz="0" w:space="0" w:color="auto"/>
      </w:divBdr>
    </w:div>
    <w:div w:id="423654006">
      <w:bodyDiv w:val="1"/>
      <w:marLeft w:val="0"/>
      <w:marRight w:val="0"/>
      <w:marTop w:val="0"/>
      <w:marBottom w:val="0"/>
      <w:divBdr>
        <w:top w:val="none" w:sz="0" w:space="0" w:color="auto"/>
        <w:left w:val="none" w:sz="0" w:space="0" w:color="auto"/>
        <w:bottom w:val="none" w:sz="0" w:space="0" w:color="auto"/>
        <w:right w:val="none" w:sz="0" w:space="0" w:color="auto"/>
      </w:divBdr>
    </w:div>
    <w:div w:id="423694543">
      <w:bodyDiv w:val="1"/>
      <w:marLeft w:val="0"/>
      <w:marRight w:val="0"/>
      <w:marTop w:val="0"/>
      <w:marBottom w:val="0"/>
      <w:divBdr>
        <w:top w:val="none" w:sz="0" w:space="0" w:color="auto"/>
        <w:left w:val="none" w:sz="0" w:space="0" w:color="auto"/>
        <w:bottom w:val="none" w:sz="0" w:space="0" w:color="auto"/>
        <w:right w:val="none" w:sz="0" w:space="0" w:color="auto"/>
      </w:divBdr>
    </w:div>
    <w:div w:id="424037810">
      <w:bodyDiv w:val="1"/>
      <w:marLeft w:val="0"/>
      <w:marRight w:val="0"/>
      <w:marTop w:val="0"/>
      <w:marBottom w:val="0"/>
      <w:divBdr>
        <w:top w:val="none" w:sz="0" w:space="0" w:color="auto"/>
        <w:left w:val="none" w:sz="0" w:space="0" w:color="auto"/>
        <w:bottom w:val="none" w:sz="0" w:space="0" w:color="auto"/>
        <w:right w:val="none" w:sz="0" w:space="0" w:color="auto"/>
      </w:divBdr>
    </w:div>
    <w:div w:id="424110149">
      <w:bodyDiv w:val="1"/>
      <w:marLeft w:val="0"/>
      <w:marRight w:val="0"/>
      <w:marTop w:val="0"/>
      <w:marBottom w:val="0"/>
      <w:divBdr>
        <w:top w:val="none" w:sz="0" w:space="0" w:color="auto"/>
        <w:left w:val="none" w:sz="0" w:space="0" w:color="auto"/>
        <w:bottom w:val="none" w:sz="0" w:space="0" w:color="auto"/>
        <w:right w:val="none" w:sz="0" w:space="0" w:color="auto"/>
      </w:divBdr>
    </w:div>
    <w:div w:id="425151069">
      <w:bodyDiv w:val="1"/>
      <w:marLeft w:val="0"/>
      <w:marRight w:val="0"/>
      <w:marTop w:val="0"/>
      <w:marBottom w:val="0"/>
      <w:divBdr>
        <w:top w:val="none" w:sz="0" w:space="0" w:color="auto"/>
        <w:left w:val="none" w:sz="0" w:space="0" w:color="auto"/>
        <w:bottom w:val="none" w:sz="0" w:space="0" w:color="auto"/>
        <w:right w:val="none" w:sz="0" w:space="0" w:color="auto"/>
      </w:divBdr>
    </w:div>
    <w:div w:id="425855957">
      <w:bodyDiv w:val="1"/>
      <w:marLeft w:val="0"/>
      <w:marRight w:val="0"/>
      <w:marTop w:val="0"/>
      <w:marBottom w:val="0"/>
      <w:divBdr>
        <w:top w:val="none" w:sz="0" w:space="0" w:color="auto"/>
        <w:left w:val="none" w:sz="0" w:space="0" w:color="auto"/>
        <w:bottom w:val="none" w:sz="0" w:space="0" w:color="auto"/>
        <w:right w:val="none" w:sz="0" w:space="0" w:color="auto"/>
      </w:divBdr>
    </w:div>
    <w:div w:id="426123250">
      <w:bodyDiv w:val="1"/>
      <w:marLeft w:val="0"/>
      <w:marRight w:val="0"/>
      <w:marTop w:val="0"/>
      <w:marBottom w:val="0"/>
      <w:divBdr>
        <w:top w:val="none" w:sz="0" w:space="0" w:color="auto"/>
        <w:left w:val="none" w:sz="0" w:space="0" w:color="auto"/>
        <w:bottom w:val="none" w:sz="0" w:space="0" w:color="auto"/>
        <w:right w:val="none" w:sz="0" w:space="0" w:color="auto"/>
      </w:divBdr>
    </w:div>
    <w:div w:id="426734386">
      <w:bodyDiv w:val="1"/>
      <w:marLeft w:val="0"/>
      <w:marRight w:val="0"/>
      <w:marTop w:val="0"/>
      <w:marBottom w:val="0"/>
      <w:divBdr>
        <w:top w:val="none" w:sz="0" w:space="0" w:color="auto"/>
        <w:left w:val="none" w:sz="0" w:space="0" w:color="auto"/>
        <w:bottom w:val="none" w:sz="0" w:space="0" w:color="auto"/>
        <w:right w:val="none" w:sz="0" w:space="0" w:color="auto"/>
      </w:divBdr>
    </w:div>
    <w:div w:id="427120113">
      <w:bodyDiv w:val="1"/>
      <w:marLeft w:val="0"/>
      <w:marRight w:val="0"/>
      <w:marTop w:val="0"/>
      <w:marBottom w:val="0"/>
      <w:divBdr>
        <w:top w:val="none" w:sz="0" w:space="0" w:color="auto"/>
        <w:left w:val="none" w:sz="0" w:space="0" w:color="auto"/>
        <w:bottom w:val="none" w:sz="0" w:space="0" w:color="auto"/>
        <w:right w:val="none" w:sz="0" w:space="0" w:color="auto"/>
      </w:divBdr>
    </w:div>
    <w:div w:id="427434372">
      <w:bodyDiv w:val="1"/>
      <w:marLeft w:val="0"/>
      <w:marRight w:val="0"/>
      <w:marTop w:val="0"/>
      <w:marBottom w:val="0"/>
      <w:divBdr>
        <w:top w:val="none" w:sz="0" w:space="0" w:color="auto"/>
        <w:left w:val="none" w:sz="0" w:space="0" w:color="auto"/>
        <w:bottom w:val="none" w:sz="0" w:space="0" w:color="auto"/>
        <w:right w:val="none" w:sz="0" w:space="0" w:color="auto"/>
      </w:divBdr>
    </w:div>
    <w:div w:id="429737441">
      <w:bodyDiv w:val="1"/>
      <w:marLeft w:val="0"/>
      <w:marRight w:val="0"/>
      <w:marTop w:val="0"/>
      <w:marBottom w:val="0"/>
      <w:divBdr>
        <w:top w:val="none" w:sz="0" w:space="0" w:color="auto"/>
        <w:left w:val="none" w:sz="0" w:space="0" w:color="auto"/>
        <w:bottom w:val="none" w:sz="0" w:space="0" w:color="auto"/>
        <w:right w:val="none" w:sz="0" w:space="0" w:color="auto"/>
      </w:divBdr>
    </w:div>
    <w:div w:id="430128501">
      <w:bodyDiv w:val="1"/>
      <w:marLeft w:val="0"/>
      <w:marRight w:val="0"/>
      <w:marTop w:val="0"/>
      <w:marBottom w:val="0"/>
      <w:divBdr>
        <w:top w:val="none" w:sz="0" w:space="0" w:color="auto"/>
        <w:left w:val="none" w:sz="0" w:space="0" w:color="auto"/>
        <w:bottom w:val="none" w:sz="0" w:space="0" w:color="auto"/>
        <w:right w:val="none" w:sz="0" w:space="0" w:color="auto"/>
      </w:divBdr>
    </w:div>
    <w:div w:id="431361884">
      <w:bodyDiv w:val="1"/>
      <w:marLeft w:val="0"/>
      <w:marRight w:val="0"/>
      <w:marTop w:val="0"/>
      <w:marBottom w:val="0"/>
      <w:divBdr>
        <w:top w:val="none" w:sz="0" w:space="0" w:color="auto"/>
        <w:left w:val="none" w:sz="0" w:space="0" w:color="auto"/>
        <w:bottom w:val="none" w:sz="0" w:space="0" w:color="auto"/>
        <w:right w:val="none" w:sz="0" w:space="0" w:color="auto"/>
      </w:divBdr>
    </w:div>
    <w:div w:id="431441358">
      <w:bodyDiv w:val="1"/>
      <w:marLeft w:val="0"/>
      <w:marRight w:val="0"/>
      <w:marTop w:val="0"/>
      <w:marBottom w:val="0"/>
      <w:divBdr>
        <w:top w:val="none" w:sz="0" w:space="0" w:color="auto"/>
        <w:left w:val="none" w:sz="0" w:space="0" w:color="auto"/>
        <w:bottom w:val="none" w:sz="0" w:space="0" w:color="auto"/>
        <w:right w:val="none" w:sz="0" w:space="0" w:color="auto"/>
      </w:divBdr>
    </w:div>
    <w:div w:id="431702117">
      <w:bodyDiv w:val="1"/>
      <w:marLeft w:val="0"/>
      <w:marRight w:val="0"/>
      <w:marTop w:val="0"/>
      <w:marBottom w:val="0"/>
      <w:divBdr>
        <w:top w:val="none" w:sz="0" w:space="0" w:color="auto"/>
        <w:left w:val="none" w:sz="0" w:space="0" w:color="auto"/>
        <w:bottom w:val="none" w:sz="0" w:space="0" w:color="auto"/>
        <w:right w:val="none" w:sz="0" w:space="0" w:color="auto"/>
      </w:divBdr>
    </w:div>
    <w:div w:id="433786038">
      <w:bodyDiv w:val="1"/>
      <w:marLeft w:val="0"/>
      <w:marRight w:val="0"/>
      <w:marTop w:val="0"/>
      <w:marBottom w:val="0"/>
      <w:divBdr>
        <w:top w:val="none" w:sz="0" w:space="0" w:color="auto"/>
        <w:left w:val="none" w:sz="0" w:space="0" w:color="auto"/>
        <w:bottom w:val="none" w:sz="0" w:space="0" w:color="auto"/>
        <w:right w:val="none" w:sz="0" w:space="0" w:color="auto"/>
      </w:divBdr>
    </w:div>
    <w:div w:id="434177525">
      <w:bodyDiv w:val="1"/>
      <w:marLeft w:val="0"/>
      <w:marRight w:val="0"/>
      <w:marTop w:val="0"/>
      <w:marBottom w:val="0"/>
      <w:divBdr>
        <w:top w:val="none" w:sz="0" w:space="0" w:color="auto"/>
        <w:left w:val="none" w:sz="0" w:space="0" w:color="auto"/>
        <w:bottom w:val="none" w:sz="0" w:space="0" w:color="auto"/>
        <w:right w:val="none" w:sz="0" w:space="0" w:color="auto"/>
      </w:divBdr>
    </w:div>
    <w:div w:id="434374645">
      <w:bodyDiv w:val="1"/>
      <w:marLeft w:val="0"/>
      <w:marRight w:val="0"/>
      <w:marTop w:val="0"/>
      <w:marBottom w:val="0"/>
      <w:divBdr>
        <w:top w:val="none" w:sz="0" w:space="0" w:color="auto"/>
        <w:left w:val="none" w:sz="0" w:space="0" w:color="auto"/>
        <w:bottom w:val="none" w:sz="0" w:space="0" w:color="auto"/>
        <w:right w:val="none" w:sz="0" w:space="0" w:color="auto"/>
      </w:divBdr>
    </w:div>
    <w:div w:id="434440978">
      <w:bodyDiv w:val="1"/>
      <w:marLeft w:val="0"/>
      <w:marRight w:val="0"/>
      <w:marTop w:val="0"/>
      <w:marBottom w:val="0"/>
      <w:divBdr>
        <w:top w:val="none" w:sz="0" w:space="0" w:color="auto"/>
        <w:left w:val="none" w:sz="0" w:space="0" w:color="auto"/>
        <w:bottom w:val="none" w:sz="0" w:space="0" w:color="auto"/>
        <w:right w:val="none" w:sz="0" w:space="0" w:color="auto"/>
      </w:divBdr>
    </w:div>
    <w:div w:id="435829014">
      <w:bodyDiv w:val="1"/>
      <w:marLeft w:val="0"/>
      <w:marRight w:val="0"/>
      <w:marTop w:val="0"/>
      <w:marBottom w:val="0"/>
      <w:divBdr>
        <w:top w:val="none" w:sz="0" w:space="0" w:color="auto"/>
        <w:left w:val="none" w:sz="0" w:space="0" w:color="auto"/>
        <w:bottom w:val="none" w:sz="0" w:space="0" w:color="auto"/>
        <w:right w:val="none" w:sz="0" w:space="0" w:color="auto"/>
      </w:divBdr>
    </w:div>
    <w:div w:id="435951583">
      <w:bodyDiv w:val="1"/>
      <w:marLeft w:val="0"/>
      <w:marRight w:val="0"/>
      <w:marTop w:val="0"/>
      <w:marBottom w:val="0"/>
      <w:divBdr>
        <w:top w:val="none" w:sz="0" w:space="0" w:color="auto"/>
        <w:left w:val="none" w:sz="0" w:space="0" w:color="auto"/>
        <w:bottom w:val="none" w:sz="0" w:space="0" w:color="auto"/>
        <w:right w:val="none" w:sz="0" w:space="0" w:color="auto"/>
      </w:divBdr>
    </w:div>
    <w:div w:id="437140176">
      <w:bodyDiv w:val="1"/>
      <w:marLeft w:val="0"/>
      <w:marRight w:val="0"/>
      <w:marTop w:val="0"/>
      <w:marBottom w:val="0"/>
      <w:divBdr>
        <w:top w:val="none" w:sz="0" w:space="0" w:color="auto"/>
        <w:left w:val="none" w:sz="0" w:space="0" w:color="auto"/>
        <w:bottom w:val="none" w:sz="0" w:space="0" w:color="auto"/>
        <w:right w:val="none" w:sz="0" w:space="0" w:color="auto"/>
      </w:divBdr>
    </w:div>
    <w:div w:id="437985966">
      <w:bodyDiv w:val="1"/>
      <w:marLeft w:val="0"/>
      <w:marRight w:val="0"/>
      <w:marTop w:val="0"/>
      <w:marBottom w:val="0"/>
      <w:divBdr>
        <w:top w:val="none" w:sz="0" w:space="0" w:color="auto"/>
        <w:left w:val="none" w:sz="0" w:space="0" w:color="auto"/>
        <w:bottom w:val="none" w:sz="0" w:space="0" w:color="auto"/>
        <w:right w:val="none" w:sz="0" w:space="0" w:color="auto"/>
      </w:divBdr>
    </w:div>
    <w:div w:id="438379806">
      <w:bodyDiv w:val="1"/>
      <w:marLeft w:val="0"/>
      <w:marRight w:val="0"/>
      <w:marTop w:val="0"/>
      <w:marBottom w:val="0"/>
      <w:divBdr>
        <w:top w:val="none" w:sz="0" w:space="0" w:color="auto"/>
        <w:left w:val="none" w:sz="0" w:space="0" w:color="auto"/>
        <w:bottom w:val="none" w:sz="0" w:space="0" w:color="auto"/>
        <w:right w:val="none" w:sz="0" w:space="0" w:color="auto"/>
      </w:divBdr>
    </w:div>
    <w:div w:id="438570511">
      <w:bodyDiv w:val="1"/>
      <w:marLeft w:val="0"/>
      <w:marRight w:val="0"/>
      <w:marTop w:val="0"/>
      <w:marBottom w:val="0"/>
      <w:divBdr>
        <w:top w:val="none" w:sz="0" w:space="0" w:color="auto"/>
        <w:left w:val="none" w:sz="0" w:space="0" w:color="auto"/>
        <w:bottom w:val="none" w:sz="0" w:space="0" w:color="auto"/>
        <w:right w:val="none" w:sz="0" w:space="0" w:color="auto"/>
      </w:divBdr>
    </w:div>
    <w:div w:id="439030630">
      <w:bodyDiv w:val="1"/>
      <w:marLeft w:val="0"/>
      <w:marRight w:val="0"/>
      <w:marTop w:val="0"/>
      <w:marBottom w:val="0"/>
      <w:divBdr>
        <w:top w:val="none" w:sz="0" w:space="0" w:color="auto"/>
        <w:left w:val="none" w:sz="0" w:space="0" w:color="auto"/>
        <w:bottom w:val="none" w:sz="0" w:space="0" w:color="auto"/>
        <w:right w:val="none" w:sz="0" w:space="0" w:color="auto"/>
      </w:divBdr>
    </w:div>
    <w:div w:id="440030058">
      <w:bodyDiv w:val="1"/>
      <w:marLeft w:val="0"/>
      <w:marRight w:val="0"/>
      <w:marTop w:val="0"/>
      <w:marBottom w:val="0"/>
      <w:divBdr>
        <w:top w:val="none" w:sz="0" w:space="0" w:color="auto"/>
        <w:left w:val="none" w:sz="0" w:space="0" w:color="auto"/>
        <w:bottom w:val="none" w:sz="0" w:space="0" w:color="auto"/>
        <w:right w:val="none" w:sz="0" w:space="0" w:color="auto"/>
      </w:divBdr>
    </w:div>
    <w:div w:id="440030742">
      <w:bodyDiv w:val="1"/>
      <w:marLeft w:val="0"/>
      <w:marRight w:val="0"/>
      <w:marTop w:val="0"/>
      <w:marBottom w:val="0"/>
      <w:divBdr>
        <w:top w:val="none" w:sz="0" w:space="0" w:color="auto"/>
        <w:left w:val="none" w:sz="0" w:space="0" w:color="auto"/>
        <w:bottom w:val="none" w:sz="0" w:space="0" w:color="auto"/>
        <w:right w:val="none" w:sz="0" w:space="0" w:color="auto"/>
      </w:divBdr>
    </w:div>
    <w:div w:id="440417129">
      <w:bodyDiv w:val="1"/>
      <w:marLeft w:val="0"/>
      <w:marRight w:val="0"/>
      <w:marTop w:val="0"/>
      <w:marBottom w:val="0"/>
      <w:divBdr>
        <w:top w:val="none" w:sz="0" w:space="0" w:color="auto"/>
        <w:left w:val="none" w:sz="0" w:space="0" w:color="auto"/>
        <w:bottom w:val="none" w:sz="0" w:space="0" w:color="auto"/>
        <w:right w:val="none" w:sz="0" w:space="0" w:color="auto"/>
      </w:divBdr>
    </w:div>
    <w:div w:id="440761986">
      <w:bodyDiv w:val="1"/>
      <w:marLeft w:val="0"/>
      <w:marRight w:val="0"/>
      <w:marTop w:val="0"/>
      <w:marBottom w:val="0"/>
      <w:divBdr>
        <w:top w:val="none" w:sz="0" w:space="0" w:color="auto"/>
        <w:left w:val="none" w:sz="0" w:space="0" w:color="auto"/>
        <w:bottom w:val="none" w:sz="0" w:space="0" w:color="auto"/>
        <w:right w:val="none" w:sz="0" w:space="0" w:color="auto"/>
      </w:divBdr>
    </w:div>
    <w:div w:id="441151509">
      <w:bodyDiv w:val="1"/>
      <w:marLeft w:val="0"/>
      <w:marRight w:val="0"/>
      <w:marTop w:val="0"/>
      <w:marBottom w:val="0"/>
      <w:divBdr>
        <w:top w:val="none" w:sz="0" w:space="0" w:color="auto"/>
        <w:left w:val="none" w:sz="0" w:space="0" w:color="auto"/>
        <w:bottom w:val="none" w:sz="0" w:space="0" w:color="auto"/>
        <w:right w:val="none" w:sz="0" w:space="0" w:color="auto"/>
      </w:divBdr>
    </w:div>
    <w:div w:id="441462177">
      <w:bodyDiv w:val="1"/>
      <w:marLeft w:val="0"/>
      <w:marRight w:val="0"/>
      <w:marTop w:val="0"/>
      <w:marBottom w:val="0"/>
      <w:divBdr>
        <w:top w:val="none" w:sz="0" w:space="0" w:color="auto"/>
        <w:left w:val="none" w:sz="0" w:space="0" w:color="auto"/>
        <w:bottom w:val="none" w:sz="0" w:space="0" w:color="auto"/>
        <w:right w:val="none" w:sz="0" w:space="0" w:color="auto"/>
      </w:divBdr>
    </w:div>
    <w:div w:id="441531060">
      <w:bodyDiv w:val="1"/>
      <w:marLeft w:val="0"/>
      <w:marRight w:val="0"/>
      <w:marTop w:val="0"/>
      <w:marBottom w:val="0"/>
      <w:divBdr>
        <w:top w:val="none" w:sz="0" w:space="0" w:color="auto"/>
        <w:left w:val="none" w:sz="0" w:space="0" w:color="auto"/>
        <w:bottom w:val="none" w:sz="0" w:space="0" w:color="auto"/>
        <w:right w:val="none" w:sz="0" w:space="0" w:color="auto"/>
      </w:divBdr>
    </w:div>
    <w:div w:id="441726800">
      <w:bodyDiv w:val="1"/>
      <w:marLeft w:val="0"/>
      <w:marRight w:val="0"/>
      <w:marTop w:val="0"/>
      <w:marBottom w:val="0"/>
      <w:divBdr>
        <w:top w:val="none" w:sz="0" w:space="0" w:color="auto"/>
        <w:left w:val="none" w:sz="0" w:space="0" w:color="auto"/>
        <w:bottom w:val="none" w:sz="0" w:space="0" w:color="auto"/>
        <w:right w:val="none" w:sz="0" w:space="0" w:color="auto"/>
      </w:divBdr>
    </w:div>
    <w:div w:id="443579578">
      <w:bodyDiv w:val="1"/>
      <w:marLeft w:val="0"/>
      <w:marRight w:val="0"/>
      <w:marTop w:val="0"/>
      <w:marBottom w:val="0"/>
      <w:divBdr>
        <w:top w:val="none" w:sz="0" w:space="0" w:color="auto"/>
        <w:left w:val="none" w:sz="0" w:space="0" w:color="auto"/>
        <w:bottom w:val="none" w:sz="0" w:space="0" w:color="auto"/>
        <w:right w:val="none" w:sz="0" w:space="0" w:color="auto"/>
      </w:divBdr>
    </w:div>
    <w:div w:id="445926212">
      <w:bodyDiv w:val="1"/>
      <w:marLeft w:val="0"/>
      <w:marRight w:val="0"/>
      <w:marTop w:val="0"/>
      <w:marBottom w:val="0"/>
      <w:divBdr>
        <w:top w:val="none" w:sz="0" w:space="0" w:color="auto"/>
        <w:left w:val="none" w:sz="0" w:space="0" w:color="auto"/>
        <w:bottom w:val="none" w:sz="0" w:space="0" w:color="auto"/>
        <w:right w:val="none" w:sz="0" w:space="0" w:color="auto"/>
      </w:divBdr>
    </w:div>
    <w:div w:id="447822999">
      <w:bodyDiv w:val="1"/>
      <w:marLeft w:val="0"/>
      <w:marRight w:val="0"/>
      <w:marTop w:val="0"/>
      <w:marBottom w:val="0"/>
      <w:divBdr>
        <w:top w:val="none" w:sz="0" w:space="0" w:color="auto"/>
        <w:left w:val="none" w:sz="0" w:space="0" w:color="auto"/>
        <w:bottom w:val="none" w:sz="0" w:space="0" w:color="auto"/>
        <w:right w:val="none" w:sz="0" w:space="0" w:color="auto"/>
      </w:divBdr>
    </w:div>
    <w:div w:id="449856322">
      <w:bodyDiv w:val="1"/>
      <w:marLeft w:val="0"/>
      <w:marRight w:val="0"/>
      <w:marTop w:val="0"/>
      <w:marBottom w:val="0"/>
      <w:divBdr>
        <w:top w:val="none" w:sz="0" w:space="0" w:color="auto"/>
        <w:left w:val="none" w:sz="0" w:space="0" w:color="auto"/>
        <w:bottom w:val="none" w:sz="0" w:space="0" w:color="auto"/>
        <w:right w:val="none" w:sz="0" w:space="0" w:color="auto"/>
      </w:divBdr>
    </w:div>
    <w:div w:id="449932692">
      <w:bodyDiv w:val="1"/>
      <w:marLeft w:val="0"/>
      <w:marRight w:val="0"/>
      <w:marTop w:val="0"/>
      <w:marBottom w:val="0"/>
      <w:divBdr>
        <w:top w:val="none" w:sz="0" w:space="0" w:color="auto"/>
        <w:left w:val="none" w:sz="0" w:space="0" w:color="auto"/>
        <w:bottom w:val="none" w:sz="0" w:space="0" w:color="auto"/>
        <w:right w:val="none" w:sz="0" w:space="0" w:color="auto"/>
      </w:divBdr>
    </w:div>
    <w:div w:id="450247104">
      <w:bodyDiv w:val="1"/>
      <w:marLeft w:val="0"/>
      <w:marRight w:val="0"/>
      <w:marTop w:val="0"/>
      <w:marBottom w:val="0"/>
      <w:divBdr>
        <w:top w:val="none" w:sz="0" w:space="0" w:color="auto"/>
        <w:left w:val="none" w:sz="0" w:space="0" w:color="auto"/>
        <w:bottom w:val="none" w:sz="0" w:space="0" w:color="auto"/>
        <w:right w:val="none" w:sz="0" w:space="0" w:color="auto"/>
      </w:divBdr>
    </w:div>
    <w:div w:id="450364880">
      <w:bodyDiv w:val="1"/>
      <w:marLeft w:val="0"/>
      <w:marRight w:val="0"/>
      <w:marTop w:val="0"/>
      <w:marBottom w:val="0"/>
      <w:divBdr>
        <w:top w:val="none" w:sz="0" w:space="0" w:color="auto"/>
        <w:left w:val="none" w:sz="0" w:space="0" w:color="auto"/>
        <w:bottom w:val="none" w:sz="0" w:space="0" w:color="auto"/>
        <w:right w:val="none" w:sz="0" w:space="0" w:color="auto"/>
      </w:divBdr>
    </w:div>
    <w:div w:id="450973965">
      <w:bodyDiv w:val="1"/>
      <w:marLeft w:val="0"/>
      <w:marRight w:val="0"/>
      <w:marTop w:val="0"/>
      <w:marBottom w:val="0"/>
      <w:divBdr>
        <w:top w:val="none" w:sz="0" w:space="0" w:color="auto"/>
        <w:left w:val="none" w:sz="0" w:space="0" w:color="auto"/>
        <w:bottom w:val="none" w:sz="0" w:space="0" w:color="auto"/>
        <w:right w:val="none" w:sz="0" w:space="0" w:color="auto"/>
      </w:divBdr>
    </w:div>
    <w:div w:id="451558741">
      <w:bodyDiv w:val="1"/>
      <w:marLeft w:val="0"/>
      <w:marRight w:val="0"/>
      <w:marTop w:val="0"/>
      <w:marBottom w:val="0"/>
      <w:divBdr>
        <w:top w:val="none" w:sz="0" w:space="0" w:color="auto"/>
        <w:left w:val="none" w:sz="0" w:space="0" w:color="auto"/>
        <w:bottom w:val="none" w:sz="0" w:space="0" w:color="auto"/>
        <w:right w:val="none" w:sz="0" w:space="0" w:color="auto"/>
      </w:divBdr>
    </w:div>
    <w:div w:id="451705836">
      <w:bodyDiv w:val="1"/>
      <w:marLeft w:val="0"/>
      <w:marRight w:val="0"/>
      <w:marTop w:val="0"/>
      <w:marBottom w:val="0"/>
      <w:divBdr>
        <w:top w:val="none" w:sz="0" w:space="0" w:color="auto"/>
        <w:left w:val="none" w:sz="0" w:space="0" w:color="auto"/>
        <w:bottom w:val="none" w:sz="0" w:space="0" w:color="auto"/>
        <w:right w:val="none" w:sz="0" w:space="0" w:color="auto"/>
      </w:divBdr>
    </w:div>
    <w:div w:id="452139924">
      <w:bodyDiv w:val="1"/>
      <w:marLeft w:val="0"/>
      <w:marRight w:val="0"/>
      <w:marTop w:val="0"/>
      <w:marBottom w:val="0"/>
      <w:divBdr>
        <w:top w:val="none" w:sz="0" w:space="0" w:color="auto"/>
        <w:left w:val="none" w:sz="0" w:space="0" w:color="auto"/>
        <w:bottom w:val="none" w:sz="0" w:space="0" w:color="auto"/>
        <w:right w:val="none" w:sz="0" w:space="0" w:color="auto"/>
      </w:divBdr>
    </w:div>
    <w:div w:id="453135442">
      <w:bodyDiv w:val="1"/>
      <w:marLeft w:val="0"/>
      <w:marRight w:val="0"/>
      <w:marTop w:val="0"/>
      <w:marBottom w:val="0"/>
      <w:divBdr>
        <w:top w:val="none" w:sz="0" w:space="0" w:color="auto"/>
        <w:left w:val="none" w:sz="0" w:space="0" w:color="auto"/>
        <w:bottom w:val="none" w:sz="0" w:space="0" w:color="auto"/>
        <w:right w:val="none" w:sz="0" w:space="0" w:color="auto"/>
      </w:divBdr>
    </w:div>
    <w:div w:id="453522581">
      <w:bodyDiv w:val="1"/>
      <w:marLeft w:val="0"/>
      <w:marRight w:val="0"/>
      <w:marTop w:val="0"/>
      <w:marBottom w:val="0"/>
      <w:divBdr>
        <w:top w:val="none" w:sz="0" w:space="0" w:color="auto"/>
        <w:left w:val="none" w:sz="0" w:space="0" w:color="auto"/>
        <w:bottom w:val="none" w:sz="0" w:space="0" w:color="auto"/>
        <w:right w:val="none" w:sz="0" w:space="0" w:color="auto"/>
      </w:divBdr>
    </w:div>
    <w:div w:id="453862631">
      <w:bodyDiv w:val="1"/>
      <w:marLeft w:val="0"/>
      <w:marRight w:val="0"/>
      <w:marTop w:val="0"/>
      <w:marBottom w:val="0"/>
      <w:divBdr>
        <w:top w:val="none" w:sz="0" w:space="0" w:color="auto"/>
        <w:left w:val="none" w:sz="0" w:space="0" w:color="auto"/>
        <w:bottom w:val="none" w:sz="0" w:space="0" w:color="auto"/>
        <w:right w:val="none" w:sz="0" w:space="0" w:color="auto"/>
      </w:divBdr>
    </w:div>
    <w:div w:id="454522574">
      <w:bodyDiv w:val="1"/>
      <w:marLeft w:val="0"/>
      <w:marRight w:val="0"/>
      <w:marTop w:val="0"/>
      <w:marBottom w:val="0"/>
      <w:divBdr>
        <w:top w:val="none" w:sz="0" w:space="0" w:color="auto"/>
        <w:left w:val="none" w:sz="0" w:space="0" w:color="auto"/>
        <w:bottom w:val="none" w:sz="0" w:space="0" w:color="auto"/>
        <w:right w:val="none" w:sz="0" w:space="0" w:color="auto"/>
      </w:divBdr>
    </w:div>
    <w:div w:id="454564547">
      <w:bodyDiv w:val="1"/>
      <w:marLeft w:val="0"/>
      <w:marRight w:val="0"/>
      <w:marTop w:val="0"/>
      <w:marBottom w:val="0"/>
      <w:divBdr>
        <w:top w:val="none" w:sz="0" w:space="0" w:color="auto"/>
        <w:left w:val="none" w:sz="0" w:space="0" w:color="auto"/>
        <w:bottom w:val="none" w:sz="0" w:space="0" w:color="auto"/>
        <w:right w:val="none" w:sz="0" w:space="0" w:color="auto"/>
      </w:divBdr>
    </w:div>
    <w:div w:id="454904942">
      <w:bodyDiv w:val="1"/>
      <w:marLeft w:val="0"/>
      <w:marRight w:val="0"/>
      <w:marTop w:val="0"/>
      <w:marBottom w:val="0"/>
      <w:divBdr>
        <w:top w:val="none" w:sz="0" w:space="0" w:color="auto"/>
        <w:left w:val="none" w:sz="0" w:space="0" w:color="auto"/>
        <w:bottom w:val="none" w:sz="0" w:space="0" w:color="auto"/>
        <w:right w:val="none" w:sz="0" w:space="0" w:color="auto"/>
      </w:divBdr>
    </w:div>
    <w:div w:id="455683900">
      <w:bodyDiv w:val="1"/>
      <w:marLeft w:val="0"/>
      <w:marRight w:val="0"/>
      <w:marTop w:val="0"/>
      <w:marBottom w:val="0"/>
      <w:divBdr>
        <w:top w:val="none" w:sz="0" w:space="0" w:color="auto"/>
        <w:left w:val="none" w:sz="0" w:space="0" w:color="auto"/>
        <w:bottom w:val="none" w:sz="0" w:space="0" w:color="auto"/>
        <w:right w:val="none" w:sz="0" w:space="0" w:color="auto"/>
      </w:divBdr>
    </w:div>
    <w:div w:id="456263700">
      <w:bodyDiv w:val="1"/>
      <w:marLeft w:val="0"/>
      <w:marRight w:val="0"/>
      <w:marTop w:val="0"/>
      <w:marBottom w:val="0"/>
      <w:divBdr>
        <w:top w:val="none" w:sz="0" w:space="0" w:color="auto"/>
        <w:left w:val="none" w:sz="0" w:space="0" w:color="auto"/>
        <w:bottom w:val="none" w:sz="0" w:space="0" w:color="auto"/>
        <w:right w:val="none" w:sz="0" w:space="0" w:color="auto"/>
      </w:divBdr>
    </w:div>
    <w:div w:id="456292134">
      <w:bodyDiv w:val="1"/>
      <w:marLeft w:val="0"/>
      <w:marRight w:val="0"/>
      <w:marTop w:val="0"/>
      <w:marBottom w:val="0"/>
      <w:divBdr>
        <w:top w:val="none" w:sz="0" w:space="0" w:color="auto"/>
        <w:left w:val="none" w:sz="0" w:space="0" w:color="auto"/>
        <w:bottom w:val="none" w:sz="0" w:space="0" w:color="auto"/>
        <w:right w:val="none" w:sz="0" w:space="0" w:color="auto"/>
      </w:divBdr>
    </w:div>
    <w:div w:id="456459199">
      <w:bodyDiv w:val="1"/>
      <w:marLeft w:val="0"/>
      <w:marRight w:val="0"/>
      <w:marTop w:val="0"/>
      <w:marBottom w:val="0"/>
      <w:divBdr>
        <w:top w:val="none" w:sz="0" w:space="0" w:color="auto"/>
        <w:left w:val="none" w:sz="0" w:space="0" w:color="auto"/>
        <w:bottom w:val="none" w:sz="0" w:space="0" w:color="auto"/>
        <w:right w:val="none" w:sz="0" w:space="0" w:color="auto"/>
      </w:divBdr>
    </w:div>
    <w:div w:id="459227927">
      <w:bodyDiv w:val="1"/>
      <w:marLeft w:val="0"/>
      <w:marRight w:val="0"/>
      <w:marTop w:val="0"/>
      <w:marBottom w:val="0"/>
      <w:divBdr>
        <w:top w:val="none" w:sz="0" w:space="0" w:color="auto"/>
        <w:left w:val="none" w:sz="0" w:space="0" w:color="auto"/>
        <w:bottom w:val="none" w:sz="0" w:space="0" w:color="auto"/>
        <w:right w:val="none" w:sz="0" w:space="0" w:color="auto"/>
      </w:divBdr>
    </w:div>
    <w:div w:id="460078390">
      <w:bodyDiv w:val="1"/>
      <w:marLeft w:val="0"/>
      <w:marRight w:val="0"/>
      <w:marTop w:val="0"/>
      <w:marBottom w:val="0"/>
      <w:divBdr>
        <w:top w:val="none" w:sz="0" w:space="0" w:color="auto"/>
        <w:left w:val="none" w:sz="0" w:space="0" w:color="auto"/>
        <w:bottom w:val="none" w:sz="0" w:space="0" w:color="auto"/>
        <w:right w:val="none" w:sz="0" w:space="0" w:color="auto"/>
      </w:divBdr>
    </w:div>
    <w:div w:id="461315767">
      <w:bodyDiv w:val="1"/>
      <w:marLeft w:val="0"/>
      <w:marRight w:val="0"/>
      <w:marTop w:val="0"/>
      <w:marBottom w:val="0"/>
      <w:divBdr>
        <w:top w:val="none" w:sz="0" w:space="0" w:color="auto"/>
        <w:left w:val="none" w:sz="0" w:space="0" w:color="auto"/>
        <w:bottom w:val="none" w:sz="0" w:space="0" w:color="auto"/>
        <w:right w:val="none" w:sz="0" w:space="0" w:color="auto"/>
      </w:divBdr>
    </w:div>
    <w:div w:id="461536980">
      <w:bodyDiv w:val="1"/>
      <w:marLeft w:val="0"/>
      <w:marRight w:val="0"/>
      <w:marTop w:val="0"/>
      <w:marBottom w:val="0"/>
      <w:divBdr>
        <w:top w:val="none" w:sz="0" w:space="0" w:color="auto"/>
        <w:left w:val="none" w:sz="0" w:space="0" w:color="auto"/>
        <w:bottom w:val="none" w:sz="0" w:space="0" w:color="auto"/>
        <w:right w:val="none" w:sz="0" w:space="0" w:color="auto"/>
      </w:divBdr>
    </w:div>
    <w:div w:id="462962523">
      <w:bodyDiv w:val="1"/>
      <w:marLeft w:val="0"/>
      <w:marRight w:val="0"/>
      <w:marTop w:val="0"/>
      <w:marBottom w:val="0"/>
      <w:divBdr>
        <w:top w:val="none" w:sz="0" w:space="0" w:color="auto"/>
        <w:left w:val="none" w:sz="0" w:space="0" w:color="auto"/>
        <w:bottom w:val="none" w:sz="0" w:space="0" w:color="auto"/>
        <w:right w:val="none" w:sz="0" w:space="0" w:color="auto"/>
      </w:divBdr>
    </w:div>
    <w:div w:id="463012887">
      <w:bodyDiv w:val="1"/>
      <w:marLeft w:val="0"/>
      <w:marRight w:val="0"/>
      <w:marTop w:val="0"/>
      <w:marBottom w:val="0"/>
      <w:divBdr>
        <w:top w:val="none" w:sz="0" w:space="0" w:color="auto"/>
        <w:left w:val="none" w:sz="0" w:space="0" w:color="auto"/>
        <w:bottom w:val="none" w:sz="0" w:space="0" w:color="auto"/>
        <w:right w:val="none" w:sz="0" w:space="0" w:color="auto"/>
      </w:divBdr>
    </w:div>
    <w:div w:id="463276786">
      <w:bodyDiv w:val="1"/>
      <w:marLeft w:val="0"/>
      <w:marRight w:val="0"/>
      <w:marTop w:val="0"/>
      <w:marBottom w:val="0"/>
      <w:divBdr>
        <w:top w:val="none" w:sz="0" w:space="0" w:color="auto"/>
        <w:left w:val="none" w:sz="0" w:space="0" w:color="auto"/>
        <w:bottom w:val="none" w:sz="0" w:space="0" w:color="auto"/>
        <w:right w:val="none" w:sz="0" w:space="0" w:color="auto"/>
      </w:divBdr>
    </w:div>
    <w:div w:id="464472350">
      <w:bodyDiv w:val="1"/>
      <w:marLeft w:val="0"/>
      <w:marRight w:val="0"/>
      <w:marTop w:val="0"/>
      <w:marBottom w:val="0"/>
      <w:divBdr>
        <w:top w:val="none" w:sz="0" w:space="0" w:color="auto"/>
        <w:left w:val="none" w:sz="0" w:space="0" w:color="auto"/>
        <w:bottom w:val="none" w:sz="0" w:space="0" w:color="auto"/>
        <w:right w:val="none" w:sz="0" w:space="0" w:color="auto"/>
      </w:divBdr>
    </w:div>
    <w:div w:id="464590069">
      <w:bodyDiv w:val="1"/>
      <w:marLeft w:val="0"/>
      <w:marRight w:val="0"/>
      <w:marTop w:val="0"/>
      <w:marBottom w:val="0"/>
      <w:divBdr>
        <w:top w:val="none" w:sz="0" w:space="0" w:color="auto"/>
        <w:left w:val="none" w:sz="0" w:space="0" w:color="auto"/>
        <w:bottom w:val="none" w:sz="0" w:space="0" w:color="auto"/>
        <w:right w:val="none" w:sz="0" w:space="0" w:color="auto"/>
      </w:divBdr>
    </w:div>
    <w:div w:id="464667079">
      <w:bodyDiv w:val="1"/>
      <w:marLeft w:val="0"/>
      <w:marRight w:val="0"/>
      <w:marTop w:val="0"/>
      <w:marBottom w:val="0"/>
      <w:divBdr>
        <w:top w:val="none" w:sz="0" w:space="0" w:color="auto"/>
        <w:left w:val="none" w:sz="0" w:space="0" w:color="auto"/>
        <w:bottom w:val="none" w:sz="0" w:space="0" w:color="auto"/>
        <w:right w:val="none" w:sz="0" w:space="0" w:color="auto"/>
      </w:divBdr>
    </w:div>
    <w:div w:id="465048691">
      <w:bodyDiv w:val="1"/>
      <w:marLeft w:val="0"/>
      <w:marRight w:val="0"/>
      <w:marTop w:val="0"/>
      <w:marBottom w:val="0"/>
      <w:divBdr>
        <w:top w:val="none" w:sz="0" w:space="0" w:color="auto"/>
        <w:left w:val="none" w:sz="0" w:space="0" w:color="auto"/>
        <w:bottom w:val="none" w:sz="0" w:space="0" w:color="auto"/>
        <w:right w:val="none" w:sz="0" w:space="0" w:color="auto"/>
      </w:divBdr>
    </w:div>
    <w:div w:id="465582702">
      <w:bodyDiv w:val="1"/>
      <w:marLeft w:val="0"/>
      <w:marRight w:val="0"/>
      <w:marTop w:val="0"/>
      <w:marBottom w:val="0"/>
      <w:divBdr>
        <w:top w:val="none" w:sz="0" w:space="0" w:color="auto"/>
        <w:left w:val="none" w:sz="0" w:space="0" w:color="auto"/>
        <w:bottom w:val="none" w:sz="0" w:space="0" w:color="auto"/>
        <w:right w:val="none" w:sz="0" w:space="0" w:color="auto"/>
      </w:divBdr>
    </w:div>
    <w:div w:id="465896076">
      <w:bodyDiv w:val="1"/>
      <w:marLeft w:val="0"/>
      <w:marRight w:val="0"/>
      <w:marTop w:val="0"/>
      <w:marBottom w:val="0"/>
      <w:divBdr>
        <w:top w:val="none" w:sz="0" w:space="0" w:color="auto"/>
        <w:left w:val="none" w:sz="0" w:space="0" w:color="auto"/>
        <w:bottom w:val="none" w:sz="0" w:space="0" w:color="auto"/>
        <w:right w:val="none" w:sz="0" w:space="0" w:color="auto"/>
      </w:divBdr>
    </w:div>
    <w:div w:id="465901691">
      <w:bodyDiv w:val="1"/>
      <w:marLeft w:val="0"/>
      <w:marRight w:val="0"/>
      <w:marTop w:val="0"/>
      <w:marBottom w:val="0"/>
      <w:divBdr>
        <w:top w:val="none" w:sz="0" w:space="0" w:color="auto"/>
        <w:left w:val="none" w:sz="0" w:space="0" w:color="auto"/>
        <w:bottom w:val="none" w:sz="0" w:space="0" w:color="auto"/>
        <w:right w:val="none" w:sz="0" w:space="0" w:color="auto"/>
      </w:divBdr>
    </w:div>
    <w:div w:id="467363450">
      <w:bodyDiv w:val="1"/>
      <w:marLeft w:val="0"/>
      <w:marRight w:val="0"/>
      <w:marTop w:val="0"/>
      <w:marBottom w:val="0"/>
      <w:divBdr>
        <w:top w:val="none" w:sz="0" w:space="0" w:color="auto"/>
        <w:left w:val="none" w:sz="0" w:space="0" w:color="auto"/>
        <w:bottom w:val="none" w:sz="0" w:space="0" w:color="auto"/>
        <w:right w:val="none" w:sz="0" w:space="0" w:color="auto"/>
      </w:divBdr>
    </w:div>
    <w:div w:id="467551440">
      <w:bodyDiv w:val="1"/>
      <w:marLeft w:val="0"/>
      <w:marRight w:val="0"/>
      <w:marTop w:val="0"/>
      <w:marBottom w:val="0"/>
      <w:divBdr>
        <w:top w:val="none" w:sz="0" w:space="0" w:color="auto"/>
        <w:left w:val="none" w:sz="0" w:space="0" w:color="auto"/>
        <w:bottom w:val="none" w:sz="0" w:space="0" w:color="auto"/>
        <w:right w:val="none" w:sz="0" w:space="0" w:color="auto"/>
      </w:divBdr>
    </w:div>
    <w:div w:id="468792582">
      <w:bodyDiv w:val="1"/>
      <w:marLeft w:val="0"/>
      <w:marRight w:val="0"/>
      <w:marTop w:val="0"/>
      <w:marBottom w:val="0"/>
      <w:divBdr>
        <w:top w:val="none" w:sz="0" w:space="0" w:color="auto"/>
        <w:left w:val="none" w:sz="0" w:space="0" w:color="auto"/>
        <w:bottom w:val="none" w:sz="0" w:space="0" w:color="auto"/>
        <w:right w:val="none" w:sz="0" w:space="0" w:color="auto"/>
      </w:divBdr>
    </w:div>
    <w:div w:id="469329141">
      <w:bodyDiv w:val="1"/>
      <w:marLeft w:val="0"/>
      <w:marRight w:val="0"/>
      <w:marTop w:val="0"/>
      <w:marBottom w:val="0"/>
      <w:divBdr>
        <w:top w:val="none" w:sz="0" w:space="0" w:color="auto"/>
        <w:left w:val="none" w:sz="0" w:space="0" w:color="auto"/>
        <w:bottom w:val="none" w:sz="0" w:space="0" w:color="auto"/>
        <w:right w:val="none" w:sz="0" w:space="0" w:color="auto"/>
      </w:divBdr>
    </w:div>
    <w:div w:id="470371871">
      <w:bodyDiv w:val="1"/>
      <w:marLeft w:val="0"/>
      <w:marRight w:val="0"/>
      <w:marTop w:val="0"/>
      <w:marBottom w:val="0"/>
      <w:divBdr>
        <w:top w:val="none" w:sz="0" w:space="0" w:color="auto"/>
        <w:left w:val="none" w:sz="0" w:space="0" w:color="auto"/>
        <w:bottom w:val="none" w:sz="0" w:space="0" w:color="auto"/>
        <w:right w:val="none" w:sz="0" w:space="0" w:color="auto"/>
      </w:divBdr>
    </w:div>
    <w:div w:id="470680221">
      <w:bodyDiv w:val="1"/>
      <w:marLeft w:val="0"/>
      <w:marRight w:val="0"/>
      <w:marTop w:val="0"/>
      <w:marBottom w:val="0"/>
      <w:divBdr>
        <w:top w:val="none" w:sz="0" w:space="0" w:color="auto"/>
        <w:left w:val="none" w:sz="0" w:space="0" w:color="auto"/>
        <w:bottom w:val="none" w:sz="0" w:space="0" w:color="auto"/>
        <w:right w:val="none" w:sz="0" w:space="0" w:color="auto"/>
      </w:divBdr>
    </w:div>
    <w:div w:id="471948882">
      <w:bodyDiv w:val="1"/>
      <w:marLeft w:val="0"/>
      <w:marRight w:val="0"/>
      <w:marTop w:val="0"/>
      <w:marBottom w:val="0"/>
      <w:divBdr>
        <w:top w:val="none" w:sz="0" w:space="0" w:color="auto"/>
        <w:left w:val="none" w:sz="0" w:space="0" w:color="auto"/>
        <w:bottom w:val="none" w:sz="0" w:space="0" w:color="auto"/>
        <w:right w:val="none" w:sz="0" w:space="0" w:color="auto"/>
      </w:divBdr>
    </w:div>
    <w:div w:id="472018337">
      <w:bodyDiv w:val="1"/>
      <w:marLeft w:val="0"/>
      <w:marRight w:val="0"/>
      <w:marTop w:val="0"/>
      <w:marBottom w:val="0"/>
      <w:divBdr>
        <w:top w:val="none" w:sz="0" w:space="0" w:color="auto"/>
        <w:left w:val="none" w:sz="0" w:space="0" w:color="auto"/>
        <w:bottom w:val="none" w:sz="0" w:space="0" w:color="auto"/>
        <w:right w:val="none" w:sz="0" w:space="0" w:color="auto"/>
      </w:divBdr>
    </w:div>
    <w:div w:id="472449770">
      <w:bodyDiv w:val="1"/>
      <w:marLeft w:val="0"/>
      <w:marRight w:val="0"/>
      <w:marTop w:val="0"/>
      <w:marBottom w:val="0"/>
      <w:divBdr>
        <w:top w:val="none" w:sz="0" w:space="0" w:color="auto"/>
        <w:left w:val="none" w:sz="0" w:space="0" w:color="auto"/>
        <w:bottom w:val="none" w:sz="0" w:space="0" w:color="auto"/>
        <w:right w:val="none" w:sz="0" w:space="0" w:color="auto"/>
      </w:divBdr>
    </w:div>
    <w:div w:id="472993154">
      <w:bodyDiv w:val="1"/>
      <w:marLeft w:val="0"/>
      <w:marRight w:val="0"/>
      <w:marTop w:val="0"/>
      <w:marBottom w:val="0"/>
      <w:divBdr>
        <w:top w:val="none" w:sz="0" w:space="0" w:color="auto"/>
        <w:left w:val="none" w:sz="0" w:space="0" w:color="auto"/>
        <w:bottom w:val="none" w:sz="0" w:space="0" w:color="auto"/>
        <w:right w:val="none" w:sz="0" w:space="0" w:color="auto"/>
      </w:divBdr>
    </w:div>
    <w:div w:id="474614661">
      <w:bodyDiv w:val="1"/>
      <w:marLeft w:val="0"/>
      <w:marRight w:val="0"/>
      <w:marTop w:val="0"/>
      <w:marBottom w:val="0"/>
      <w:divBdr>
        <w:top w:val="none" w:sz="0" w:space="0" w:color="auto"/>
        <w:left w:val="none" w:sz="0" w:space="0" w:color="auto"/>
        <w:bottom w:val="none" w:sz="0" w:space="0" w:color="auto"/>
        <w:right w:val="none" w:sz="0" w:space="0" w:color="auto"/>
      </w:divBdr>
    </w:div>
    <w:div w:id="476067622">
      <w:bodyDiv w:val="1"/>
      <w:marLeft w:val="0"/>
      <w:marRight w:val="0"/>
      <w:marTop w:val="0"/>
      <w:marBottom w:val="0"/>
      <w:divBdr>
        <w:top w:val="none" w:sz="0" w:space="0" w:color="auto"/>
        <w:left w:val="none" w:sz="0" w:space="0" w:color="auto"/>
        <w:bottom w:val="none" w:sz="0" w:space="0" w:color="auto"/>
        <w:right w:val="none" w:sz="0" w:space="0" w:color="auto"/>
      </w:divBdr>
    </w:div>
    <w:div w:id="476457045">
      <w:bodyDiv w:val="1"/>
      <w:marLeft w:val="0"/>
      <w:marRight w:val="0"/>
      <w:marTop w:val="0"/>
      <w:marBottom w:val="0"/>
      <w:divBdr>
        <w:top w:val="none" w:sz="0" w:space="0" w:color="auto"/>
        <w:left w:val="none" w:sz="0" w:space="0" w:color="auto"/>
        <w:bottom w:val="none" w:sz="0" w:space="0" w:color="auto"/>
        <w:right w:val="none" w:sz="0" w:space="0" w:color="auto"/>
      </w:divBdr>
    </w:div>
    <w:div w:id="476849227">
      <w:bodyDiv w:val="1"/>
      <w:marLeft w:val="0"/>
      <w:marRight w:val="0"/>
      <w:marTop w:val="0"/>
      <w:marBottom w:val="0"/>
      <w:divBdr>
        <w:top w:val="none" w:sz="0" w:space="0" w:color="auto"/>
        <w:left w:val="none" w:sz="0" w:space="0" w:color="auto"/>
        <w:bottom w:val="none" w:sz="0" w:space="0" w:color="auto"/>
        <w:right w:val="none" w:sz="0" w:space="0" w:color="auto"/>
      </w:divBdr>
    </w:div>
    <w:div w:id="476920010">
      <w:bodyDiv w:val="1"/>
      <w:marLeft w:val="0"/>
      <w:marRight w:val="0"/>
      <w:marTop w:val="0"/>
      <w:marBottom w:val="0"/>
      <w:divBdr>
        <w:top w:val="none" w:sz="0" w:space="0" w:color="auto"/>
        <w:left w:val="none" w:sz="0" w:space="0" w:color="auto"/>
        <w:bottom w:val="none" w:sz="0" w:space="0" w:color="auto"/>
        <w:right w:val="none" w:sz="0" w:space="0" w:color="auto"/>
      </w:divBdr>
    </w:div>
    <w:div w:id="476924066">
      <w:bodyDiv w:val="1"/>
      <w:marLeft w:val="0"/>
      <w:marRight w:val="0"/>
      <w:marTop w:val="0"/>
      <w:marBottom w:val="0"/>
      <w:divBdr>
        <w:top w:val="none" w:sz="0" w:space="0" w:color="auto"/>
        <w:left w:val="none" w:sz="0" w:space="0" w:color="auto"/>
        <w:bottom w:val="none" w:sz="0" w:space="0" w:color="auto"/>
        <w:right w:val="none" w:sz="0" w:space="0" w:color="auto"/>
      </w:divBdr>
    </w:div>
    <w:div w:id="477112089">
      <w:bodyDiv w:val="1"/>
      <w:marLeft w:val="0"/>
      <w:marRight w:val="0"/>
      <w:marTop w:val="0"/>
      <w:marBottom w:val="0"/>
      <w:divBdr>
        <w:top w:val="none" w:sz="0" w:space="0" w:color="auto"/>
        <w:left w:val="none" w:sz="0" w:space="0" w:color="auto"/>
        <w:bottom w:val="none" w:sz="0" w:space="0" w:color="auto"/>
        <w:right w:val="none" w:sz="0" w:space="0" w:color="auto"/>
      </w:divBdr>
    </w:div>
    <w:div w:id="478812312">
      <w:bodyDiv w:val="1"/>
      <w:marLeft w:val="0"/>
      <w:marRight w:val="0"/>
      <w:marTop w:val="0"/>
      <w:marBottom w:val="0"/>
      <w:divBdr>
        <w:top w:val="none" w:sz="0" w:space="0" w:color="auto"/>
        <w:left w:val="none" w:sz="0" w:space="0" w:color="auto"/>
        <w:bottom w:val="none" w:sz="0" w:space="0" w:color="auto"/>
        <w:right w:val="none" w:sz="0" w:space="0" w:color="auto"/>
      </w:divBdr>
    </w:div>
    <w:div w:id="479271271">
      <w:bodyDiv w:val="1"/>
      <w:marLeft w:val="0"/>
      <w:marRight w:val="0"/>
      <w:marTop w:val="0"/>
      <w:marBottom w:val="0"/>
      <w:divBdr>
        <w:top w:val="none" w:sz="0" w:space="0" w:color="auto"/>
        <w:left w:val="none" w:sz="0" w:space="0" w:color="auto"/>
        <w:bottom w:val="none" w:sz="0" w:space="0" w:color="auto"/>
        <w:right w:val="none" w:sz="0" w:space="0" w:color="auto"/>
      </w:divBdr>
    </w:div>
    <w:div w:id="481047142">
      <w:bodyDiv w:val="1"/>
      <w:marLeft w:val="0"/>
      <w:marRight w:val="0"/>
      <w:marTop w:val="0"/>
      <w:marBottom w:val="0"/>
      <w:divBdr>
        <w:top w:val="none" w:sz="0" w:space="0" w:color="auto"/>
        <w:left w:val="none" w:sz="0" w:space="0" w:color="auto"/>
        <w:bottom w:val="none" w:sz="0" w:space="0" w:color="auto"/>
        <w:right w:val="none" w:sz="0" w:space="0" w:color="auto"/>
      </w:divBdr>
    </w:div>
    <w:div w:id="481430014">
      <w:bodyDiv w:val="1"/>
      <w:marLeft w:val="0"/>
      <w:marRight w:val="0"/>
      <w:marTop w:val="0"/>
      <w:marBottom w:val="0"/>
      <w:divBdr>
        <w:top w:val="none" w:sz="0" w:space="0" w:color="auto"/>
        <w:left w:val="none" w:sz="0" w:space="0" w:color="auto"/>
        <w:bottom w:val="none" w:sz="0" w:space="0" w:color="auto"/>
        <w:right w:val="none" w:sz="0" w:space="0" w:color="auto"/>
      </w:divBdr>
    </w:div>
    <w:div w:id="481964942">
      <w:bodyDiv w:val="1"/>
      <w:marLeft w:val="0"/>
      <w:marRight w:val="0"/>
      <w:marTop w:val="0"/>
      <w:marBottom w:val="0"/>
      <w:divBdr>
        <w:top w:val="none" w:sz="0" w:space="0" w:color="auto"/>
        <w:left w:val="none" w:sz="0" w:space="0" w:color="auto"/>
        <w:bottom w:val="none" w:sz="0" w:space="0" w:color="auto"/>
        <w:right w:val="none" w:sz="0" w:space="0" w:color="auto"/>
      </w:divBdr>
    </w:div>
    <w:div w:id="483013477">
      <w:bodyDiv w:val="1"/>
      <w:marLeft w:val="0"/>
      <w:marRight w:val="0"/>
      <w:marTop w:val="0"/>
      <w:marBottom w:val="0"/>
      <w:divBdr>
        <w:top w:val="none" w:sz="0" w:space="0" w:color="auto"/>
        <w:left w:val="none" w:sz="0" w:space="0" w:color="auto"/>
        <w:bottom w:val="none" w:sz="0" w:space="0" w:color="auto"/>
        <w:right w:val="none" w:sz="0" w:space="0" w:color="auto"/>
      </w:divBdr>
    </w:div>
    <w:div w:id="484207915">
      <w:bodyDiv w:val="1"/>
      <w:marLeft w:val="0"/>
      <w:marRight w:val="0"/>
      <w:marTop w:val="0"/>
      <w:marBottom w:val="0"/>
      <w:divBdr>
        <w:top w:val="none" w:sz="0" w:space="0" w:color="auto"/>
        <w:left w:val="none" w:sz="0" w:space="0" w:color="auto"/>
        <w:bottom w:val="none" w:sz="0" w:space="0" w:color="auto"/>
        <w:right w:val="none" w:sz="0" w:space="0" w:color="auto"/>
      </w:divBdr>
    </w:div>
    <w:div w:id="484443552">
      <w:bodyDiv w:val="1"/>
      <w:marLeft w:val="0"/>
      <w:marRight w:val="0"/>
      <w:marTop w:val="0"/>
      <w:marBottom w:val="0"/>
      <w:divBdr>
        <w:top w:val="none" w:sz="0" w:space="0" w:color="auto"/>
        <w:left w:val="none" w:sz="0" w:space="0" w:color="auto"/>
        <w:bottom w:val="none" w:sz="0" w:space="0" w:color="auto"/>
        <w:right w:val="none" w:sz="0" w:space="0" w:color="auto"/>
      </w:divBdr>
    </w:div>
    <w:div w:id="484978231">
      <w:bodyDiv w:val="1"/>
      <w:marLeft w:val="0"/>
      <w:marRight w:val="0"/>
      <w:marTop w:val="0"/>
      <w:marBottom w:val="0"/>
      <w:divBdr>
        <w:top w:val="none" w:sz="0" w:space="0" w:color="auto"/>
        <w:left w:val="none" w:sz="0" w:space="0" w:color="auto"/>
        <w:bottom w:val="none" w:sz="0" w:space="0" w:color="auto"/>
        <w:right w:val="none" w:sz="0" w:space="0" w:color="auto"/>
      </w:divBdr>
    </w:div>
    <w:div w:id="485050950">
      <w:bodyDiv w:val="1"/>
      <w:marLeft w:val="0"/>
      <w:marRight w:val="0"/>
      <w:marTop w:val="0"/>
      <w:marBottom w:val="0"/>
      <w:divBdr>
        <w:top w:val="none" w:sz="0" w:space="0" w:color="auto"/>
        <w:left w:val="none" w:sz="0" w:space="0" w:color="auto"/>
        <w:bottom w:val="none" w:sz="0" w:space="0" w:color="auto"/>
        <w:right w:val="none" w:sz="0" w:space="0" w:color="auto"/>
      </w:divBdr>
    </w:div>
    <w:div w:id="485702195">
      <w:bodyDiv w:val="1"/>
      <w:marLeft w:val="0"/>
      <w:marRight w:val="0"/>
      <w:marTop w:val="0"/>
      <w:marBottom w:val="0"/>
      <w:divBdr>
        <w:top w:val="none" w:sz="0" w:space="0" w:color="auto"/>
        <w:left w:val="none" w:sz="0" w:space="0" w:color="auto"/>
        <w:bottom w:val="none" w:sz="0" w:space="0" w:color="auto"/>
        <w:right w:val="none" w:sz="0" w:space="0" w:color="auto"/>
      </w:divBdr>
    </w:div>
    <w:div w:id="485754317">
      <w:bodyDiv w:val="1"/>
      <w:marLeft w:val="0"/>
      <w:marRight w:val="0"/>
      <w:marTop w:val="0"/>
      <w:marBottom w:val="0"/>
      <w:divBdr>
        <w:top w:val="none" w:sz="0" w:space="0" w:color="auto"/>
        <w:left w:val="none" w:sz="0" w:space="0" w:color="auto"/>
        <w:bottom w:val="none" w:sz="0" w:space="0" w:color="auto"/>
        <w:right w:val="none" w:sz="0" w:space="0" w:color="auto"/>
      </w:divBdr>
    </w:div>
    <w:div w:id="486634784">
      <w:bodyDiv w:val="1"/>
      <w:marLeft w:val="0"/>
      <w:marRight w:val="0"/>
      <w:marTop w:val="0"/>
      <w:marBottom w:val="0"/>
      <w:divBdr>
        <w:top w:val="none" w:sz="0" w:space="0" w:color="auto"/>
        <w:left w:val="none" w:sz="0" w:space="0" w:color="auto"/>
        <w:bottom w:val="none" w:sz="0" w:space="0" w:color="auto"/>
        <w:right w:val="none" w:sz="0" w:space="0" w:color="auto"/>
      </w:divBdr>
    </w:div>
    <w:div w:id="487331965">
      <w:bodyDiv w:val="1"/>
      <w:marLeft w:val="0"/>
      <w:marRight w:val="0"/>
      <w:marTop w:val="0"/>
      <w:marBottom w:val="0"/>
      <w:divBdr>
        <w:top w:val="none" w:sz="0" w:space="0" w:color="auto"/>
        <w:left w:val="none" w:sz="0" w:space="0" w:color="auto"/>
        <w:bottom w:val="none" w:sz="0" w:space="0" w:color="auto"/>
        <w:right w:val="none" w:sz="0" w:space="0" w:color="auto"/>
      </w:divBdr>
    </w:div>
    <w:div w:id="487937333">
      <w:bodyDiv w:val="1"/>
      <w:marLeft w:val="0"/>
      <w:marRight w:val="0"/>
      <w:marTop w:val="0"/>
      <w:marBottom w:val="0"/>
      <w:divBdr>
        <w:top w:val="none" w:sz="0" w:space="0" w:color="auto"/>
        <w:left w:val="none" w:sz="0" w:space="0" w:color="auto"/>
        <w:bottom w:val="none" w:sz="0" w:space="0" w:color="auto"/>
        <w:right w:val="none" w:sz="0" w:space="0" w:color="auto"/>
      </w:divBdr>
    </w:div>
    <w:div w:id="488406086">
      <w:bodyDiv w:val="1"/>
      <w:marLeft w:val="0"/>
      <w:marRight w:val="0"/>
      <w:marTop w:val="0"/>
      <w:marBottom w:val="0"/>
      <w:divBdr>
        <w:top w:val="none" w:sz="0" w:space="0" w:color="auto"/>
        <w:left w:val="none" w:sz="0" w:space="0" w:color="auto"/>
        <w:bottom w:val="none" w:sz="0" w:space="0" w:color="auto"/>
        <w:right w:val="none" w:sz="0" w:space="0" w:color="auto"/>
      </w:divBdr>
    </w:div>
    <w:div w:id="488982639">
      <w:bodyDiv w:val="1"/>
      <w:marLeft w:val="0"/>
      <w:marRight w:val="0"/>
      <w:marTop w:val="0"/>
      <w:marBottom w:val="0"/>
      <w:divBdr>
        <w:top w:val="none" w:sz="0" w:space="0" w:color="auto"/>
        <w:left w:val="none" w:sz="0" w:space="0" w:color="auto"/>
        <w:bottom w:val="none" w:sz="0" w:space="0" w:color="auto"/>
        <w:right w:val="none" w:sz="0" w:space="0" w:color="auto"/>
      </w:divBdr>
    </w:div>
    <w:div w:id="489253733">
      <w:bodyDiv w:val="1"/>
      <w:marLeft w:val="0"/>
      <w:marRight w:val="0"/>
      <w:marTop w:val="0"/>
      <w:marBottom w:val="0"/>
      <w:divBdr>
        <w:top w:val="none" w:sz="0" w:space="0" w:color="auto"/>
        <w:left w:val="none" w:sz="0" w:space="0" w:color="auto"/>
        <w:bottom w:val="none" w:sz="0" w:space="0" w:color="auto"/>
        <w:right w:val="none" w:sz="0" w:space="0" w:color="auto"/>
      </w:divBdr>
    </w:div>
    <w:div w:id="489755652">
      <w:bodyDiv w:val="1"/>
      <w:marLeft w:val="0"/>
      <w:marRight w:val="0"/>
      <w:marTop w:val="0"/>
      <w:marBottom w:val="0"/>
      <w:divBdr>
        <w:top w:val="none" w:sz="0" w:space="0" w:color="auto"/>
        <w:left w:val="none" w:sz="0" w:space="0" w:color="auto"/>
        <w:bottom w:val="none" w:sz="0" w:space="0" w:color="auto"/>
        <w:right w:val="none" w:sz="0" w:space="0" w:color="auto"/>
      </w:divBdr>
    </w:div>
    <w:div w:id="490026312">
      <w:bodyDiv w:val="1"/>
      <w:marLeft w:val="0"/>
      <w:marRight w:val="0"/>
      <w:marTop w:val="0"/>
      <w:marBottom w:val="0"/>
      <w:divBdr>
        <w:top w:val="none" w:sz="0" w:space="0" w:color="auto"/>
        <w:left w:val="none" w:sz="0" w:space="0" w:color="auto"/>
        <w:bottom w:val="none" w:sz="0" w:space="0" w:color="auto"/>
        <w:right w:val="none" w:sz="0" w:space="0" w:color="auto"/>
      </w:divBdr>
    </w:div>
    <w:div w:id="490831531">
      <w:bodyDiv w:val="1"/>
      <w:marLeft w:val="0"/>
      <w:marRight w:val="0"/>
      <w:marTop w:val="0"/>
      <w:marBottom w:val="0"/>
      <w:divBdr>
        <w:top w:val="none" w:sz="0" w:space="0" w:color="auto"/>
        <w:left w:val="none" w:sz="0" w:space="0" w:color="auto"/>
        <w:bottom w:val="none" w:sz="0" w:space="0" w:color="auto"/>
        <w:right w:val="none" w:sz="0" w:space="0" w:color="auto"/>
      </w:divBdr>
    </w:div>
    <w:div w:id="491070256">
      <w:bodyDiv w:val="1"/>
      <w:marLeft w:val="0"/>
      <w:marRight w:val="0"/>
      <w:marTop w:val="0"/>
      <w:marBottom w:val="0"/>
      <w:divBdr>
        <w:top w:val="none" w:sz="0" w:space="0" w:color="auto"/>
        <w:left w:val="none" w:sz="0" w:space="0" w:color="auto"/>
        <w:bottom w:val="none" w:sz="0" w:space="0" w:color="auto"/>
        <w:right w:val="none" w:sz="0" w:space="0" w:color="auto"/>
      </w:divBdr>
    </w:div>
    <w:div w:id="491332491">
      <w:bodyDiv w:val="1"/>
      <w:marLeft w:val="0"/>
      <w:marRight w:val="0"/>
      <w:marTop w:val="0"/>
      <w:marBottom w:val="0"/>
      <w:divBdr>
        <w:top w:val="none" w:sz="0" w:space="0" w:color="auto"/>
        <w:left w:val="none" w:sz="0" w:space="0" w:color="auto"/>
        <w:bottom w:val="none" w:sz="0" w:space="0" w:color="auto"/>
        <w:right w:val="none" w:sz="0" w:space="0" w:color="auto"/>
      </w:divBdr>
    </w:div>
    <w:div w:id="491605681">
      <w:bodyDiv w:val="1"/>
      <w:marLeft w:val="0"/>
      <w:marRight w:val="0"/>
      <w:marTop w:val="0"/>
      <w:marBottom w:val="0"/>
      <w:divBdr>
        <w:top w:val="none" w:sz="0" w:space="0" w:color="auto"/>
        <w:left w:val="none" w:sz="0" w:space="0" w:color="auto"/>
        <w:bottom w:val="none" w:sz="0" w:space="0" w:color="auto"/>
        <w:right w:val="none" w:sz="0" w:space="0" w:color="auto"/>
      </w:divBdr>
    </w:div>
    <w:div w:id="492531324">
      <w:bodyDiv w:val="1"/>
      <w:marLeft w:val="0"/>
      <w:marRight w:val="0"/>
      <w:marTop w:val="0"/>
      <w:marBottom w:val="0"/>
      <w:divBdr>
        <w:top w:val="none" w:sz="0" w:space="0" w:color="auto"/>
        <w:left w:val="none" w:sz="0" w:space="0" w:color="auto"/>
        <w:bottom w:val="none" w:sz="0" w:space="0" w:color="auto"/>
        <w:right w:val="none" w:sz="0" w:space="0" w:color="auto"/>
      </w:divBdr>
    </w:div>
    <w:div w:id="494496008">
      <w:bodyDiv w:val="1"/>
      <w:marLeft w:val="0"/>
      <w:marRight w:val="0"/>
      <w:marTop w:val="0"/>
      <w:marBottom w:val="0"/>
      <w:divBdr>
        <w:top w:val="none" w:sz="0" w:space="0" w:color="auto"/>
        <w:left w:val="none" w:sz="0" w:space="0" w:color="auto"/>
        <w:bottom w:val="none" w:sz="0" w:space="0" w:color="auto"/>
        <w:right w:val="none" w:sz="0" w:space="0" w:color="auto"/>
      </w:divBdr>
    </w:div>
    <w:div w:id="494802255">
      <w:bodyDiv w:val="1"/>
      <w:marLeft w:val="0"/>
      <w:marRight w:val="0"/>
      <w:marTop w:val="0"/>
      <w:marBottom w:val="0"/>
      <w:divBdr>
        <w:top w:val="none" w:sz="0" w:space="0" w:color="auto"/>
        <w:left w:val="none" w:sz="0" w:space="0" w:color="auto"/>
        <w:bottom w:val="none" w:sz="0" w:space="0" w:color="auto"/>
        <w:right w:val="none" w:sz="0" w:space="0" w:color="auto"/>
      </w:divBdr>
    </w:div>
    <w:div w:id="494995070">
      <w:bodyDiv w:val="1"/>
      <w:marLeft w:val="0"/>
      <w:marRight w:val="0"/>
      <w:marTop w:val="0"/>
      <w:marBottom w:val="0"/>
      <w:divBdr>
        <w:top w:val="none" w:sz="0" w:space="0" w:color="auto"/>
        <w:left w:val="none" w:sz="0" w:space="0" w:color="auto"/>
        <w:bottom w:val="none" w:sz="0" w:space="0" w:color="auto"/>
        <w:right w:val="none" w:sz="0" w:space="0" w:color="auto"/>
      </w:divBdr>
    </w:div>
    <w:div w:id="496001126">
      <w:bodyDiv w:val="1"/>
      <w:marLeft w:val="0"/>
      <w:marRight w:val="0"/>
      <w:marTop w:val="0"/>
      <w:marBottom w:val="0"/>
      <w:divBdr>
        <w:top w:val="none" w:sz="0" w:space="0" w:color="auto"/>
        <w:left w:val="none" w:sz="0" w:space="0" w:color="auto"/>
        <w:bottom w:val="none" w:sz="0" w:space="0" w:color="auto"/>
        <w:right w:val="none" w:sz="0" w:space="0" w:color="auto"/>
      </w:divBdr>
    </w:div>
    <w:div w:id="496072130">
      <w:bodyDiv w:val="1"/>
      <w:marLeft w:val="0"/>
      <w:marRight w:val="0"/>
      <w:marTop w:val="0"/>
      <w:marBottom w:val="0"/>
      <w:divBdr>
        <w:top w:val="none" w:sz="0" w:space="0" w:color="auto"/>
        <w:left w:val="none" w:sz="0" w:space="0" w:color="auto"/>
        <w:bottom w:val="none" w:sz="0" w:space="0" w:color="auto"/>
        <w:right w:val="none" w:sz="0" w:space="0" w:color="auto"/>
      </w:divBdr>
    </w:div>
    <w:div w:id="496768991">
      <w:bodyDiv w:val="1"/>
      <w:marLeft w:val="0"/>
      <w:marRight w:val="0"/>
      <w:marTop w:val="0"/>
      <w:marBottom w:val="0"/>
      <w:divBdr>
        <w:top w:val="none" w:sz="0" w:space="0" w:color="auto"/>
        <w:left w:val="none" w:sz="0" w:space="0" w:color="auto"/>
        <w:bottom w:val="none" w:sz="0" w:space="0" w:color="auto"/>
        <w:right w:val="none" w:sz="0" w:space="0" w:color="auto"/>
      </w:divBdr>
    </w:div>
    <w:div w:id="497158918">
      <w:bodyDiv w:val="1"/>
      <w:marLeft w:val="0"/>
      <w:marRight w:val="0"/>
      <w:marTop w:val="0"/>
      <w:marBottom w:val="0"/>
      <w:divBdr>
        <w:top w:val="none" w:sz="0" w:space="0" w:color="auto"/>
        <w:left w:val="none" w:sz="0" w:space="0" w:color="auto"/>
        <w:bottom w:val="none" w:sz="0" w:space="0" w:color="auto"/>
        <w:right w:val="none" w:sz="0" w:space="0" w:color="auto"/>
      </w:divBdr>
    </w:div>
    <w:div w:id="498345659">
      <w:bodyDiv w:val="1"/>
      <w:marLeft w:val="0"/>
      <w:marRight w:val="0"/>
      <w:marTop w:val="0"/>
      <w:marBottom w:val="0"/>
      <w:divBdr>
        <w:top w:val="none" w:sz="0" w:space="0" w:color="auto"/>
        <w:left w:val="none" w:sz="0" w:space="0" w:color="auto"/>
        <w:bottom w:val="none" w:sz="0" w:space="0" w:color="auto"/>
        <w:right w:val="none" w:sz="0" w:space="0" w:color="auto"/>
      </w:divBdr>
    </w:div>
    <w:div w:id="498889069">
      <w:bodyDiv w:val="1"/>
      <w:marLeft w:val="0"/>
      <w:marRight w:val="0"/>
      <w:marTop w:val="0"/>
      <w:marBottom w:val="0"/>
      <w:divBdr>
        <w:top w:val="none" w:sz="0" w:space="0" w:color="auto"/>
        <w:left w:val="none" w:sz="0" w:space="0" w:color="auto"/>
        <w:bottom w:val="none" w:sz="0" w:space="0" w:color="auto"/>
        <w:right w:val="none" w:sz="0" w:space="0" w:color="auto"/>
      </w:divBdr>
    </w:div>
    <w:div w:id="500047768">
      <w:bodyDiv w:val="1"/>
      <w:marLeft w:val="0"/>
      <w:marRight w:val="0"/>
      <w:marTop w:val="0"/>
      <w:marBottom w:val="0"/>
      <w:divBdr>
        <w:top w:val="none" w:sz="0" w:space="0" w:color="auto"/>
        <w:left w:val="none" w:sz="0" w:space="0" w:color="auto"/>
        <w:bottom w:val="none" w:sz="0" w:space="0" w:color="auto"/>
        <w:right w:val="none" w:sz="0" w:space="0" w:color="auto"/>
      </w:divBdr>
    </w:div>
    <w:div w:id="500465221">
      <w:bodyDiv w:val="1"/>
      <w:marLeft w:val="0"/>
      <w:marRight w:val="0"/>
      <w:marTop w:val="0"/>
      <w:marBottom w:val="0"/>
      <w:divBdr>
        <w:top w:val="none" w:sz="0" w:space="0" w:color="auto"/>
        <w:left w:val="none" w:sz="0" w:space="0" w:color="auto"/>
        <w:bottom w:val="none" w:sz="0" w:space="0" w:color="auto"/>
        <w:right w:val="none" w:sz="0" w:space="0" w:color="auto"/>
      </w:divBdr>
    </w:div>
    <w:div w:id="500777217">
      <w:bodyDiv w:val="1"/>
      <w:marLeft w:val="0"/>
      <w:marRight w:val="0"/>
      <w:marTop w:val="0"/>
      <w:marBottom w:val="0"/>
      <w:divBdr>
        <w:top w:val="none" w:sz="0" w:space="0" w:color="auto"/>
        <w:left w:val="none" w:sz="0" w:space="0" w:color="auto"/>
        <w:bottom w:val="none" w:sz="0" w:space="0" w:color="auto"/>
        <w:right w:val="none" w:sz="0" w:space="0" w:color="auto"/>
      </w:divBdr>
    </w:div>
    <w:div w:id="501941459">
      <w:bodyDiv w:val="1"/>
      <w:marLeft w:val="0"/>
      <w:marRight w:val="0"/>
      <w:marTop w:val="0"/>
      <w:marBottom w:val="0"/>
      <w:divBdr>
        <w:top w:val="none" w:sz="0" w:space="0" w:color="auto"/>
        <w:left w:val="none" w:sz="0" w:space="0" w:color="auto"/>
        <w:bottom w:val="none" w:sz="0" w:space="0" w:color="auto"/>
        <w:right w:val="none" w:sz="0" w:space="0" w:color="auto"/>
      </w:divBdr>
    </w:div>
    <w:div w:id="503282967">
      <w:bodyDiv w:val="1"/>
      <w:marLeft w:val="0"/>
      <w:marRight w:val="0"/>
      <w:marTop w:val="0"/>
      <w:marBottom w:val="0"/>
      <w:divBdr>
        <w:top w:val="none" w:sz="0" w:space="0" w:color="auto"/>
        <w:left w:val="none" w:sz="0" w:space="0" w:color="auto"/>
        <w:bottom w:val="none" w:sz="0" w:space="0" w:color="auto"/>
        <w:right w:val="none" w:sz="0" w:space="0" w:color="auto"/>
      </w:divBdr>
    </w:div>
    <w:div w:id="504368004">
      <w:bodyDiv w:val="1"/>
      <w:marLeft w:val="0"/>
      <w:marRight w:val="0"/>
      <w:marTop w:val="0"/>
      <w:marBottom w:val="0"/>
      <w:divBdr>
        <w:top w:val="none" w:sz="0" w:space="0" w:color="auto"/>
        <w:left w:val="none" w:sz="0" w:space="0" w:color="auto"/>
        <w:bottom w:val="none" w:sz="0" w:space="0" w:color="auto"/>
        <w:right w:val="none" w:sz="0" w:space="0" w:color="auto"/>
      </w:divBdr>
    </w:div>
    <w:div w:id="504444499">
      <w:bodyDiv w:val="1"/>
      <w:marLeft w:val="0"/>
      <w:marRight w:val="0"/>
      <w:marTop w:val="0"/>
      <w:marBottom w:val="0"/>
      <w:divBdr>
        <w:top w:val="none" w:sz="0" w:space="0" w:color="auto"/>
        <w:left w:val="none" w:sz="0" w:space="0" w:color="auto"/>
        <w:bottom w:val="none" w:sz="0" w:space="0" w:color="auto"/>
        <w:right w:val="none" w:sz="0" w:space="0" w:color="auto"/>
      </w:divBdr>
    </w:div>
    <w:div w:id="505290850">
      <w:bodyDiv w:val="1"/>
      <w:marLeft w:val="0"/>
      <w:marRight w:val="0"/>
      <w:marTop w:val="0"/>
      <w:marBottom w:val="0"/>
      <w:divBdr>
        <w:top w:val="none" w:sz="0" w:space="0" w:color="auto"/>
        <w:left w:val="none" w:sz="0" w:space="0" w:color="auto"/>
        <w:bottom w:val="none" w:sz="0" w:space="0" w:color="auto"/>
        <w:right w:val="none" w:sz="0" w:space="0" w:color="auto"/>
      </w:divBdr>
    </w:div>
    <w:div w:id="505631035">
      <w:bodyDiv w:val="1"/>
      <w:marLeft w:val="0"/>
      <w:marRight w:val="0"/>
      <w:marTop w:val="0"/>
      <w:marBottom w:val="0"/>
      <w:divBdr>
        <w:top w:val="none" w:sz="0" w:space="0" w:color="auto"/>
        <w:left w:val="none" w:sz="0" w:space="0" w:color="auto"/>
        <w:bottom w:val="none" w:sz="0" w:space="0" w:color="auto"/>
        <w:right w:val="none" w:sz="0" w:space="0" w:color="auto"/>
      </w:divBdr>
    </w:div>
    <w:div w:id="507446259">
      <w:bodyDiv w:val="1"/>
      <w:marLeft w:val="0"/>
      <w:marRight w:val="0"/>
      <w:marTop w:val="0"/>
      <w:marBottom w:val="0"/>
      <w:divBdr>
        <w:top w:val="none" w:sz="0" w:space="0" w:color="auto"/>
        <w:left w:val="none" w:sz="0" w:space="0" w:color="auto"/>
        <w:bottom w:val="none" w:sz="0" w:space="0" w:color="auto"/>
        <w:right w:val="none" w:sz="0" w:space="0" w:color="auto"/>
      </w:divBdr>
    </w:div>
    <w:div w:id="507599805">
      <w:bodyDiv w:val="1"/>
      <w:marLeft w:val="0"/>
      <w:marRight w:val="0"/>
      <w:marTop w:val="0"/>
      <w:marBottom w:val="0"/>
      <w:divBdr>
        <w:top w:val="none" w:sz="0" w:space="0" w:color="auto"/>
        <w:left w:val="none" w:sz="0" w:space="0" w:color="auto"/>
        <w:bottom w:val="none" w:sz="0" w:space="0" w:color="auto"/>
        <w:right w:val="none" w:sz="0" w:space="0" w:color="auto"/>
      </w:divBdr>
    </w:div>
    <w:div w:id="508064968">
      <w:bodyDiv w:val="1"/>
      <w:marLeft w:val="0"/>
      <w:marRight w:val="0"/>
      <w:marTop w:val="0"/>
      <w:marBottom w:val="0"/>
      <w:divBdr>
        <w:top w:val="none" w:sz="0" w:space="0" w:color="auto"/>
        <w:left w:val="none" w:sz="0" w:space="0" w:color="auto"/>
        <w:bottom w:val="none" w:sz="0" w:space="0" w:color="auto"/>
        <w:right w:val="none" w:sz="0" w:space="0" w:color="auto"/>
      </w:divBdr>
    </w:div>
    <w:div w:id="508328800">
      <w:bodyDiv w:val="1"/>
      <w:marLeft w:val="0"/>
      <w:marRight w:val="0"/>
      <w:marTop w:val="0"/>
      <w:marBottom w:val="0"/>
      <w:divBdr>
        <w:top w:val="none" w:sz="0" w:space="0" w:color="auto"/>
        <w:left w:val="none" w:sz="0" w:space="0" w:color="auto"/>
        <w:bottom w:val="none" w:sz="0" w:space="0" w:color="auto"/>
        <w:right w:val="none" w:sz="0" w:space="0" w:color="auto"/>
      </w:divBdr>
    </w:div>
    <w:div w:id="508641907">
      <w:bodyDiv w:val="1"/>
      <w:marLeft w:val="0"/>
      <w:marRight w:val="0"/>
      <w:marTop w:val="0"/>
      <w:marBottom w:val="0"/>
      <w:divBdr>
        <w:top w:val="none" w:sz="0" w:space="0" w:color="auto"/>
        <w:left w:val="none" w:sz="0" w:space="0" w:color="auto"/>
        <w:bottom w:val="none" w:sz="0" w:space="0" w:color="auto"/>
        <w:right w:val="none" w:sz="0" w:space="0" w:color="auto"/>
      </w:divBdr>
    </w:div>
    <w:div w:id="509291829">
      <w:bodyDiv w:val="1"/>
      <w:marLeft w:val="0"/>
      <w:marRight w:val="0"/>
      <w:marTop w:val="0"/>
      <w:marBottom w:val="0"/>
      <w:divBdr>
        <w:top w:val="none" w:sz="0" w:space="0" w:color="auto"/>
        <w:left w:val="none" w:sz="0" w:space="0" w:color="auto"/>
        <w:bottom w:val="none" w:sz="0" w:space="0" w:color="auto"/>
        <w:right w:val="none" w:sz="0" w:space="0" w:color="auto"/>
      </w:divBdr>
    </w:div>
    <w:div w:id="511267456">
      <w:bodyDiv w:val="1"/>
      <w:marLeft w:val="0"/>
      <w:marRight w:val="0"/>
      <w:marTop w:val="0"/>
      <w:marBottom w:val="0"/>
      <w:divBdr>
        <w:top w:val="none" w:sz="0" w:space="0" w:color="auto"/>
        <w:left w:val="none" w:sz="0" w:space="0" w:color="auto"/>
        <w:bottom w:val="none" w:sz="0" w:space="0" w:color="auto"/>
        <w:right w:val="none" w:sz="0" w:space="0" w:color="auto"/>
      </w:divBdr>
    </w:div>
    <w:div w:id="511650435">
      <w:bodyDiv w:val="1"/>
      <w:marLeft w:val="0"/>
      <w:marRight w:val="0"/>
      <w:marTop w:val="0"/>
      <w:marBottom w:val="0"/>
      <w:divBdr>
        <w:top w:val="none" w:sz="0" w:space="0" w:color="auto"/>
        <w:left w:val="none" w:sz="0" w:space="0" w:color="auto"/>
        <w:bottom w:val="none" w:sz="0" w:space="0" w:color="auto"/>
        <w:right w:val="none" w:sz="0" w:space="0" w:color="auto"/>
      </w:divBdr>
    </w:div>
    <w:div w:id="512305924">
      <w:bodyDiv w:val="1"/>
      <w:marLeft w:val="0"/>
      <w:marRight w:val="0"/>
      <w:marTop w:val="0"/>
      <w:marBottom w:val="0"/>
      <w:divBdr>
        <w:top w:val="none" w:sz="0" w:space="0" w:color="auto"/>
        <w:left w:val="none" w:sz="0" w:space="0" w:color="auto"/>
        <w:bottom w:val="none" w:sz="0" w:space="0" w:color="auto"/>
        <w:right w:val="none" w:sz="0" w:space="0" w:color="auto"/>
      </w:divBdr>
    </w:div>
    <w:div w:id="512383973">
      <w:bodyDiv w:val="1"/>
      <w:marLeft w:val="0"/>
      <w:marRight w:val="0"/>
      <w:marTop w:val="0"/>
      <w:marBottom w:val="0"/>
      <w:divBdr>
        <w:top w:val="none" w:sz="0" w:space="0" w:color="auto"/>
        <w:left w:val="none" w:sz="0" w:space="0" w:color="auto"/>
        <w:bottom w:val="none" w:sz="0" w:space="0" w:color="auto"/>
        <w:right w:val="none" w:sz="0" w:space="0" w:color="auto"/>
      </w:divBdr>
    </w:div>
    <w:div w:id="512841515">
      <w:bodyDiv w:val="1"/>
      <w:marLeft w:val="0"/>
      <w:marRight w:val="0"/>
      <w:marTop w:val="0"/>
      <w:marBottom w:val="0"/>
      <w:divBdr>
        <w:top w:val="none" w:sz="0" w:space="0" w:color="auto"/>
        <w:left w:val="none" w:sz="0" w:space="0" w:color="auto"/>
        <w:bottom w:val="none" w:sz="0" w:space="0" w:color="auto"/>
        <w:right w:val="none" w:sz="0" w:space="0" w:color="auto"/>
      </w:divBdr>
    </w:div>
    <w:div w:id="514461813">
      <w:bodyDiv w:val="1"/>
      <w:marLeft w:val="0"/>
      <w:marRight w:val="0"/>
      <w:marTop w:val="0"/>
      <w:marBottom w:val="0"/>
      <w:divBdr>
        <w:top w:val="none" w:sz="0" w:space="0" w:color="auto"/>
        <w:left w:val="none" w:sz="0" w:space="0" w:color="auto"/>
        <w:bottom w:val="none" w:sz="0" w:space="0" w:color="auto"/>
        <w:right w:val="none" w:sz="0" w:space="0" w:color="auto"/>
      </w:divBdr>
    </w:div>
    <w:div w:id="515389309">
      <w:bodyDiv w:val="1"/>
      <w:marLeft w:val="0"/>
      <w:marRight w:val="0"/>
      <w:marTop w:val="0"/>
      <w:marBottom w:val="0"/>
      <w:divBdr>
        <w:top w:val="none" w:sz="0" w:space="0" w:color="auto"/>
        <w:left w:val="none" w:sz="0" w:space="0" w:color="auto"/>
        <w:bottom w:val="none" w:sz="0" w:space="0" w:color="auto"/>
        <w:right w:val="none" w:sz="0" w:space="0" w:color="auto"/>
      </w:divBdr>
    </w:div>
    <w:div w:id="515733720">
      <w:bodyDiv w:val="1"/>
      <w:marLeft w:val="0"/>
      <w:marRight w:val="0"/>
      <w:marTop w:val="0"/>
      <w:marBottom w:val="0"/>
      <w:divBdr>
        <w:top w:val="none" w:sz="0" w:space="0" w:color="auto"/>
        <w:left w:val="none" w:sz="0" w:space="0" w:color="auto"/>
        <w:bottom w:val="none" w:sz="0" w:space="0" w:color="auto"/>
        <w:right w:val="none" w:sz="0" w:space="0" w:color="auto"/>
      </w:divBdr>
    </w:div>
    <w:div w:id="516162811">
      <w:bodyDiv w:val="1"/>
      <w:marLeft w:val="0"/>
      <w:marRight w:val="0"/>
      <w:marTop w:val="0"/>
      <w:marBottom w:val="0"/>
      <w:divBdr>
        <w:top w:val="none" w:sz="0" w:space="0" w:color="auto"/>
        <w:left w:val="none" w:sz="0" w:space="0" w:color="auto"/>
        <w:bottom w:val="none" w:sz="0" w:space="0" w:color="auto"/>
        <w:right w:val="none" w:sz="0" w:space="0" w:color="auto"/>
      </w:divBdr>
    </w:div>
    <w:div w:id="516894469">
      <w:bodyDiv w:val="1"/>
      <w:marLeft w:val="0"/>
      <w:marRight w:val="0"/>
      <w:marTop w:val="0"/>
      <w:marBottom w:val="0"/>
      <w:divBdr>
        <w:top w:val="none" w:sz="0" w:space="0" w:color="auto"/>
        <w:left w:val="none" w:sz="0" w:space="0" w:color="auto"/>
        <w:bottom w:val="none" w:sz="0" w:space="0" w:color="auto"/>
        <w:right w:val="none" w:sz="0" w:space="0" w:color="auto"/>
      </w:divBdr>
    </w:div>
    <w:div w:id="517162054">
      <w:bodyDiv w:val="1"/>
      <w:marLeft w:val="0"/>
      <w:marRight w:val="0"/>
      <w:marTop w:val="0"/>
      <w:marBottom w:val="0"/>
      <w:divBdr>
        <w:top w:val="none" w:sz="0" w:space="0" w:color="auto"/>
        <w:left w:val="none" w:sz="0" w:space="0" w:color="auto"/>
        <w:bottom w:val="none" w:sz="0" w:space="0" w:color="auto"/>
        <w:right w:val="none" w:sz="0" w:space="0" w:color="auto"/>
      </w:divBdr>
    </w:div>
    <w:div w:id="518356794">
      <w:bodyDiv w:val="1"/>
      <w:marLeft w:val="0"/>
      <w:marRight w:val="0"/>
      <w:marTop w:val="0"/>
      <w:marBottom w:val="0"/>
      <w:divBdr>
        <w:top w:val="none" w:sz="0" w:space="0" w:color="auto"/>
        <w:left w:val="none" w:sz="0" w:space="0" w:color="auto"/>
        <w:bottom w:val="none" w:sz="0" w:space="0" w:color="auto"/>
        <w:right w:val="none" w:sz="0" w:space="0" w:color="auto"/>
      </w:divBdr>
    </w:div>
    <w:div w:id="518397662">
      <w:bodyDiv w:val="1"/>
      <w:marLeft w:val="0"/>
      <w:marRight w:val="0"/>
      <w:marTop w:val="0"/>
      <w:marBottom w:val="0"/>
      <w:divBdr>
        <w:top w:val="none" w:sz="0" w:space="0" w:color="auto"/>
        <w:left w:val="none" w:sz="0" w:space="0" w:color="auto"/>
        <w:bottom w:val="none" w:sz="0" w:space="0" w:color="auto"/>
        <w:right w:val="none" w:sz="0" w:space="0" w:color="auto"/>
      </w:divBdr>
    </w:div>
    <w:div w:id="518592089">
      <w:bodyDiv w:val="1"/>
      <w:marLeft w:val="0"/>
      <w:marRight w:val="0"/>
      <w:marTop w:val="0"/>
      <w:marBottom w:val="0"/>
      <w:divBdr>
        <w:top w:val="none" w:sz="0" w:space="0" w:color="auto"/>
        <w:left w:val="none" w:sz="0" w:space="0" w:color="auto"/>
        <w:bottom w:val="none" w:sz="0" w:space="0" w:color="auto"/>
        <w:right w:val="none" w:sz="0" w:space="0" w:color="auto"/>
      </w:divBdr>
    </w:div>
    <w:div w:id="519779417">
      <w:bodyDiv w:val="1"/>
      <w:marLeft w:val="0"/>
      <w:marRight w:val="0"/>
      <w:marTop w:val="0"/>
      <w:marBottom w:val="0"/>
      <w:divBdr>
        <w:top w:val="none" w:sz="0" w:space="0" w:color="auto"/>
        <w:left w:val="none" w:sz="0" w:space="0" w:color="auto"/>
        <w:bottom w:val="none" w:sz="0" w:space="0" w:color="auto"/>
        <w:right w:val="none" w:sz="0" w:space="0" w:color="auto"/>
      </w:divBdr>
    </w:div>
    <w:div w:id="519855962">
      <w:bodyDiv w:val="1"/>
      <w:marLeft w:val="0"/>
      <w:marRight w:val="0"/>
      <w:marTop w:val="0"/>
      <w:marBottom w:val="0"/>
      <w:divBdr>
        <w:top w:val="none" w:sz="0" w:space="0" w:color="auto"/>
        <w:left w:val="none" w:sz="0" w:space="0" w:color="auto"/>
        <w:bottom w:val="none" w:sz="0" w:space="0" w:color="auto"/>
        <w:right w:val="none" w:sz="0" w:space="0" w:color="auto"/>
      </w:divBdr>
    </w:div>
    <w:div w:id="520243696">
      <w:bodyDiv w:val="1"/>
      <w:marLeft w:val="0"/>
      <w:marRight w:val="0"/>
      <w:marTop w:val="0"/>
      <w:marBottom w:val="0"/>
      <w:divBdr>
        <w:top w:val="none" w:sz="0" w:space="0" w:color="auto"/>
        <w:left w:val="none" w:sz="0" w:space="0" w:color="auto"/>
        <w:bottom w:val="none" w:sz="0" w:space="0" w:color="auto"/>
        <w:right w:val="none" w:sz="0" w:space="0" w:color="auto"/>
      </w:divBdr>
    </w:div>
    <w:div w:id="520319589">
      <w:bodyDiv w:val="1"/>
      <w:marLeft w:val="0"/>
      <w:marRight w:val="0"/>
      <w:marTop w:val="0"/>
      <w:marBottom w:val="0"/>
      <w:divBdr>
        <w:top w:val="none" w:sz="0" w:space="0" w:color="auto"/>
        <w:left w:val="none" w:sz="0" w:space="0" w:color="auto"/>
        <w:bottom w:val="none" w:sz="0" w:space="0" w:color="auto"/>
        <w:right w:val="none" w:sz="0" w:space="0" w:color="auto"/>
      </w:divBdr>
    </w:div>
    <w:div w:id="520507062">
      <w:bodyDiv w:val="1"/>
      <w:marLeft w:val="0"/>
      <w:marRight w:val="0"/>
      <w:marTop w:val="0"/>
      <w:marBottom w:val="0"/>
      <w:divBdr>
        <w:top w:val="none" w:sz="0" w:space="0" w:color="auto"/>
        <w:left w:val="none" w:sz="0" w:space="0" w:color="auto"/>
        <w:bottom w:val="none" w:sz="0" w:space="0" w:color="auto"/>
        <w:right w:val="none" w:sz="0" w:space="0" w:color="auto"/>
      </w:divBdr>
    </w:div>
    <w:div w:id="521670833">
      <w:bodyDiv w:val="1"/>
      <w:marLeft w:val="0"/>
      <w:marRight w:val="0"/>
      <w:marTop w:val="0"/>
      <w:marBottom w:val="0"/>
      <w:divBdr>
        <w:top w:val="none" w:sz="0" w:space="0" w:color="auto"/>
        <w:left w:val="none" w:sz="0" w:space="0" w:color="auto"/>
        <w:bottom w:val="none" w:sz="0" w:space="0" w:color="auto"/>
        <w:right w:val="none" w:sz="0" w:space="0" w:color="auto"/>
      </w:divBdr>
    </w:div>
    <w:div w:id="522864652">
      <w:bodyDiv w:val="1"/>
      <w:marLeft w:val="0"/>
      <w:marRight w:val="0"/>
      <w:marTop w:val="0"/>
      <w:marBottom w:val="0"/>
      <w:divBdr>
        <w:top w:val="none" w:sz="0" w:space="0" w:color="auto"/>
        <w:left w:val="none" w:sz="0" w:space="0" w:color="auto"/>
        <w:bottom w:val="none" w:sz="0" w:space="0" w:color="auto"/>
        <w:right w:val="none" w:sz="0" w:space="0" w:color="auto"/>
      </w:divBdr>
    </w:div>
    <w:div w:id="523832473">
      <w:bodyDiv w:val="1"/>
      <w:marLeft w:val="0"/>
      <w:marRight w:val="0"/>
      <w:marTop w:val="0"/>
      <w:marBottom w:val="0"/>
      <w:divBdr>
        <w:top w:val="none" w:sz="0" w:space="0" w:color="auto"/>
        <w:left w:val="none" w:sz="0" w:space="0" w:color="auto"/>
        <w:bottom w:val="none" w:sz="0" w:space="0" w:color="auto"/>
        <w:right w:val="none" w:sz="0" w:space="0" w:color="auto"/>
      </w:divBdr>
    </w:div>
    <w:div w:id="523861559">
      <w:bodyDiv w:val="1"/>
      <w:marLeft w:val="0"/>
      <w:marRight w:val="0"/>
      <w:marTop w:val="0"/>
      <w:marBottom w:val="0"/>
      <w:divBdr>
        <w:top w:val="none" w:sz="0" w:space="0" w:color="auto"/>
        <w:left w:val="none" w:sz="0" w:space="0" w:color="auto"/>
        <w:bottom w:val="none" w:sz="0" w:space="0" w:color="auto"/>
        <w:right w:val="none" w:sz="0" w:space="0" w:color="auto"/>
      </w:divBdr>
    </w:div>
    <w:div w:id="524371621">
      <w:bodyDiv w:val="1"/>
      <w:marLeft w:val="0"/>
      <w:marRight w:val="0"/>
      <w:marTop w:val="0"/>
      <w:marBottom w:val="0"/>
      <w:divBdr>
        <w:top w:val="none" w:sz="0" w:space="0" w:color="auto"/>
        <w:left w:val="none" w:sz="0" w:space="0" w:color="auto"/>
        <w:bottom w:val="none" w:sz="0" w:space="0" w:color="auto"/>
        <w:right w:val="none" w:sz="0" w:space="0" w:color="auto"/>
      </w:divBdr>
    </w:div>
    <w:div w:id="525215955">
      <w:bodyDiv w:val="1"/>
      <w:marLeft w:val="0"/>
      <w:marRight w:val="0"/>
      <w:marTop w:val="0"/>
      <w:marBottom w:val="0"/>
      <w:divBdr>
        <w:top w:val="none" w:sz="0" w:space="0" w:color="auto"/>
        <w:left w:val="none" w:sz="0" w:space="0" w:color="auto"/>
        <w:bottom w:val="none" w:sz="0" w:space="0" w:color="auto"/>
        <w:right w:val="none" w:sz="0" w:space="0" w:color="auto"/>
      </w:divBdr>
    </w:div>
    <w:div w:id="525564114">
      <w:bodyDiv w:val="1"/>
      <w:marLeft w:val="0"/>
      <w:marRight w:val="0"/>
      <w:marTop w:val="0"/>
      <w:marBottom w:val="0"/>
      <w:divBdr>
        <w:top w:val="none" w:sz="0" w:space="0" w:color="auto"/>
        <w:left w:val="none" w:sz="0" w:space="0" w:color="auto"/>
        <w:bottom w:val="none" w:sz="0" w:space="0" w:color="auto"/>
        <w:right w:val="none" w:sz="0" w:space="0" w:color="auto"/>
      </w:divBdr>
    </w:div>
    <w:div w:id="526212576">
      <w:bodyDiv w:val="1"/>
      <w:marLeft w:val="0"/>
      <w:marRight w:val="0"/>
      <w:marTop w:val="0"/>
      <w:marBottom w:val="0"/>
      <w:divBdr>
        <w:top w:val="none" w:sz="0" w:space="0" w:color="auto"/>
        <w:left w:val="none" w:sz="0" w:space="0" w:color="auto"/>
        <w:bottom w:val="none" w:sz="0" w:space="0" w:color="auto"/>
        <w:right w:val="none" w:sz="0" w:space="0" w:color="auto"/>
      </w:divBdr>
    </w:div>
    <w:div w:id="526334770">
      <w:bodyDiv w:val="1"/>
      <w:marLeft w:val="0"/>
      <w:marRight w:val="0"/>
      <w:marTop w:val="0"/>
      <w:marBottom w:val="0"/>
      <w:divBdr>
        <w:top w:val="none" w:sz="0" w:space="0" w:color="auto"/>
        <w:left w:val="none" w:sz="0" w:space="0" w:color="auto"/>
        <w:bottom w:val="none" w:sz="0" w:space="0" w:color="auto"/>
        <w:right w:val="none" w:sz="0" w:space="0" w:color="auto"/>
      </w:divBdr>
    </w:div>
    <w:div w:id="526791239">
      <w:bodyDiv w:val="1"/>
      <w:marLeft w:val="0"/>
      <w:marRight w:val="0"/>
      <w:marTop w:val="0"/>
      <w:marBottom w:val="0"/>
      <w:divBdr>
        <w:top w:val="none" w:sz="0" w:space="0" w:color="auto"/>
        <w:left w:val="none" w:sz="0" w:space="0" w:color="auto"/>
        <w:bottom w:val="none" w:sz="0" w:space="0" w:color="auto"/>
        <w:right w:val="none" w:sz="0" w:space="0" w:color="auto"/>
      </w:divBdr>
    </w:div>
    <w:div w:id="526986218">
      <w:bodyDiv w:val="1"/>
      <w:marLeft w:val="0"/>
      <w:marRight w:val="0"/>
      <w:marTop w:val="0"/>
      <w:marBottom w:val="0"/>
      <w:divBdr>
        <w:top w:val="none" w:sz="0" w:space="0" w:color="auto"/>
        <w:left w:val="none" w:sz="0" w:space="0" w:color="auto"/>
        <w:bottom w:val="none" w:sz="0" w:space="0" w:color="auto"/>
        <w:right w:val="none" w:sz="0" w:space="0" w:color="auto"/>
      </w:divBdr>
    </w:div>
    <w:div w:id="527834584">
      <w:bodyDiv w:val="1"/>
      <w:marLeft w:val="0"/>
      <w:marRight w:val="0"/>
      <w:marTop w:val="0"/>
      <w:marBottom w:val="0"/>
      <w:divBdr>
        <w:top w:val="none" w:sz="0" w:space="0" w:color="auto"/>
        <w:left w:val="none" w:sz="0" w:space="0" w:color="auto"/>
        <w:bottom w:val="none" w:sz="0" w:space="0" w:color="auto"/>
        <w:right w:val="none" w:sz="0" w:space="0" w:color="auto"/>
      </w:divBdr>
    </w:div>
    <w:div w:id="528491068">
      <w:bodyDiv w:val="1"/>
      <w:marLeft w:val="0"/>
      <w:marRight w:val="0"/>
      <w:marTop w:val="0"/>
      <w:marBottom w:val="0"/>
      <w:divBdr>
        <w:top w:val="none" w:sz="0" w:space="0" w:color="auto"/>
        <w:left w:val="none" w:sz="0" w:space="0" w:color="auto"/>
        <w:bottom w:val="none" w:sz="0" w:space="0" w:color="auto"/>
        <w:right w:val="none" w:sz="0" w:space="0" w:color="auto"/>
      </w:divBdr>
    </w:div>
    <w:div w:id="529151495">
      <w:bodyDiv w:val="1"/>
      <w:marLeft w:val="0"/>
      <w:marRight w:val="0"/>
      <w:marTop w:val="0"/>
      <w:marBottom w:val="0"/>
      <w:divBdr>
        <w:top w:val="none" w:sz="0" w:space="0" w:color="auto"/>
        <w:left w:val="none" w:sz="0" w:space="0" w:color="auto"/>
        <w:bottom w:val="none" w:sz="0" w:space="0" w:color="auto"/>
        <w:right w:val="none" w:sz="0" w:space="0" w:color="auto"/>
      </w:divBdr>
    </w:div>
    <w:div w:id="529223532">
      <w:bodyDiv w:val="1"/>
      <w:marLeft w:val="0"/>
      <w:marRight w:val="0"/>
      <w:marTop w:val="0"/>
      <w:marBottom w:val="0"/>
      <w:divBdr>
        <w:top w:val="none" w:sz="0" w:space="0" w:color="auto"/>
        <w:left w:val="none" w:sz="0" w:space="0" w:color="auto"/>
        <w:bottom w:val="none" w:sz="0" w:space="0" w:color="auto"/>
        <w:right w:val="none" w:sz="0" w:space="0" w:color="auto"/>
      </w:divBdr>
    </w:div>
    <w:div w:id="529419782">
      <w:bodyDiv w:val="1"/>
      <w:marLeft w:val="0"/>
      <w:marRight w:val="0"/>
      <w:marTop w:val="0"/>
      <w:marBottom w:val="0"/>
      <w:divBdr>
        <w:top w:val="none" w:sz="0" w:space="0" w:color="auto"/>
        <w:left w:val="none" w:sz="0" w:space="0" w:color="auto"/>
        <w:bottom w:val="none" w:sz="0" w:space="0" w:color="auto"/>
        <w:right w:val="none" w:sz="0" w:space="0" w:color="auto"/>
      </w:divBdr>
    </w:div>
    <w:div w:id="529682841">
      <w:bodyDiv w:val="1"/>
      <w:marLeft w:val="0"/>
      <w:marRight w:val="0"/>
      <w:marTop w:val="0"/>
      <w:marBottom w:val="0"/>
      <w:divBdr>
        <w:top w:val="none" w:sz="0" w:space="0" w:color="auto"/>
        <w:left w:val="none" w:sz="0" w:space="0" w:color="auto"/>
        <w:bottom w:val="none" w:sz="0" w:space="0" w:color="auto"/>
        <w:right w:val="none" w:sz="0" w:space="0" w:color="auto"/>
      </w:divBdr>
    </w:div>
    <w:div w:id="529805364">
      <w:bodyDiv w:val="1"/>
      <w:marLeft w:val="0"/>
      <w:marRight w:val="0"/>
      <w:marTop w:val="0"/>
      <w:marBottom w:val="0"/>
      <w:divBdr>
        <w:top w:val="none" w:sz="0" w:space="0" w:color="auto"/>
        <w:left w:val="none" w:sz="0" w:space="0" w:color="auto"/>
        <w:bottom w:val="none" w:sz="0" w:space="0" w:color="auto"/>
        <w:right w:val="none" w:sz="0" w:space="0" w:color="auto"/>
      </w:divBdr>
    </w:div>
    <w:div w:id="530263566">
      <w:bodyDiv w:val="1"/>
      <w:marLeft w:val="0"/>
      <w:marRight w:val="0"/>
      <w:marTop w:val="0"/>
      <w:marBottom w:val="0"/>
      <w:divBdr>
        <w:top w:val="none" w:sz="0" w:space="0" w:color="auto"/>
        <w:left w:val="none" w:sz="0" w:space="0" w:color="auto"/>
        <w:bottom w:val="none" w:sz="0" w:space="0" w:color="auto"/>
        <w:right w:val="none" w:sz="0" w:space="0" w:color="auto"/>
      </w:divBdr>
    </w:div>
    <w:div w:id="530609383">
      <w:bodyDiv w:val="1"/>
      <w:marLeft w:val="0"/>
      <w:marRight w:val="0"/>
      <w:marTop w:val="0"/>
      <w:marBottom w:val="0"/>
      <w:divBdr>
        <w:top w:val="none" w:sz="0" w:space="0" w:color="auto"/>
        <w:left w:val="none" w:sz="0" w:space="0" w:color="auto"/>
        <w:bottom w:val="none" w:sz="0" w:space="0" w:color="auto"/>
        <w:right w:val="none" w:sz="0" w:space="0" w:color="auto"/>
      </w:divBdr>
    </w:div>
    <w:div w:id="532113204">
      <w:bodyDiv w:val="1"/>
      <w:marLeft w:val="0"/>
      <w:marRight w:val="0"/>
      <w:marTop w:val="0"/>
      <w:marBottom w:val="0"/>
      <w:divBdr>
        <w:top w:val="none" w:sz="0" w:space="0" w:color="auto"/>
        <w:left w:val="none" w:sz="0" w:space="0" w:color="auto"/>
        <w:bottom w:val="none" w:sz="0" w:space="0" w:color="auto"/>
        <w:right w:val="none" w:sz="0" w:space="0" w:color="auto"/>
      </w:divBdr>
    </w:div>
    <w:div w:id="533231313">
      <w:bodyDiv w:val="1"/>
      <w:marLeft w:val="0"/>
      <w:marRight w:val="0"/>
      <w:marTop w:val="0"/>
      <w:marBottom w:val="0"/>
      <w:divBdr>
        <w:top w:val="none" w:sz="0" w:space="0" w:color="auto"/>
        <w:left w:val="none" w:sz="0" w:space="0" w:color="auto"/>
        <w:bottom w:val="none" w:sz="0" w:space="0" w:color="auto"/>
        <w:right w:val="none" w:sz="0" w:space="0" w:color="auto"/>
      </w:divBdr>
    </w:div>
    <w:div w:id="533277547">
      <w:bodyDiv w:val="1"/>
      <w:marLeft w:val="0"/>
      <w:marRight w:val="0"/>
      <w:marTop w:val="0"/>
      <w:marBottom w:val="0"/>
      <w:divBdr>
        <w:top w:val="none" w:sz="0" w:space="0" w:color="auto"/>
        <w:left w:val="none" w:sz="0" w:space="0" w:color="auto"/>
        <w:bottom w:val="none" w:sz="0" w:space="0" w:color="auto"/>
        <w:right w:val="none" w:sz="0" w:space="0" w:color="auto"/>
      </w:divBdr>
    </w:div>
    <w:div w:id="533466018">
      <w:bodyDiv w:val="1"/>
      <w:marLeft w:val="0"/>
      <w:marRight w:val="0"/>
      <w:marTop w:val="0"/>
      <w:marBottom w:val="0"/>
      <w:divBdr>
        <w:top w:val="none" w:sz="0" w:space="0" w:color="auto"/>
        <w:left w:val="none" w:sz="0" w:space="0" w:color="auto"/>
        <w:bottom w:val="none" w:sz="0" w:space="0" w:color="auto"/>
        <w:right w:val="none" w:sz="0" w:space="0" w:color="auto"/>
      </w:divBdr>
    </w:div>
    <w:div w:id="534973210">
      <w:bodyDiv w:val="1"/>
      <w:marLeft w:val="0"/>
      <w:marRight w:val="0"/>
      <w:marTop w:val="0"/>
      <w:marBottom w:val="0"/>
      <w:divBdr>
        <w:top w:val="none" w:sz="0" w:space="0" w:color="auto"/>
        <w:left w:val="none" w:sz="0" w:space="0" w:color="auto"/>
        <w:bottom w:val="none" w:sz="0" w:space="0" w:color="auto"/>
        <w:right w:val="none" w:sz="0" w:space="0" w:color="auto"/>
      </w:divBdr>
    </w:div>
    <w:div w:id="537397046">
      <w:bodyDiv w:val="1"/>
      <w:marLeft w:val="0"/>
      <w:marRight w:val="0"/>
      <w:marTop w:val="0"/>
      <w:marBottom w:val="0"/>
      <w:divBdr>
        <w:top w:val="none" w:sz="0" w:space="0" w:color="auto"/>
        <w:left w:val="none" w:sz="0" w:space="0" w:color="auto"/>
        <w:bottom w:val="none" w:sz="0" w:space="0" w:color="auto"/>
        <w:right w:val="none" w:sz="0" w:space="0" w:color="auto"/>
      </w:divBdr>
    </w:div>
    <w:div w:id="537545494">
      <w:bodyDiv w:val="1"/>
      <w:marLeft w:val="0"/>
      <w:marRight w:val="0"/>
      <w:marTop w:val="0"/>
      <w:marBottom w:val="0"/>
      <w:divBdr>
        <w:top w:val="none" w:sz="0" w:space="0" w:color="auto"/>
        <w:left w:val="none" w:sz="0" w:space="0" w:color="auto"/>
        <w:bottom w:val="none" w:sz="0" w:space="0" w:color="auto"/>
        <w:right w:val="none" w:sz="0" w:space="0" w:color="auto"/>
      </w:divBdr>
    </w:div>
    <w:div w:id="537862406">
      <w:bodyDiv w:val="1"/>
      <w:marLeft w:val="0"/>
      <w:marRight w:val="0"/>
      <w:marTop w:val="0"/>
      <w:marBottom w:val="0"/>
      <w:divBdr>
        <w:top w:val="none" w:sz="0" w:space="0" w:color="auto"/>
        <w:left w:val="none" w:sz="0" w:space="0" w:color="auto"/>
        <w:bottom w:val="none" w:sz="0" w:space="0" w:color="auto"/>
        <w:right w:val="none" w:sz="0" w:space="0" w:color="auto"/>
      </w:divBdr>
    </w:div>
    <w:div w:id="538512819">
      <w:bodyDiv w:val="1"/>
      <w:marLeft w:val="0"/>
      <w:marRight w:val="0"/>
      <w:marTop w:val="0"/>
      <w:marBottom w:val="0"/>
      <w:divBdr>
        <w:top w:val="none" w:sz="0" w:space="0" w:color="auto"/>
        <w:left w:val="none" w:sz="0" w:space="0" w:color="auto"/>
        <w:bottom w:val="none" w:sz="0" w:space="0" w:color="auto"/>
        <w:right w:val="none" w:sz="0" w:space="0" w:color="auto"/>
      </w:divBdr>
    </w:div>
    <w:div w:id="538782024">
      <w:bodyDiv w:val="1"/>
      <w:marLeft w:val="0"/>
      <w:marRight w:val="0"/>
      <w:marTop w:val="0"/>
      <w:marBottom w:val="0"/>
      <w:divBdr>
        <w:top w:val="none" w:sz="0" w:space="0" w:color="auto"/>
        <w:left w:val="none" w:sz="0" w:space="0" w:color="auto"/>
        <w:bottom w:val="none" w:sz="0" w:space="0" w:color="auto"/>
        <w:right w:val="none" w:sz="0" w:space="0" w:color="auto"/>
      </w:divBdr>
    </w:div>
    <w:div w:id="539636915">
      <w:bodyDiv w:val="1"/>
      <w:marLeft w:val="0"/>
      <w:marRight w:val="0"/>
      <w:marTop w:val="0"/>
      <w:marBottom w:val="0"/>
      <w:divBdr>
        <w:top w:val="none" w:sz="0" w:space="0" w:color="auto"/>
        <w:left w:val="none" w:sz="0" w:space="0" w:color="auto"/>
        <w:bottom w:val="none" w:sz="0" w:space="0" w:color="auto"/>
        <w:right w:val="none" w:sz="0" w:space="0" w:color="auto"/>
      </w:divBdr>
    </w:div>
    <w:div w:id="539978539">
      <w:bodyDiv w:val="1"/>
      <w:marLeft w:val="0"/>
      <w:marRight w:val="0"/>
      <w:marTop w:val="0"/>
      <w:marBottom w:val="0"/>
      <w:divBdr>
        <w:top w:val="none" w:sz="0" w:space="0" w:color="auto"/>
        <w:left w:val="none" w:sz="0" w:space="0" w:color="auto"/>
        <w:bottom w:val="none" w:sz="0" w:space="0" w:color="auto"/>
        <w:right w:val="none" w:sz="0" w:space="0" w:color="auto"/>
      </w:divBdr>
    </w:div>
    <w:div w:id="540289177">
      <w:bodyDiv w:val="1"/>
      <w:marLeft w:val="0"/>
      <w:marRight w:val="0"/>
      <w:marTop w:val="0"/>
      <w:marBottom w:val="0"/>
      <w:divBdr>
        <w:top w:val="none" w:sz="0" w:space="0" w:color="auto"/>
        <w:left w:val="none" w:sz="0" w:space="0" w:color="auto"/>
        <w:bottom w:val="none" w:sz="0" w:space="0" w:color="auto"/>
        <w:right w:val="none" w:sz="0" w:space="0" w:color="auto"/>
      </w:divBdr>
    </w:div>
    <w:div w:id="540438836">
      <w:bodyDiv w:val="1"/>
      <w:marLeft w:val="0"/>
      <w:marRight w:val="0"/>
      <w:marTop w:val="0"/>
      <w:marBottom w:val="0"/>
      <w:divBdr>
        <w:top w:val="none" w:sz="0" w:space="0" w:color="auto"/>
        <w:left w:val="none" w:sz="0" w:space="0" w:color="auto"/>
        <w:bottom w:val="none" w:sz="0" w:space="0" w:color="auto"/>
        <w:right w:val="none" w:sz="0" w:space="0" w:color="auto"/>
      </w:divBdr>
    </w:div>
    <w:div w:id="541787489">
      <w:bodyDiv w:val="1"/>
      <w:marLeft w:val="0"/>
      <w:marRight w:val="0"/>
      <w:marTop w:val="0"/>
      <w:marBottom w:val="0"/>
      <w:divBdr>
        <w:top w:val="none" w:sz="0" w:space="0" w:color="auto"/>
        <w:left w:val="none" w:sz="0" w:space="0" w:color="auto"/>
        <w:bottom w:val="none" w:sz="0" w:space="0" w:color="auto"/>
        <w:right w:val="none" w:sz="0" w:space="0" w:color="auto"/>
      </w:divBdr>
    </w:div>
    <w:div w:id="541941793">
      <w:bodyDiv w:val="1"/>
      <w:marLeft w:val="0"/>
      <w:marRight w:val="0"/>
      <w:marTop w:val="0"/>
      <w:marBottom w:val="0"/>
      <w:divBdr>
        <w:top w:val="none" w:sz="0" w:space="0" w:color="auto"/>
        <w:left w:val="none" w:sz="0" w:space="0" w:color="auto"/>
        <w:bottom w:val="none" w:sz="0" w:space="0" w:color="auto"/>
        <w:right w:val="none" w:sz="0" w:space="0" w:color="auto"/>
      </w:divBdr>
    </w:div>
    <w:div w:id="543715419">
      <w:bodyDiv w:val="1"/>
      <w:marLeft w:val="0"/>
      <w:marRight w:val="0"/>
      <w:marTop w:val="0"/>
      <w:marBottom w:val="0"/>
      <w:divBdr>
        <w:top w:val="none" w:sz="0" w:space="0" w:color="auto"/>
        <w:left w:val="none" w:sz="0" w:space="0" w:color="auto"/>
        <w:bottom w:val="none" w:sz="0" w:space="0" w:color="auto"/>
        <w:right w:val="none" w:sz="0" w:space="0" w:color="auto"/>
      </w:divBdr>
    </w:div>
    <w:div w:id="543980701">
      <w:bodyDiv w:val="1"/>
      <w:marLeft w:val="0"/>
      <w:marRight w:val="0"/>
      <w:marTop w:val="0"/>
      <w:marBottom w:val="0"/>
      <w:divBdr>
        <w:top w:val="none" w:sz="0" w:space="0" w:color="auto"/>
        <w:left w:val="none" w:sz="0" w:space="0" w:color="auto"/>
        <w:bottom w:val="none" w:sz="0" w:space="0" w:color="auto"/>
        <w:right w:val="none" w:sz="0" w:space="0" w:color="auto"/>
      </w:divBdr>
    </w:div>
    <w:div w:id="544293789">
      <w:bodyDiv w:val="1"/>
      <w:marLeft w:val="0"/>
      <w:marRight w:val="0"/>
      <w:marTop w:val="0"/>
      <w:marBottom w:val="0"/>
      <w:divBdr>
        <w:top w:val="none" w:sz="0" w:space="0" w:color="auto"/>
        <w:left w:val="none" w:sz="0" w:space="0" w:color="auto"/>
        <w:bottom w:val="none" w:sz="0" w:space="0" w:color="auto"/>
        <w:right w:val="none" w:sz="0" w:space="0" w:color="auto"/>
      </w:divBdr>
    </w:div>
    <w:div w:id="544488944">
      <w:bodyDiv w:val="1"/>
      <w:marLeft w:val="0"/>
      <w:marRight w:val="0"/>
      <w:marTop w:val="0"/>
      <w:marBottom w:val="0"/>
      <w:divBdr>
        <w:top w:val="none" w:sz="0" w:space="0" w:color="auto"/>
        <w:left w:val="none" w:sz="0" w:space="0" w:color="auto"/>
        <w:bottom w:val="none" w:sz="0" w:space="0" w:color="auto"/>
        <w:right w:val="none" w:sz="0" w:space="0" w:color="auto"/>
      </w:divBdr>
    </w:div>
    <w:div w:id="544752477">
      <w:bodyDiv w:val="1"/>
      <w:marLeft w:val="0"/>
      <w:marRight w:val="0"/>
      <w:marTop w:val="0"/>
      <w:marBottom w:val="0"/>
      <w:divBdr>
        <w:top w:val="none" w:sz="0" w:space="0" w:color="auto"/>
        <w:left w:val="none" w:sz="0" w:space="0" w:color="auto"/>
        <w:bottom w:val="none" w:sz="0" w:space="0" w:color="auto"/>
        <w:right w:val="none" w:sz="0" w:space="0" w:color="auto"/>
      </w:divBdr>
    </w:div>
    <w:div w:id="545138673">
      <w:bodyDiv w:val="1"/>
      <w:marLeft w:val="0"/>
      <w:marRight w:val="0"/>
      <w:marTop w:val="0"/>
      <w:marBottom w:val="0"/>
      <w:divBdr>
        <w:top w:val="none" w:sz="0" w:space="0" w:color="auto"/>
        <w:left w:val="none" w:sz="0" w:space="0" w:color="auto"/>
        <w:bottom w:val="none" w:sz="0" w:space="0" w:color="auto"/>
        <w:right w:val="none" w:sz="0" w:space="0" w:color="auto"/>
      </w:divBdr>
    </w:div>
    <w:div w:id="545289997">
      <w:bodyDiv w:val="1"/>
      <w:marLeft w:val="0"/>
      <w:marRight w:val="0"/>
      <w:marTop w:val="0"/>
      <w:marBottom w:val="0"/>
      <w:divBdr>
        <w:top w:val="none" w:sz="0" w:space="0" w:color="auto"/>
        <w:left w:val="none" w:sz="0" w:space="0" w:color="auto"/>
        <w:bottom w:val="none" w:sz="0" w:space="0" w:color="auto"/>
        <w:right w:val="none" w:sz="0" w:space="0" w:color="auto"/>
      </w:divBdr>
    </w:div>
    <w:div w:id="545526991">
      <w:bodyDiv w:val="1"/>
      <w:marLeft w:val="0"/>
      <w:marRight w:val="0"/>
      <w:marTop w:val="0"/>
      <w:marBottom w:val="0"/>
      <w:divBdr>
        <w:top w:val="none" w:sz="0" w:space="0" w:color="auto"/>
        <w:left w:val="none" w:sz="0" w:space="0" w:color="auto"/>
        <w:bottom w:val="none" w:sz="0" w:space="0" w:color="auto"/>
        <w:right w:val="none" w:sz="0" w:space="0" w:color="auto"/>
      </w:divBdr>
    </w:div>
    <w:div w:id="545727423">
      <w:bodyDiv w:val="1"/>
      <w:marLeft w:val="0"/>
      <w:marRight w:val="0"/>
      <w:marTop w:val="0"/>
      <w:marBottom w:val="0"/>
      <w:divBdr>
        <w:top w:val="none" w:sz="0" w:space="0" w:color="auto"/>
        <w:left w:val="none" w:sz="0" w:space="0" w:color="auto"/>
        <w:bottom w:val="none" w:sz="0" w:space="0" w:color="auto"/>
        <w:right w:val="none" w:sz="0" w:space="0" w:color="auto"/>
      </w:divBdr>
    </w:div>
    <w:div w:id="545798587">
      <w:bodyDiv w:val="1"/>
      <w:marLeft w:val="0"/>
      <w:marRight w:val="0"/>
      <w:marTop w:val="0"/>
      <w:marBottom w:val="0"/>
      <w:divBdr>
        <w:top w:val="none" w:sz="0" w:space="0" w:color="auto"/>
        <w:left w:val="none" w:sz="0" w:space="0" w:color="auto"/>
        <w:bottom w:val="none" w:sz="0" w:space="0" w:color="auto"/>
        <w:right w:val="none" w:sz="0" w:space="0" w:color="auto"/>
      </w:divBdr>
    </w:div>
    <w:div w:id="546376224">
      <w:bodyDiv w:val="1"/>
      <w:marLeft w:val="0"/>
      <w:marRight w:val="0"/>
      <w:marTop w:val="0"/>
      <w:marBottom w:val="0"/>
      <w:divBdr>
        <w:top w:val="none" w:sz="0" w:space="0" w:color="auto"/>
        <w:left w:val="none" w:sz="0" w:space="0" w:color="auto"/>
        <w:bottom w:val="none" w:sz="0" w:space="0" w:color="auto"/>
        <w:right w:val="none" w:sz="0" w:space="0" w:color="auto"/>
      </w:divBdr>
    </w:div>
    <w:div w:id="546453466">
      <w:bodyDiv w:val="1"/>
      <w:marLeft w:val="0"/>
      <w:marRight w:val="0"/>
      <w:marTop w:val="0"/>
      <w:marBottom w:val="0"/>
      <w:divBdr>
        <w:top w:val="none" w:sz="0" w:space="0" w:color="auto"/>
        <w:left w:val="none" w:sz="0" w:space="0" w:color="auto"/>
        <w:bottom w:val="none" w:sz="0" w:space="0" w:color="auto"/>
        <w:right w:val="none" w:sz="0" w:space="0" w:color="auto"/>
      </w:divBdr>
    </w:div>
    <w:div w:id="548997146">
      <w:bodyDiv w:val="1"/>
      <w:marLeft w:val="0"/>
      <w:marRight w:val="0"/>
      <w:marTop w:val="0"/>
      <w:marBottom w:val="0"/>
      <w:divBdr>
        <w:top w:val="none" w:sz="0" w:space="0" w:color="auto"/>
        <w:left w:val="none" w:sz="0" w:space="0" w:color="auto"/>
        <w:bottom w:val="none" w:sz="0" w:space="0" w:color="auto"/>
        <w:right w:val="none" w:sz="0" w:space="0" w:color="auto"/>
      </w:divBdr>
    </w:div>
    <w:div w:id="550573997">
      <w:bodyDiv w:val="1"/>
      <w:marLeft w:val="0"/>
      <w:marRight w:val="0"/>
      <w:marTop w:val="0"/>
      <w:marBottom w:val="0"/>
      <w:divBdr>
        <w:top w:val="none" w:sz="0" w:space="0" w:color="auto"/>
        <w:left w:val="none" w:sz="0" w:space="0" w:color="auto"/>
        <w:bottom w:val="none" w:sz="0" w:space="0" w:color="auto"/>
        <w:right w:val="none" w:sz="0" w:space="0" w:color="auto"/>
      </w:divBdr>
    </w:div>
    <w:div w:id="551772835">
      <w:bodyDiv w:val="1"/>
      <w:marLeft w:val="0"/>
      <w:marRight w:val="0"/>
      <w:marTop w:val="0"/>
      <w:marBottom w:val="0"/>
      <w:divBdr>
        <w:top w:val="none" w:sz="0" w:space="0" w:color="auto"/>
        <w:left w:val="none" w:sz="0" w:space="0" w:color="auto"/>
        <w:bottom w:val="none" w:sz="0" w:space="0" w:color="auto"/>
        <w:right w:val="none" w:sz="0" w:space="0" w:color="auto"/>
      </w:divBdr>
    </w:div>
    <w:div w:id="552695740">
      <w:bodyDiv w:val="1"/>
      <w:marLeft w:val="0"/>
      <w:marRight w:val="0"/>
      <w:marTop w:val="0"/>
      <w:marBottom w:val="0"/>
      <w:divBdr>
        <w:top w:val="none" w:sz="0" w:space="0" w:color="auto"/>
        <w:left w:val="none" w:sz="0" w:space="0" w:color="auto"/>
        <w:bottom w:val="none" w:sz="0" w:space="0" w:color="auto"/>
        <w:right w:val="none" w:sz="0" w:space="0" w:color="auto"/>
      </w:divBdr>
    </w:div>
    <w:div w:id="553153637">
      <w:bodyDiv w:val="1"/>
      <w:marLeft w:val="0"/>
      <w:marRight w:val="0"/>
      <w:marTop w:val="0"/>
      <w:marBottom w:val="0"/>
      <w:divBdr>
        <w:top w:val="none" w:sz="0" w:space="0" w:color="auto"/>
        <w:left w:val="none" w:sz="0" w:space="0" w:color="auto"/>
        <w:bottom w:val="none" w:sz="0" w:space="0" w:color="auto"/>
        <w:right w:val="none" w:sz="0" w:space="0" w:color="auto"/>
      </w:divBdr>
    </w:div>
    <w:div w:id="553395356">
      <w:bodyDiv w:val="1"/>
      <w:marLeft w:val="0"/>
      <w:marRight w:val="0"/>
      <w:marTop w:val="0"/>
      <w:marBottom w:val="0"/>
      <w:divBdr>
        <w:top w:val="none" w:sz="0" w:space="0" w:color="auto"/>
        <w:left w:val="none" w:sz="0" w:space="0" w:color="auto"/>
        <w:bottom w:val="none" w:sz="0" w:space="0" w:color="auto"/>
        <w:right w:val="none" w:sz="0" w:space="0" w:color="auto"/>
      </w:divBdr>
    </w:div>
    <w:div w:id="553468216">
      <w:bodyDiv w:val="1"/>
      <w:marLeft w:val="0"/>
      <w:marRight w:val="0"/>
      <w:marTop w:val="0"/>
      <w:marBottom w:val="0"/>
      <w:divBdr>
        <w:top w:val="none" w:sz="0" w:space="0" w:color="auto"/>
        <w:left w:val="none" w:sz="0" w:space="0" w:color="auto"/>
        <w:bottom w:val="none" w:sz="0" w:space="0" w:color="auto"/>
        <w:right w:val="none" w:sz="0" w:space="0" w:color="auto"/>
      </w:divBdr>
    </w:div>
    <w:div w:id="553658672">
      <w:bodyDiv w:val="1"/>
      <w:marLeft w:val="0"/>
      <w:marRight w:val="0"/>
      <w:marTop w:val="0"/>
      <w:marBottom w:val="0"/>
      <w:divBdr>
        <w:top w:val="none" w:sz="0" w:space="0" w:color="auto"/>
        <w:left w:val="none" w:sz="0" w:space="0" w:color="auto"/>
        <w:bottom w:val="none" w:sz="0" w:space="0" w:color="auto"/>
        <w:right w:val="none" w:sz="0" w:space="0" w:color="auto"/>
      </w:divBdr>
    </w:div>
    <w:div w:id="554976094">
      <w:bodyDiv w:val="1"/>
      <w:marLeft w:val="0"/>
      <w:marRight w:val="0"/>
      <w:marTop w:val="0"/>
      <w:marBottom w:val="0"/>
      <w:divBdr>
        <w:top w:val="none" w:sz="0" w:space="0" w:color="auto"/>
        <w:left w:val="none" w:sz="0" w:space="0" w:color="auto"/>
        <w:bottom w:val="none" w:sz="0" w:space="0" w:color="auto"/>
        <w:right w:val="none" w:sz="0" w:space="0" w:color="auto"/>
      </w:divBdr>
    </w:div>
    <w:div w:id="555118652">
      <w:bodyDiv w:val="1"/>
      <w:marLeft w:val="0"/>
      <w:marRight w:val="0"/>
      <w:marTop w:val="0"/>
      <w:marBottom w:val="0"/>
      <w:divBdr>
        <w:top w:val="none" w:sz="0" w:space="0" w:color="auto"/>
        <w:left w:val="none" w:sz="0" w:space="0" w:color="auto"/>
        <w:bottom w:val="none" w:sz="0" w:space="0" w:color="auto"/>
        <w:right w:val="none" w:sz="0" w:space="0" w:color="auto"/>
      </w:divBdr>
    </w:div>
    <w:div w:id="555505493">
      <w:bodyDiv w:val="1"/>
      <w:marLeft w:val="0"/>
      <w:marRight w:val="0"/>
      <w:marTop w:val="0"/>
      <w:marBottom w:val="0"/>
      <w:divBdr>
        <w:top w:val="none" w:sz="0" w:space="0" w:color="auto"/>
        <w:left w:val="none" w:sz="0" w:space="0" w:color="auto"/>
        <w:bottom w:val="none" w:sz="0" w:space="0" w:color="auto"/>
        <w:right w:val="none" w:sz="0" w:space="0" w:color="auto"/>
      </w:divBdr>
    </w:div>
    <w:div w:id="556892126">
      <w:bodyDiv w:val="1"/>
      <w:marLeft w:val="0"/>
      <w:marRight w:val="0"/>
      <w:marTop w:val="0"/>
      <w:marBottom w:val="0"/>
      <w:divBdr>
        <w:top w:val="none" w:sz="0" w:space="0" w:color="auto"/>
        <w:left w:val="none" w:sz="0" w:space="0" w:color="auto"/>
        <w:bottom w:val="none" w:sz="0" w:space="0" w:color="auto"/>
        <w:right w:val="none" w:sz="0" w:space="0" w:color="auto"/>
      </w:divBdr>
    </w:div>
    <w:div w:id="557086598">
      <w:bodyDiv w:val="1"/>
      <w:marLeft w:val="0"/>
      <w:marRight w:val="0"/>
      <w:marTop w:val="0"/>
      <w:marBottom w:val="0"/>
      <w:divBdr>
        <w:top w:val="none" w:sz="0" w:space="0" w:color="auto"/>
        <w:left w:val="none" w:sz="0" w:space="0" w:color="auto"/>
        <w:bottom w:val="none" w:sz="0" w:space="0" w:color="auto"/>
        <w:right w:val="none" w:sz="0" w:space="0" w:color="auto"/>
      </w:divBdr>
    </w:div>
    <w:div w:id="557669468">
      <w:bodyDiv w:val="1"/>
      <w:marLeft w:val="0"/>
      <w:marRight w:val="0"/>
      <w:marTop w:val="0"/>
      <w:marBottom w:val="0"/>
      <w:divBdr>
        <w:top w:val="none" w:sz="0" w:space="0" w:color="auto"/>
        <w:left w:val="none" w:sz="0" w:space="0" w:color="auto"/>
        <w:bottom w:val="none" w:sz="0" w:space="0" w:color="auto"/>
        <w:right w:val="none" w:sz="0" w:space="0" w:color="auto"/>
      </w:divBdr>
    </w:div>
    <w:div w:id="558903383">
      <w:bodyDiv w:val="1"/>
      <w:marLeft w:val="0"/>
      <w:marRight w:val="0"/>
      <w:marTop w:val="0"/>
      <w:marBottom w:val="0"/>
      <w:divBdr>
        <w:top w:val="none" w:sz="0" w:space="0" w:color="auto"/>
        <w:left w:val="none" w:sz="0" w:space="0" w:color="auto"/>
        <w:bottom w:val="none" w:sz="0" w:space="0" w:color="auto"/>
        <w:right w:val="none" w:sz="0" w:space="0" w:color="auto"/>
      </w:divBdr>
    </w:div>
    <w:div w:id="559480915">
      <w:bodyDiv w:val="1"/>
      <w:marLeft w:val="0"/>
      <w:marRight w:val="0"/>
      <w:marTop w:val="0"/>
      <w:marBottom w:val="0"/>
      <w:divBdr>
        <w:top w:val="none" w:sz="0" w:space="0" w:color="auto"/>
        <w:left w:val="none" w:sz="0" w:space="0" w:color="auto"/>
        <w:bottom w:val="none" w:sz="0" w:space="0" w:color="auto"/>
        <w:right w:val="none" w:sz="0" w:space="0" w:color="auto"/>
      </w:divBdr>
    </w:div>
    <w:div w:id="559557462">
      <w:bodyDiv w:val="1"/>
      <w:marLeft w:val="0"/>
      <w:marRight w:val="0"/>
      <w:marTop w:val="0"/>
      <w:marBottom w:val="0"/>
      <w:divBdr>
        <w:top w:val="none" w:sz="0" w:space="0" w:color="auto"/>
        <w:left w:val="none" w:sz="0" w:space="0" w:color="auto"/>
        <w:bottom w:val="none" w:sz="0" w:space="0" w:color="auto"/>
        <w:right w:val="none" w:sz="0" w:space="0" w:color="auto"/>
      </w:divBdr>
    </w:div>
    <w:div w:id="561214595">
      <w:bodyDiv w:val="1"/>
      <w:marLeft w:val="0"/>
      <w:marRight w:val="0"/>
      <w:marTop w:val="0"/>
      <w:marBottom w:val="0"/>
      <w:divBdr>
        <w:top w:val="none" w:sz="0" w:space="0" w:color="auto"/>
        <w:left w:val="none" w:sz="0" w:space="0" w:color="auto"/>
        <w:bottom w:val="none" w:sz="0" w:space="0" w:color="auto"/>
        <w:right w:val="none" w:sz="0" w:space="0" w:color="auto"/>
      </w:divBdr>
    </w:div>
    <w:div w:id="562134999">
      <w:bodyDiv w:val="1"/>
      <w:marLeft w:val="0"/>
      <w:marRight w:val="0"/>
      <w:marTop w:val="0"/>
      <w:marBottom w:val="0"/>
      <w:divBdr>
        <w:top w:val="none" w:sz="0" w:space="0" w:color="auto"/>
        <w:left w:val="none" w:sz="0" w:space="0" w:color="auto"/>
        <w:bottom w:val="none" w:sz="0" w:space="0" w:color="auto"/>
        <w:right w:val="none" w:sz="0" w:space="0" w:color="auto"/>
      </w:divBdr>
    </w:div>
    <w:div w:id="562370599">
      <w:bodyDiv w:val="1"/>
      <w:marLeft w:val="0"/>
      <w:marRight w:val="0"/>
      <w:marTop w:val="0"/>
      <w:marBottom w:val="0"/>
      <w:divBdr>
        <w:top w:val="none" w:sz="0" w:space="0" w:color="auto"/>
        <w:left w:val="none" w:sz="0" w:space="0" w:color="auto"/>
        <w:bottom w:val="none" w:sz="0" w:space="0" w:color="auto"/>
        <w:right w:val="none" w:sz="0" w:space="0" w:color="auto"/>
      </w:divBdr>
    </w:div>
    <w:div w:id="562375058">
      <w:bodyDiv w:val="1"/>
      <w:marLeft w:val="0"/>
      <w:marRight w:val="0"/>
      <w:marTop w:val="0"/>
      <w:marBottom w:val="0"/>
      <w:divBdr>
        <w:top w:val="none" w:sz="0" w:space="0" w:color="auto"/>
        <w:left w:val="none" w:sz="0" w:space="0" w:color="auto"/>
        <w:bottom w:val="none" w:sz="0" w:space="0" w:color="auto"/>
        <w:right w:val="none" w:sz="0" w:space="0" w:color="auto"/>
      </w:divBdr>
    </w:div>
    <w:div w:id="564143892">
      <w:bodyDiv w:val="1"/>
      <w:marLeft w:val="0"/>
      <w:marRight w:val="0"/>
      <w:marTop w:val="0"/>
      <w:marBottom w:val="0"/>
      <w:divBdr>
        <w:top w:val="none" w:sz="0" w:space="0" w:color="auto"/>
        <w:left w:val="none" w:sz="0" w:space="0" w:color="auto"/>
        <w:bottom w:val="none" w:sz="0" w:space="0" w:color="auto"/>
        <w:right w:val="none" w:sz="0" w:space="0" w:color="auto"/>
      </w:divBdr>
    </w:div>
    <w:div w:id="564687116">
      <w:bodyDiv w:val="1"/>
      <w:marLeft w:val="0"/>
      <w:marRight w:val="0"/>
      <w:marTop w:val="0"/>
      <w:marBottom w:val="0"/>
      <w:divBdr>
        <w:top w:val="none" w:sz="0" w:space="0" w:color="auto"/>
        <w:left w:val="none" w:sz="0" w:space="0" w:color="auto"/>
        <w:bottom w:val="none" w:sz="0" w:space="0" w:color="auto"/>
        <w:right w:val="none" w:sz="0" w:space="0" w:color="auto"/>
      </w:divBdr>
    </w:div>
    <w:div w:id="565149210">
      <w:bodyDiv w:val="1"/>
      <w:marLeft w:val="0"/>
      <w:marRight w:val="0"/>
      <w:marTop w:val="0"/>
      <w:marBottom w:val="0"/>
      <w:divBdr>
        <w:top w:val="none" w:sz="0" w:space="0" w:color="auto"/>
        <w:left w:val="none" w:sz="0" w:space="0" w:color="auto"/>
        <w:bottom w:val="none" w:sz="0" w:space="0" w:color="auto"/>
        <w:right w:val="none" w:sz="0" w:space="0" w:color="auto"/>
      </w:divBdr>
    </w:div>
    <w:div w:id="565723793">
      <w:bodyDiv w:val="1"/>
      <w:marLeft w:val="0"/>
      <w:marRight w:val="0"/>
      <w:marTop w:val="0"/>
      <w:marBottom w:val="0"/>
      <w:divBdr>
        <w:top w:val="none" w:sz="0" w:space="0" w:color="auto"/>
        <w:left w:val="none" w:sz="0" w:space="0" w:color="auto"/>
        <w:bottom w:val="none" w:sz="0" w:space="0" w:color="auto"/>
        <w:right w:val="none" w:sz="0" w:space="0" w:color="auto"/>
      </w:divBdr>
    </w:div>
    <w:div w:id="565729018">
      <w:bodyDiv w:val="1"/>
      <w:marLeft w:val="0"/>
      <w:marRight w:val="0"/>
      <w:marTop w:val="0"/>
      <w:marBottom w:val="0"/>
      <w:divBdr>
        <w:top w:val="none" w:sz="0" w:space="0" w:color="auto"/>
        <w:left w:val="none" w:sz="0" w:space="0" w:color="auto"/>
        <w:bottom w:val="none" w:sz="0" w:space="0" w:color="auto"/>
        <w:right w:val="none" w:sz="0" w:space="0" w:color="auto"/>
      </w:divBdr>
    </w:div>
    <w:div w:id="565913678">
      <w:bodyDiv w:val="1"/>
      <w:marLeft w:val="0"/>
      <w:marRight w:val="0"/>
      <w:marTop w:val="0"/>
      <w:marBottom w:val="0"/>
      <w:divBdr>
        <w:top w:val="none" w:sz="0" w:space="0" w:color="auto"/>
        <w:left w:val="none" w:sz="0" w:space="0" w:color="auto"/>
        <w:bottom w:val="none" w:sz="0" w:space="0" w:color="auto"/>
        <w:right w:val="none" w:sz="0" w:space="0" w:color="auto"/>
      </w:divBdr>
    </w:div>
    <w:div w:id="566456526">
      <w:bodyDiv w:val="1"/>
      <w:marLeft w:val="0"/>
      <w:marRight w:val="0"/>
      <w:marTop w:val="0"/>
      <w:marBottom w:val="0"/>
      <w:divBdr>
        <w:top w:val="none" w:sz="0" w:space="0" w:color="auto"/>
        <w:left w:val="none" w:sz="0" w:space="0" w:color="auto"/>
        <w:bottom w:val="none" w:sz="0" w:space="0" w:color="auto"/>
        <w:right w:val="none" w:sz="0" w:space="0" w:color="auto"/>
      </w:divBdr>
    </w:div>
    <w:div w:id="566918703">
      <w:bodyDiv w:val="1"/>
      <w:marLeft w:val="0"/>
      <w:marRight w:val="0"/>
      <w:marTop w:val="0"/>
      <w:marBottom w:val="0"/>
      <w:divBdr>
        <w:top w:val="none" w:sz="0" w:space="0" w:color="auto"/>
        <w:left w:val="none" w:sz="0" w:space="0" w:color="auto"/>
        <w:bottom w:val="none" w:sz="0" w:space="0" w:color="auto"/>
        <w:right w:val="none" w:sz="0" w:space="0" w:color="auto"/>
      </w:divBdr>
    </w:div>
    <w:div w:id="567302989">
      <w:bodyDiv w:val="1"/>
      <w:marLeft w:val="0"/>
      <w:marRight w:val="0"/>
      <w:marTop w:val="0"/>
      <w:marBottom w:val="0"/>
      <w:divBdr>
        <w:top w:val="none" w:sz="0" w:space="0" w:color="auto"/>
        <w:left w:val="none" w:sz="0" w:space="0" w:color="auto"/>
        <w:bottom w:val="none" w:sz="0" w:space="0" w:color="auto"/>
        <w:right w:val="none" w:sz="0" w:space="0" w:color="auto"/>
      </w:divBdr>
    </w:div>
    <w:div w:id="567887985">
      <w:bodyDiv w:val="1"/>
      <w:marLeft w:val="0"/>
      <w:marRight w:val="0"/>
      <w:marTop w:val="0"/>
      <w:marBottom w:val="0"/>
      <w:divBdr>
        <w:top w:val="none" w:sz="0" w:space="0" w:color="auto"/>
        <w:left w:val="none" w:sz="0" w:space="0" w:color="auto"/>
        <w:bottom w:val="none" w:sz="0" w:space="0" w:color="auto"/>
        <w:right w:val="none" w:sz="0" w:space="0" w:color="auto"/>
      </w:divBdr>
    </w:div>
    <w:div w:id="567962362">
      <w:bodyDiv w:val="1"/>
      <w:marLeft w:val="0"/>
      <w:marRight w:val="0"/>
      <w:marTop w:val="0"/>
      <w:marBottom w:val="0"/>
      <w:divBdr>
        <w:top w:val="none" w:sz="0" w:space="0" w:color="auto"/>
        <w:left w:val="none" w:sz="0" w:space="0" w:color="auto"/>
        <w:bottom w:val="none" w:sz="0" w:space="0" w:color="auto"/>
        <w:right w:val="none" w:sz="0" w:space="0" w:color="auto"/>
      </w:divBdr>
    </w:div>
    <w:div w:id="568151874">
      <w:bodyDiv w:val="1"/>
      <w:marLeft w:val="0"/>
      <w:marRight w:val="0"/>
      <w:marTop w:val="0"/>
      <w:marBottom w:val="0"/>
      <w:divBdr>
        <w:top w:val="none" w:sz="0" w:space="0" w:color="auto"/>
        <w:left w:val="none" w:sz="0" w:space="0" w:color="auto"/>
        <w:bottom w:val="none" w:sz="0" w:space="0" w:color="auto"/>
        <w:right w:val="none" w:sz="0" w:space="0" w:color="auto"/>
      </w:divBdr>
    </w:div>
    <w:div w:id="568733212">
      <w:bodyDiv w:val="1"/>
      <w:marLeft w:val="0"/>
      <w:marRight w:val="0"/>
      <w:marTop w:val="0"/>
      <w:marBottom w:val="0"/>
      <w:divBdr>
        <w:top w:val="none" w:sz="0" w:space="0" w:color="auto"/>
        <w:left w:val="none" w:sz="0" w:space="0" w:color="auto"/>
        <w:bottom w:val="none" w:sz="0" w:space="0" w:color="auto"/>
        <w:right w:val="none" w:sz="0" w:space="0" w:color="auto"/>
      </w:divBdr>
    </w:div>
    <w:div w:id="568880000">
      <w:bodyDiv w:val="1"/>
      <w:marLeft w:val="0"/>
      <w:marRight w:val="0"/>
      <w:marTop w:val="0"/>
      <w:marBottom w:val="0"/>
      <w:divBdr>
        <w:top w:val="none" w:sz="0" w:space="0" w:color="auto"/>
        <w:left w:val="none" w:sz="0" w:space="0" w:color="auto"/>
        <w:bottom w:val="none" w:sz="0" w:space="0" w:color="auto"/>
        <w:right w:val="none" w:sz="0" w:space="0" w:color="auto"/>
      </w:divBdr>
    </w:div>
    <w:div w:id="569656488">
      <w:bodyDiv w:val="1"/>
      <w:marLeft w:val="0"/>
      <w:marRight w:val="0"/>
      <w:marTop w:val="0"/>
      <w:marBottom w:val="0"/>
      <w:divBdr>
        <w:top w:val="none" w:sz="0" w:space="0" w:color="auto"/>
        <w:left w:val="none" w:sz="0" w:space="0" w:color="auto"/>
        <w:bottom w:val="none" w:sz="0" w:space="0" w:color="auto"/>
        <w:right w:val="none" w:sz="0" w:space="0" w:color="auto"/>
      </w:divBdr>
    </w:div>
    <w:div w:id="569776812">
      <w:bodyDiv w:val="1"/>
      <w:marLeft w:val="0"/>
      <w:marRight w:val="0"/>
      <w:marTop w:val="0"/>
      <w:marBottom w:val="0"/>
      <w:divBdr>
        <w:top w:val="none" w:sz="0" w:space="0" w:color="auto"/>
        <w:left w:val="none" w:sz="0" w:space="0" w:color="auto"/>
        <w:bottom w:val="none" w:sz="0" w:space="0" w:color="auto"/>
        <w:right w:val="none" w:sz="0" w:space="0" w:color="auto"/>
      </w:divBdr>
    </w:div>
    <w:div w:id="570386720">
      <w:bodyDiv w:val="1"/>
      <w:marLeft w:val="0"/>
      <w:marRight w:val="0"/>
      <w:marTop w:val="0"/>
      <w:marBottom w:val="0"/>
      <w:divBdr>
        <w:top w:val="none" w:sz="0" w:space="0" w:color="auto"/>
        <w:left w:val="none" w:sz="0" w:space="0" w:color="auto"/>
        <w:bottom w:val="none" w:sz="0" w:space="0" w:color="auto"/>
        <w:right w:val="none" w:sz="0" w:space="0" w:color="auto"/>
      </w:divBdr>
    </w:div>
    <w:div w:id="570776332">
      <w:bodyDiv w:val="1"/>
      <w:marLeft w:val="0"/>
      <w:marRight w:val="0"/>
      <w:marTop w:val="0"/>
      <w:marBottom w:val="0"/>
      <w:divBdr>
        <w:top w:val="none" w:sz="0" w:space="0" w:color="auto"/>
        <w:left w:val="none" w:sz="0" w:space="0" w:color="auto"/>
        <w:bottom w:val="none" w:sz="0" w:space="0" w:color="auto"/>
        <w:right w:val="none" w:sz="0" w:space="0" w:color="auto"/>
      </w:divBdr>
    </w:div>
    <w:div w:id="571549526">
      <w:bodyDiv w:val="1"/>
      <w:marLeft w:val="0"/>
      <w:marRight w:val="0"/>
      <w:marTop w:val="0"/>
      <w:marBottom w:val="0"/>
      <w:divBdr>
        <w:top w:val="none" w:sz="0" w:space="0" w:color="auto"/>
        <w:left w:val="none" w:sz="0" w:space="0" w:color="auto"/>
        <w:bottom w:val="none" w:sz="0" w:space="0" w:color="auto"/>
        <w:right w:val="none" w:sz="0" w:space="0" w:color="auto"/>
      </w:divBdr>
    </w:div>
    <w:div w:id="571622177">
      <w:bodyDiv w:val="1"/>
      <w:marLeft w:val="0"/>
      <w:marRight w:val="0"/>
      <w:marTop w:val="0"/>
      <w:marBottom w:val="0"/>
      <w:divBdr>
        <w:top w:val="none" w:sz="0" w:space="0" w:color="auto"/>
        <w:left w:val="none" w:sz="0" w:space="0" w:color="auto"/>
        <w:bottom w:val="none" w:sz="0" w:space="0" w:color="auto"/>
        <w:right w:val="none" w:sz="0" w:space="0" w:color="auto"/>
      </w:divBdr>
    </w:div>
    <w:div w:id="573129204">
      <w:bodyDiv w:val="1"/>
      <w:marLeft w:val="0"/>
      <w:marRight w:val="0"/>
      <w:marTop w:val="0"/>
      <w:marBottom w:val="0"/>
      <w:divBdr>
        <w:top w:val="none" w:sz="0" w:space="0" w:color="auto"/>
        <w:left w:val="none" w:sz="0" w:space="0" w:color="auto"/>
        <w:bottom w:val="none" w:sz="0" w:space="0" w:color="auto"/>
        <w:right w:val="none" w:sz="0" w:space="0" w:color="auto"/>
      </w:divBdr>
    </w:div>
    <w:div w:id="573243647">
      <w:bodyDiv w:val="1"/>
      <w:marLeft w:val="0"/>
      <w:marRight w:val="0"/>
      <w:marTop w:val="0"/>
      <w:marBottom w:val="0"/>
      <w:divBdr>
        <w:top w:val="none" w:sz="0" w:space="0" w:color="auto"/>
        <w:left w:val="none" w:sz="0" w:space="0" w:color="auto"/>
        <w:bottom w:val="none" w:sz="0" w:space="0" w:color="auto"/>
        <w:right w:val="none" w:sz="0" w:space="0" w:color="auto"/>
      </w:divBdr>
    </w:div>
    <w:div w:id="574319467">
      <w:bodyDiv w:val="1"/>
      <w:marLeft w:val="0"/>
      <w:marRight w:val="0"/>
      <w:marTop w:val="0"/>
      <w:marBottom w:val="0"/>
      <w:divBdr>
        <w:top w:val="none" w:sz="0" w:space="0" w:color="auto"/>
        <w:left w:val="none" w:sz="0" w:space="0" w:color="auto"/>
        <w:bottom w:val="none" w:sz="0" w:space="0" w:color="auto"/>
        <w:right w:val="none" w:sz="0" w:space="0" w:color="auto"/>
      </w:divBdr>
    </w:div>
    <w:div w:id="576013199">
      <w:bodyDiv w:val="1"/>
      <w:marLeft w:val="0"/>
      <w:marRight w:val="0"/>
      <w:marTop w:val="0"/>
      <w:marBottom w:val="0"/>
      <w:divBdr>
        <w:top w:val="none" w:sz="0" w:space="0" w:color="auto"/>
        <w:left w:val="none" w:sz="0" w:space="0" w:color="auto"/>
        <w:bottom w:val="none" w:sz="0" w:space="0" w:color="auto"/>
        <w:right w:val="none" w:sz="0" w:space="0" w:color="auto"/>
      </w:divBdr>
    </w:div>
    <w:div w:id="577136421">
      <w:bodyDiv w:val="1"/>
      <w:marLeft w:val="0"/>
      <w:marRight w:val="0"/>
      <w:marTop w:val="0"/>
      <w:marBottom w:val="0"/>
      <w:divBdr>
        <w:top w:val="none" w:sz="0" w:space="0" w:color="auto"/>
        <w:left w:val="none" w:sz="0" w:space="0" w:color="auto"/>
        <w:bottom w:val="none" w:sz="0" w:space="0" w:color="auto"/>
        <w:right w:val="none" w:sz="0" w:space="0" w:color="auto"/>
      </w:divBdr>
    </w:div>
    <w:div w:id="578095691">
      <w:bodyDiv w:val="1"/>
      <w:marLeft w:val="0"/>
      <w:marRight w:val="0"/>
      <w:marTop w:val="0"/>
      <w:marBottom w:val="0"/>
      <w:divBdr>
        <w:top w:val="none" w:sz="0" w:space="0" w:color="auto"/>
        <w:left w:val="none" w:sz="0" w:space="0" w:color="auto"/>
        <w:bottom w:val="none" w:sz="0" w:space="0" w:color="auto"/>
        <w:right w:val="none" w:sz="0" w:space="0" w:color="auto"/>
      </w:divBdr>
    </w:div>
    <w:div w:id="578178414">
      <w:bodyDiv w:val="1"/>
      <w:marLeft w:val="0"/>
      <w:marRight w:val="0"/>
      <w:marTop w:val="0"/>
      <w:marBottom w:val="0"/>
      <w:divBdr>
        <w:top w:val="none" w:sz="0" w:space="0" w:color="auto"/>
        <w:left w:val="none" w:sz="0" w:space="0" w:color="auto"/>
        <w:bottom w:val="none" w:sz="0" w:space="0" w:color="auto"/>
        <w:right w:val="none" w:sz="0" w:space="0" w:color="auto"/>
      </w:divBdr>
    </w:div>
    <w:div w:id="578829033">
      <w:bodyDiv w:val="1"/>
      <w:marLeft w:val="0"/>
      <w:marRight w:val="0"/>
      <w:marTop w:val="0"/>
      <w:marBottom w:val="0"/>
      <w:divBdr>
        <w:top w:val="none" w:sz="0" w:space="0" w:color="auto"/>
        <w:left w:val="none" w:sz="0" w:space="0" w:color="auto"/>
        <w:bottom w:val="none" w:sz="0" w:space="0" w:color="auto"/>
        <w:right w:val="none" w:sz="0" w:space="0" w:color="auto"/>
      </w:divBdr>
    </w:div>
    <w:div w:id="579217194">
      <w:bodyDiv w:val="1"/>
      <w:marLeft w:val="0"/>
      <w:marRight w:val="0"/>
      <w:marTop w:val="0"/>
      <w:marBottom w:val="0"/>
      <w:divBdr>
        <w:top w:val="none" w:sz="0" w:space="0" w:color="auto"/>
        <w:left w:val="none" w:sz="0" w:space="0" w:color="auto"/>
        <w:bottom w:val="none" w:sz="0" w:space="0" w:color="auto"/>
        <w:right w:val="none" w:sz="0" w:space="0" w:color="auto"/>
      </w:divBdr>
    </w:div>
    <w:div w:id="579288999">
      <w:bodyDiv w:val="1"/>
      <w:marLeft w:val="0"/>
      <w:marRight w:val="0"/>
      <w:marTop w:val="0"/>
      <w:marBottom w:val="0"/>
      <w:divBdr>
        <w:top w:val="none" w:sz="0" w:space="0" w:color="auto"/>
        <w:left w:val="none" w:sz="0" w:space="0" w:color="auto"/>
        <w:bottom w:val="none" w:sz="0" w:space="0" w:color="auto"/>
        <w:right w:val="none" w:sz="0" w:space="0" w:color="auto"/>
      </w:divBdr>
    </w:div>
    <w:div w:id="579564347">
      <w:bodyDiv w:val="1"/>
      <w:marLeft w:val="0"/>
      <w:marRight w:val="0"/>
      <w:marTop w:val="0"/>
      <w:marBottom w:val="0"/>
      <w:divBdr>
        <w:top w:val="none" w:sz="0" w:space="0" w:color="auto"/>
        <w:left w:val="none" w:sz="0" w:space="0" w:color="auto"/>
        <w:bottom w:val="none" w:sz="0" w:space="0" w:color="auto"/>
        <w:right w:val="none" w:sz="0" w:space="0" w:color="auto"/>
      </w:divBdr>
    </w:div>
    <w:div w:id="579827381">
      <w:bodyDiv w:val="1"/>
      <w:marLeft w:val="0"/>
      <w:marRight w:val="0"/>
      <w:marTop w:val="0"/>
      <w:marBottom w:val="0"/>
      <w:divBdr>
        <w:top w:val="none" w:sz="0" w:space="0" w:color="auto"/>
        <w:left w:val="none" w:sz="0" w:space="0" w:color="auto"/>
        <w:bottom w:val="none" w:sz="0" w:space="0" w:color="auto"/>
        <w:right w:val="none" w:sz="0" w:space="0" w:color="auto"/>
      </w:divBdr>
    </w:div>
    <w:div w:id="580255826">
      <w:bodyDiv w:val="1"/>
      <w:marLeft w:val="0"/>
      <w:marRight w:val="0"/>
      <w:marTop w:val="0"/>
      <w:marBottom w:val="0"/>
      <w:divBdr>
        <w:top w:val="none" w:sz="0" w:space="0" w:color="auto"/>
        <w:left w:val="none" w:sz="0" w:space="0" w:color="auto"/>
        <w:bottom w:val="none" w:sz="0" w:space="0" w:color="auto"/>
        <w:right w:val="none" w:sz="0" w:space="0" w:color="auto"/>
      </w:divBdr>
    </w:div>
    <w:div w:id="581523641">
      <w:bodyDiv w:val="1"/>
      <w:marLeft w:val="0"/>
      <w:marRight w:val="0"/>
      <w:marTop w:val="0"/>
      <w:marBottom w:val="0"/>
      <w:divBdr>
        <w:top w:val="none" w:sz="0" w:space="0" w:color="auto"/>
        <w:left w:val="none" w:sz="0" w:space="0" w:color="auto"/>
        <w:bottom w:val="none" w:sz="0" w:space="0" w:color="auto"/>
        <w:right w:val="none" w:sz="0" w:space="0" w:color="auto"/>
      </w:divBdr>
    </w:div>
    <w:div w:id="581839880">
      <w:bodyDiv w:val="1"/>
      <w:marLeft w:val="0"/>
      <w:marRight w:val="0"/>
      <w:marTop w:val="0"/>
      <w:marBottom w:val="0"/>
      <w:divBdr>
        <w:top w:val="none" w:sz="0" w:space="0" w:color="auto"/>
        <w:left w:val="none" w:sz="0" w:space="0" w:color="auto"/>
        <w:bottom w:val="none" w:sz="0" w:space="0" w:color="auto"/>
        <w:right w:val="none" w:sz="0" w:space="0" w:color="auto"/>
      </w:divBdr>
    </w:div>
    <w:div w:id="582182910">
      <w:bodyDiv w:val="1"/>
      <w:marLeft w:val="0"/>
      <w:marRight w:val="0"/>
      <w:marTop w:val="0"/>
      <w:marBottom w:val="0"/>
      <w:divBdr>
        <w:top w:val="none" w:sz="0" w:space="0" w:color="auto"/>
        <w:left w:val="none" w:sz="0" w:space="0" w:color="auto"/>
        <w:bottom w:val="none" w:sz="0" w:space="0" w:color="auto"/>
        <w:right w:val="none" w:sz="0" w:space="0" w:color="auto"/>
      </w:divBdr>
    </w:div>
    <w:div w:id="582573565">
      <w:bodyDiv w:val="1"/>
      <w:marLeft w:val="0"/>
      <w:marRight w:val="0"/>
      <w:marTop w:val="0"/>
      <w:marBottom w:val="0"/>
      <w:divBdr>
        <w:top w:val="none" w:sz="0" w:space="0" w:color="auto"/>
        <w:left w:val="none" w:sz="0" w:space="0" w:color="auto"/>
        <w:bottom w:val="none" w:sz="0" w:space="0" w:color="auto"/>
        <w:right w:val="none" w:sz="0" w:space="0" w:color="auto"/>
      </w:divBdr>
    </w:div>
    <w:div w:id="582757589">
      <w:bodyDiv w:val="1"/>
      <w:marLeft w:val="0"/>
      <w:marRight w:val="0"/>
      <w:marTop w:val="0"/>
      <w:marBottom w:val="0"/>
      <w:divBdr>
        <w:top w:val="none" w:sz="0" w:space="0" w:color="auto"/>
        <w:left w:val="none" w:sz="0" w:space="0" w:color="auto"/>
        <w:bottom w:val="none" w:sz="0" w:space="0" w:color="auto"/>
        <w:right w:val="none" w:sz="0" w:space="0" w:color="auto"/>
      </w:divBdr>
    </w:div>
    <w:div w:id="582757765">
      <w:bodyDiv w:val="1"/>
      <w:marLeft w:val="0"/>
      <w:marRight w:val="0"/>
      <w:marTop w:val="0"/>
      <w:marBottom w:val="0"/>
      <w:divBdr>
        <w:top w:val="none" w:sz="0" w:space="0" w:color="auto"/>
        <w:left w:val="none" w:sz="0" w:space="0" w:color="auto"/>
        <w:bottom w:val="none" w:sz="0" w:space="0" w:color="auto"/>
        <w:right w:val="none" w:sz="0" w:space="0" w:color="auto"/>
      </w:divBdr>
    </w:div>
    <w:div w:id="585070999">
      <w:bodyDiv w:val="1"/>
      <w:marLeft w:val="0"/>
      <w:marRight w:val="0"/>
      <w:marTop w:val="0"/>
      <w:marBottom w:val="0"/>
      <w:divBdr>
        <w:top w:val="none" w:sz="0" w:space="0" w:color="auto"/>
        <w:left w:val="none" w:sz="0" w:space="0" w:color="auto"/>
        <w:bottom w:val="none" w:sz="0" w:space="0" w:color="auto"/>
        <w:right w:val="none" w:sz="0" w:space="0" w:color="auto"/>
      </w:divBdr>
    </w:div>
    <w:div w:id="585118551">
      <w:bodyDiv w:val="1"/>
      <w:marLeft w:val="0"/>
      <w:marRight w:val="0"/>
      <w:marTop w:val="0"/>
      <w:marBottom w:val="0"/>
      <w:divBdr>
        <w:top w:val="none" w:sz="0" w:space="0" w:color="auto"/>
        <w:left w:val="none" w:sz="0" w:space="0" w:color="auto"/>
        <w:bottom w:val="none" w:sz="0" w:space="0" w:color="auto"/>
        <w:right w:val="none" w:sz="0" w:space="0" w:color="auto"/>
      </w:divBdr>
    </w:div>
    <w:div w:id="585459445">
      <w:bodyDiv w:val="1"/>
      <w:marLeft w:val="0"/>
      <w:marRight w:val="0"/>
      <w:marTop w:val="0"/>
      <w:marBottom w:val="0"/>
      <w:divBdr>
        <w:top w:val="none" w:sz="0" w:space="0" w:color="auto"/>
        <w:left w:val="none" w:sz="0" w:space="0" w:color="auto"/>
        <w:bottom w:val="none" w:sz="0" w:space="0" w:color="auto"/>
        <w:right w:val="none" w:sz="0" w:space="0" w:color="auto"/>
      </w:divBdr>
    </w:div>
    <w:div w:id="585774687">
      <w:bodyDiv w:val="1"/>
      <w:marLeft w:val="0"/>
      <w:marRight w:val="0"/>
      <w:marTop w:val="0"/>
      <w:marBottom w:val="0"/>
      <w:divBdr>
        <w:top w:val="none" w:sz="0" w:space="0" w:color="auto"/>
        <w:left w:val="none" w:sz="0" w:space="0" w:color="auto"/>
        <w:bottom w:val="none" w:sz="0" w:space="0" w:color="auto"/>
        <w:right w:val="none" w:sz="0" w:space="0" w:color="auto"/>
      </w:divBdr>
    </w:div>
    <w:div w:id="586040737">
      <w:bodyDiv w:val="1"/>
      <w:marLeft w:val="0"/>
      <w:marRight w:val="0"/>
      <w:marTop w:val="0"/>
      <w:marBottom w:val="0"/>
      <w:divBdr>
        <w:top w:val="none" w:sz="0" w:space="0" w:color="auto"/>
        <w:left w:val="none" w:sz="0" w:space="0" w:color="auto"/>
        <w:bottom w:val="none" w:sz="0" w:space="0" w:color="auto"/>
        <w:right w:val="none" w:sz="0" w:space="0" w:color="auto"/>
      </w:divBdr>
    </w:div>
    <w:div w:id="586042459">
      <w:bodyDiv w:val="1"/>
      <w:marLeft w:val="0"/>
      <w:marRight w:val="0"/>
      <w:marTop w:val="0"/>
      <w:marBottom w:val="0"/>
      <w:divBdr>
        <w:top w:val="none" w:sz="0" w:space="0" w:color="auto"/>
        <w:left w:val="none" w:sz="0" w:space="0" w:color="auto"/>
        <w:bottom w:val="none" w:sz="0" w:space="0" w:color="auto"/>
        <w:right w:val="none" w:sz="0" w:space="0" w:color="auto"/>
      </w:divBdr>
    </w:div>
    <w:div w:id="587152172">
      <w:bodyDiv w:val="1"/>
      <w:marLeft w:val="0"/>
      <w:marRight w:val="0"/>
      <w:marTop w:val="0"/>
      <w:marBottom w:val="0"/>
      <w:divBdr>
        <w:top w:val="none" w:sz="0" w:space="0" w:color="auto"/>
        <w:left w:val="none" w:sz="0" w:space="0" w:color="auto"/>
        <w:bottom w:val="none" w:sz="0" w:space="0" w:color="auto"/>
        <w:right w:val="none" w:sz="0" w:space="0" w:color="auto"/>
      </w:divBdr>
    </w:div>
    <w:div w:id="587733393">
      <w:bodyDiv w:val="1"/>
      <w:marLeft w:val="0"/>
      <w:marRight w:val="0"/>
      <w:marTop w:val="0"/>
      <w:marBottom w:val="0"/>
      <w:divBdr>
        <w:top w:val="none" w:sz="0" w:space="0" w:color="auto"/>
        <w:left w:val="none" w:sz="0" w:space="0" w:color="auto"/>
        <w:bottom w:val="none" w:sz="0" w:space="0" w:color="auto"/>
        <w:right w:val="none" w:sz="0" w:space="0" w:color="auto"/>
      </w:divBdr>
    </w:div>
    <w:div w:id="587927146">
      <w:bodyDiv w:val="1"/>
      <w:marLeft w:val="0"/>
      <w:marRight w:val="0"/>
      <w:marTop w:val="0"/>
      <w:marBottom w:val="0"/>
      <w:divBdr>
        <w:top w:val="none" w:sz="0" w:space="0" w:color="auto"/>
        <w:left w:val="none" w:sz="0" w:space="0" w:color="auto"/>
        <w:bottom w:val="none" w:sz="0" w:space="0" w:color="auto"/>
        <w:right w:val="none" w:sz="0" w:space="0" w:color="auto"/>
      </w:divBdr>
    </w:div>
    <w:div w:id="588008265">
      <w:bodyDiv w:val="1"/>
      <w:marLeft w:val="0"/>
      <w:marRight w:val="0"/>
      <w:marTop w:val="0"/>
      <w:marBottom w:val="0"/>
      <w:divBdr>
        <w:top w:val="none" w:sz="0" w:space="0" w:color="auto"/>
        <w:left w:val="none" w:sz="0" w:space="0" w:color="auto"/>
        <w:bottom w:val="none" w:sz="0" w:space="0" w:color="auto"/>
        <w:right w:val="none" w:sz="0" w:space="0" w:color="auto"/>
      </w:divBdr>
    </w:div>
    <w:div w:id="589391216">
      <w:bodyDiv w:val="1"/>
      <w:marLeft w:val="0"/>
      <w:marRight w:val="0"/>
      <w:marTop w:val="0"/>
      <w:marBottom w:val="0"/>
      <w:divBdr>
        <w:top w:val="none" w:sz="0" w:space="0" w:color="auto"/>
        <w:left w:val="none" w:sz="0" w:space="0" w:color="auto"/>
        <w:bottom w:val="none" w:sz="0" w:space="0" w:color="auto"/>
        <w:right w:val="none" w:sz="0" w:space="0" w:color="auto"/>
      </w:divBdr>
    </w:div>
    <w:div w:id="589433558">
      <w:bodyDiv w:val="1"/>
      <w:marLeft w:val="0"/>
      <w:marRight w:val="0"/>
      <w:marTop w:val="0"/>
      <w:marBottom w:val="0"/>
      <w:divBdr>
        <w:top w:val="none" w:sz="0" w:space="0" w:color="auto"/>
        <w:left w:val="none" w:sz="0" w:space="0" w:color="auto"/>
        <w:bottom w:val="none" w:sz="0" w:space="0" w:color="auto"/>
        <w:right w:val="none" w:sz="0" w:space="0" w:color="auto"/>
      </w:divBdr>
    </w:div>
    <w:div w:id="590548494">
      <w:bodyDiv w:val="1"/>
      <w:marLeft w:val="0"/>
      <w:marRight w:val="0"/>
      <w:marTop w:val="0"/>
      <w:marBottom w:val="0"/>
      <w:divBdr>
        <w:top w:val="none" w:sz="0" w:space="0" w:color="auto"/>
        <w:left w:val="none" w:sz="0" w:space="0" w:color="auto"/>
        <w:bottom w:val="none" w:sz="0" w:space="0" w:color="auto"/>
        <w:right w:val="none" w:sz="0" w:space="0" w:color="auto"/>
      </w:divBdr>
    </w:div>
    <w:div w:id="591669775">
      <w:bodyDiv w:val="1"/>
      <w:marLeft w:val="0"/>
      <w:marRight w:val="0"/>
      <w:marTop w:val="0"/>
      <w:marBottom w:val="0"/>
      <w:divBdr>
        <w:top w:val="none" w:sz="0" w:space="0" w:color="auto"/>
        <w:left w:val="none" w:sz="0" w:space="0" w:color="auto"/>
        <w:bottom w:val="none" w:sz="0" w:space="0" w:color="auto"/>
        <w:right w:val="none" w:sz="0" w:space="0" w:color="auto"/>
      </w:divBdr>
    </w:div>
    <w:div w:id="591938667">
      <w:bodyDiv w:val="1"/>
      <w:marLeft w:val="0"/>
      <w:marRight w:val="0"/>
      <w:marTop w:val="0"/>
      <w:marBottom w:val="0"/>
      <w:divBdr>
        <w:top w:val="none" w:sz="0" w:space="0" w:color="auto"/>
        <w:left w:val="none" w:sz="0" w:space="0" w:color="auto"/>
        <w:bottom w:val="none" w:sz="0" w:space="0" w:color="auto"/>
        <w:right w:val="none" w:sz="0" w:space="0" w:color="auto"/>
      </w:divBdr>
    </w:div>
    <w:div w:id="593132398">
      <w:bodyDiv w:val="1"/>
      <w:marLeft w:val="0"/>
      <w:marRight w:val="0"/>
      <w:marTop w:val="0"/>
      <w:marBottom w:val="0"/>
      <w:divBdr>
        <w:top w:val="none" w:sz="0" w:space="0" w:color="auto"/>
        <w:left w:val="none" w:sz="0" w:space="0" w:color="auto"/>
        <w:bottom w:val="none" w:sz="0" w:space="0" w:color="auto"/>
        <w:right w:val="none" w:sz="0" w:space="0" w:color="auto"/>
      </w:divBdr>
    </w:div>
    <w:div w:id="593591824">
      <w:bodyDiv w:val="1"/>
      <w:marLeft w:val="0"/>
      <w:marRight w:val="0"/>
      <w:marTop w:val="0"/>
      <w:marBottom w:val="0"/>
      <w:divBdr>
        <w:top w:val="none" w:sz="0" w:space="0" w:color="auto"/>
        <w:left w:val="none" w:sz="0" w:space="0" w:color="auto"/>
        <w:bottom w:val="none" w:sz="0" w:space="0" w:color="auto"/>
        <w:right w:val="none" w:sz="0" w:space="0" w:color="auto"/>
      </w:divBdr>
    </w:div>
    <w:div w:id="595288750">
      <w:bodyDiv w:val="1"/>
      <w:marLeft w:val="0"/>
      <w:marRight w:val="0"/>
      <w:marTop w:val="0"/>
      <w:marBottom w:val="0"/>
      <w:divBdr>
        <w:top w:val="none" w:sz="0" w:space="0" w:color="auto"/>
        <w:left w:val="none" w:sz="0" w:space="0" w:color="auto"/>
        <w:bottom w:val="none" w:sz="0" w:space="0" w:color="auto"/>
        <w:right w:val="none" w:sz="0" w:space="0" w:color="auto"/>
      </w:divBdr>
    </w:div>
    <w:div w:id="595750777">
      <w:bodyDiv w:val="1"/>
      <w:marLeft w:val="0"/>
      <w:marRight w:val="0"/>
      <w:marTop w:val="0"/>
      <w:marBottom w:val="0"/>
      <w:divBdr>
        <w:top w:val="none" w:sz="0" w:space="0" w:color="auto"/>
        <w:left w:val="none" w:sz="0" w:space="0" w:color="auto"/>
        <w:bottom w:val="none" w:sz="0" w:space="0" w:color="auto"/>
        <w:right w:val="none" w:sz="0" w:space="0" w:color="auto"/>
      </w:divBdr>
    </w:div>
    <w:div w:id="596183380">
      <w:bodyDiv w:val="1"/>
      <w:marLeft w:val="0"/>
      <w:marRight w:val="0"/>
      <w:marTop w:val="0"/>
      <w:marBottom w:val="0"/>
      <w:divBdr>
        <w:top w:val="none" w:sz="0" w:space="0" w:color="auto"/>
        <w:left w:val="none" w:sz="0" w:space="0" w:color="auto"/>
        <w:bottom w:val="none" w:sz="0" w:space="0" w:color="auto"/>
        <w:right w:val="none" w:sz="0" w:space="0" w:color="auto"/>
      </w:divBdr>
    </w:div>
    <w:div w:id="596670904">
      <w:bodyDiv w:val="1"/>
      <w:marLeft w:val="0"/>
      <w:marRight w:val="0"/>
      <w:marTop w:val="0"/>
      <w:marBottom w:val="0"/>
      <w:divBdr>
        <w:top w:val="none" w:sz="0" w:space="0" w:color="auto"/>
        <w:left w:val="none" w:sz="0" w:space="0" w:color="auto"/>
        <w:bottom w:val="none" w:sz="0" w:space="0" w:color="auto"/>
        <w:right w:val="none" w:sz="0" w:space="0" w:color="auto"/>
      </w:divBdr>
    </w:div>
    <w:div w:id="597257223">
      <w:bodyDiv w:val="1"/>
      <w:marLeft w:val="0"/>
      <w:marRight w:val="0"/>
      <w:marTop w:val="0"/>
      <w:marBottom w:val="0"/>
      <w:divBdr>
        <w:top w:val="none" w:sz="0" w:space="0" w:color="auto"/>
        <w:left w:val="none" w:sz="0" w:space="0" w:color="auto"/>
        <w:bottom w:val="none" w:sz="0" w:space="0" w:color="auto"/>
        <w:right w:val="none" w:sz="0" w:space="0" w:color="auto"/>
      </w:divBdr>
    </w:div>
    <w:div w:id="597298023">
      <w:bodyDiv w:val="1"/>
      <w:marLeft w:val="0"/>
      <w:marRight w:val="0"/>
      <w:marTop w:val="0"/>
      <w:marBottom w:val="0"/>
      <w:divBdr>
        <w:top w:val="none" w:sz="0" w:space="0" w:color="auto"/>
        <w:left w:val="none" w:sz="0" w:space="0" w:color="auto"/>
        <w:bottom w:val="none" w:sz="0" w:space="0" w:color="auto"/>
        <w:right w:val="none" w:sz="0" w:space="0" w:color="auto"/>
      </w:divBdr>
    </w:div>
    <w:div w:id="598879165">
      <w:bodyDiv w:val="1"/>
      <w:marLeft w:val="0"/>
      <w:marRight w:val="0"/>
      <w:marTop w:val="0"/>
      <w:marBottom w:val="0"/>
      <w:divBdr>
        <w:top w:val="none" w:sz="0" w:space="0" w:color="auto"/>
        <w:left w:val="none" w:sz="0" w:space="0" w:color="auto"/>
        <w:bottom w:val="none" w:sz="0" w:space="0" w:color="auto"/>
        <w:right w:val="none" w:sz="0" w:space="0" w:color="auto"/>
      </w:divBdr>
    </w:div>
    <w:div w:id="599220621">
      <w:bodyDiv w:val="1"/>
      <w:marLeft w:val="0"/>
      <w:marRight w:val="0"/>
      <w:marTop w:val="0"/>
      <w:marBottom w:val="0"/>
      <w:divBdr>
        <w:top w:val="none" w:sz="0" w:space="0" w:color="auto"/>
        <w:left w:val="none" w:sz="0" w:space="0" w:color="auto"/>
        <w:bottom w:val="none" w:sz="0" w:space="0" w:color="auto"/>
        <w:right w:val="none" w:sz="0" w:space="0" w:color="auto"/>
      </w:divBdr>
    </w:div>
    <w:div w:id="599677225">
      <w:bodyDiv w:val="1"/>
      <w:marLeft w:val="0"/>
      <w:marRight w:val="0"/>
      <w:marTop w:val="0"/>
      <w:marBottom w:val="0"/>
      <w:divBdr>
        <w:top w:val="none" w:sz="0" w:space="0" w:color="auto"/>
        <w:left w:val="none" w:sz="0" w:space="0" w:color="auto"/>
        <w:bottom w:val="none" w:sz="0" w:space="0" w:color="auto"/>
        <w:right w:val="none" w:sz="0" w:space="0" w:color="auto"/>
      </w:divBdr>
    </w:div>
    <w:div w:id="600453628">
      <w:bodyDiv w:val="1"/>
      <w:marLeft w:val="0"/>
      <w:marRight w:val="0"/>
      <w:marTop w:val="0"/>
      <w:marBottom w:val="0"/>
      <w:divBdr>
        <w:top w:val="none" w:sz="0" w:space="0" w:color="auto"/>
        <w:left w:val="none" w:sz="0" w:space="0" w:color="auto"/>
        <w:bottom w:val="none" w:sz="0" w:space="0" w:color="auto"/>
        <w:right w:val="none" w:sz="0" w:space="0" w:color="auto"/>
      </w:divBdr>
    </w:div>
    <w:div w:id="600794722">
      <w:bodyDiv w:val="1"/>
      <w:marLeft w:val="0"/>
      <w:marRight w:val="0"/>
      <w:marTop w:val="0"/>
      <w:marBottom w:val="0"/>
      <w:divBdr>
        <w:top w:val="none" w:sz="0" w:space="0" w:color="auto"/>
        <w:left w:val="none" w:sz="0" w:space="0" w:color="auto"/>
        <w:bottom w:val="none" w:sz="0" w:space="0" w:color="auto"/>
        <w:right w:val="none" w:sz="0" w:space="0" w:color="auto"/>
      </w:divBdr>
    </w:div>
    <w:div w:id="602542721">
      <w:bodyDiv w:val="1"/>
      <w:marLeft w:val="0"/>
      <w:marRight w:val="0"/>
      <w:marTop w:val="0"/>
      <w:marBottom w:val="0"/>
      <w:divBdr>
        <w:top w:val="none" w:sz="0" w:space="0" w:color="auto"/>
        <w:left w:val="none" w:sz="0" w:space="0" w:color="auto"/>
        <w:bottom w:val="none" w:sz="0" w:space="0" w:color="auto"/>
        <w:right w:val="none" w:sz="0" w:space="0" w:color="auto"/>
      </w:divBdr>
    </w:div>
    <w:div w:id="602568267">
      <w:bodyDiv w:val="1"/>
      <w:marLeft w:val="0"/>
      <w:marRight w:val="0"/>
      <w:marTop w:val="0"/>
      <w:marBottom w:val="0"/>
      <w:divBdr>
        <w:top w:val="none" w:sz="0" w:space="0" w:color="auto"/>
        <w:left w:val="none" w:sz="0" w:space="0" w:color="auto"/>
        <w:bottom w:val="none" w:sz="0" w:space="0" w:color="auto"/>
        <w:right w:val="none" w:sz="0" w:space="0" w:color="auto"/>
      </w:divBdr>
    </w:div>
    <w:div w:id="603540943">
      <w:bodyDiv w:val="1"/>
      <w:marLeft w:val="0"/>
      <w:marRight w:val="0"/>
      <w:marTop w:val="0"/>
      <w:marBottom w:val="0"/>
      <w:divBdr>
        <w:top w:val="none" w:sz="0" w:space="0" w:color="auto"/>
        <w:left w:val="none" w:sz="0" w:space="0" w:color="auto"/>
        <w:bottom w:val="none" w:sz="0" w:space="0" w:color="auto"/>
        <w:right w:val="none" w:sz="0" w:space="0" w:color="auto"/>
      </w:divBdr>
    </w:div>
    <w:div w:id="605424167">
      <w:bodyDiv w:val="1"/>
      <w:marLeft w:val="0"/>
      <w:marRight w:val="0"/>
      <w:marTop w:val="0"/>
      <w:marBottom w:val="0"/>
      <w:divBdr>
        <w:top w:val="none" w:sz="0" w:space="0" w:color="auto"/>
        <w:left w:val="none" w:sz="0" w:space="0" w:color="auto"/>
        <w:bottom w:val="none" w:sz="0" w:space="0" w:color="auto"/>
        <w:right w:val="none" w:sz="0" w:space="0" w:color="auto"/>
      </w:divBdr>
    </w:div>
    <w:div w:id="606234002">
      <w:bodyDiv w:val="1"/>
      <w:marLeft w:val="0"/>
      <w:marRight w:val="0"/>
      <w:marTop w:val="0"/>
      <w:marBottom w:val="0"/>
      <w:divBdr>
        <w:top w:val="none" w:sz="0" w:space="0" w:color="auto"/>
        <w:left w:val="none" w:sz="0" w:space="0" w:color="auto"/>
        <w:bottom w:val="none" w:sz="0" w:space="0" w:color="auto"/>
        <w:right w:val="none" w:sz="0" w:space="0" w:color="auto"/>
      </w:divBdr>
    </w:div>
    <w:div w:id="606472267">
      <w:bodyDiv w:val="1"/>
      <w:marLeft w:val="0"/>
      <w:marRight w:val="0"/>
      <w:marTop w:val="0"/>
      <w:marBottom w:val="0"/>
      <w:divBdr>
        <w:top w:val="none" w:sz="0" w:space="0" w:color="auto"/>
        <w:left w:val="none" w:sz="0" w:space="0" w:color="auto"/>
        <w:bottom w:val="none" w:sz="0" w:space="0" w:color="auto"/>
        <w:right w:val="none" w:sz="0" w:space="0" w:color="auto"/>
      </w:divBdr>
    </w:div>
    <w:div w:id="606549295">
      <w:bodyDiv w:val="1"/>
      <w:marLeft w:val="0"/>
      <w:marRight w:val="0"/>
      <w:marTop w:val="0"/>
      <w:marBottom w:val="0"/>
      <w:divBdr>
        <w:top w:val="none" w:sz="0" w:space="0" w:color="auto"/>
        <w:left w:val="none" w:sz="0" w:space="0" w:color="auto"/>
        <w:bottom w:val="none" w:sz="0" w:space="0" w:color="auto"/>
        <w:right w:val="none" w:sz="0" w:space="0" w:color="auto"/>
      </w:divBdr>
    </w:div>
    <w:div w:id="607858557">
      <w:bodyDiv w:val="1"/>
      <w:marLeft w:val="0"/>
      <w:marRight w:val="0"/>
      <w:marTop w:val="0"/>
      <w:marBottom w:val="0"/>
      <w:divBdr>
        <w:top w:val="none" w:sz="0" w:space="0" w:color="auto"/>
        <w:left w:val="none" w:sz="0" w:space="0" w:color="auto"/>
        <w:bottom w:val="none" w:sz="0" w:space="0" w:color="auto"/>
        <w:right w:val="none" w:sz="0" w:space="0" w:color="auto"/>
      </w:divBdr>
    </w:div>
    <w:div w:id="608125835">
      <w:bodyDiv w:val="1"/>
      <w:marLeft w:val="0"/>
      <w:marRight w:val="0"/>
      <w:marTop w:val="0"/>
      <w:marBottom w:val="0"/>
      <w:divBdr>
        <w:top w:val="none" w:sz="0" w:space="0" w:color="auto"/>
        <w:left w:val="none" w:sz="0" w:space="0" w:color="auto"/>
        <w:bottom w:val="none" w:sz="0" w:space="0" w:color="auto"/>
        <w:right w:val="none" w:sz="0" w:space="0" w:color="auto"/>
      </w:divBdr>
    </w:div>
    <w:div w:id="608854695">
      <w:bodyDiv w:val="1"/>
      <w:marLeft w:val="0"/>
      <w:marRight w:val="0"/>
      <w:marTop w:val="0"/>
      <w:marBottom w:val="0"/>
      <w:divBdr>
        <w:top w:val="none" w:sz="0" w:space="0" w:color="auto"/>
        <w:left w:val="none" w:sz="0" w:space="0" w:color="auto"/>
        <w:bottom w:val="none" w:sz="0" w:space="0" w:color="auto"/>
        <w:right w:val="none" w:sz="0" w:space="0" w:color="auto"/>
      </w:divBdr>
    </w:div>
    <w:div w:id="610405382">
      <w:bodyDiv w:val="1"/>
      <w:marLeft w:val="0"/>
      <w:marRight w:val="0"/>
      <w:marTop w:val="0"/>
      <w:marBottom w:val="0"/>
      <w:divBdr>
        <w:top w:val="none" w:sz="0" w:space="0" w:color="auto"/>
        <w:left w:val="none" w:sz="0" w:space="0" w:color="auto"/>
        <w:bottom w:val="none" w:sz="0" w:space="0" w:color="auto"/>
        <w:right w:val="none" w:sz="0" w:space="0" w:color="auto"/>
      </w:divBdr>
    </w:div>
    <w:div w:id="611211729">
      <w:bodyDiv w:val="1"/>
      <w:marLeft w:val="0"/>
      <w:marRight w:val="0"/>
      <w:marTop w:val="0"/>
      <w:marBottom w:val="0"/>
      <w:divBdr>
        <w:top w:val="none" w:sz="0" w:space="0" w:color="auto"/>
        <w:left w:val="none" w:sz="0" w:space="0" w:color="auto"/>
        <w:bottom w:val="none" w:sz="0" w:space="0" w:color="auto"/>
        <w:right w:val="none" w:sz="0" w:space="0" w:color="auto"/>
      </w:divBdr>
    </w:div>
    <w:div w:id="611666449">
      <w:bodyDiv w:val="1"/>
      <w:marLeft w:val="0"/>
      <w:marRight w:val="0"/>
      <w:marTop w:val="0"/>
      <w:marBottom w:val="0"/>
      <w:divBdr>
        <w:top w:val="none" w:sz="0" w:space="0" w:color="auto"/>
        <w:left w:val="none" w:sz="0" w:space="0" w:color="auto"/>
        <w:bottom w:val="none" w:sz="0" w:space="0" w:color="auto"/>
        <w:right w:val="none" w:sz="0" w:space="0" w:color="auto"/>
      </w:divBdr>
    </w:div>
    <w:div w:id="612176359">
      <w:bodyDiv w:val="1"/>
      <w:marLeft w:val="0"/>
      <w:marRight w:val="0"/>
      <w:marTop w:val="0"/>
      <w:marBottom w:val="0"/>
      <w:divBdr>
        <w:top w:val="none" w:sz="0" w:space="0" w:color="auto"/>
        <w:left w:val="none" w:sz="0" w:space="0" w:color="auto"/>
        <w:bottom w:val="none" w:sz="0" w:space="0" w:color="auto"/>
        <w:right w:val="none" w:sz="0" w:space="0" w:color="auto"/>
      </w:divBdr>
    </w:div>
    <w:div w:id="612249904">
      <w:bodyDiv w:val="1"/>
      <w:marLeft w:val="0"/>
      <w:marRight w:val="0"/>
      <w:marTop w:val="0"/>
      <w:marBottom w:val="0"/>
      <w:divBdr>
        <w:top w:val="none" w:sz="0" w:space="0" w:color="auto"/>
        <w:left w:val="none" w:sz="0" w:space="0" w:color="auto"/>
        <w:bottom w:val="none" w:sz="0" w:space="0" w:color="auto"/>
        <w:right w:val="none" w:sz="0" w:space="0" w:color="auto"/>
      </w:divBdr>
    </w:div>
    <w:div w:id="613904865">
      <w:bodyDiv w:val="1"/>
      <w:marLeft w:val="0"/>
      <w:marRight w:val="0"/>
      <w:marTop w:val="0"/>
      <w:marBottom w:val="0"/>
      <w:divBdr>
        <w:top w:val="none" w:sz="0" w:space="0" w:color="auto"/>
        <w:left w:val="none" w:sz="0" w:space="0" w:color="auto"/>
        <w:bottom w:val="none" w:sz="0" w:space="0" w:color="auto"/>
        <w:right w:val="none" w:sz="0" w:space="0" w:color="auto"/>
      </w:divBdr>
    </w:div>
    <w:div w:id="614099099">
      <w:bodyDiv w:val="1"/>
      <w:marLeft w:val="0"/>
      <w:marRight w:val="0"/>
      <w:marTop w:val="0"/>
      <w:marBottom w:val="0"/>
      <w:divBdr>
        <w:top w:val="none" w:sz="0" w:space="0" w:color="auto"/>
        <w:left w:val="none" w:sz="0" w:space="0" w:color="auto"/>
        <w:bottom w:val="none" w:sz="0" w:space="0" w:color="auto"/>
        <w:right w:val="none" w:sz="0" w:space="0" w:color="auto"/>
      </w:divBdr>
    </w:div>
    <w:div w:id="614410801">
      <w:bodyDiv w:val="1"/>
      <w:marLeft w:val="0"/>
      <w:marRight w:val="0"/>
      <w:marTop w:val="0"/>
      <w:marBottom w:val="0"/>
      <w:divBdr>
        <w:top w:val="none" w:sz="0" w:space="0" w:color="auto"/>
        <w:left w:val="none" w:sz="0" w:space="0" w:color="auto"/>
        <w:bottom w:val="none" w:sz="0" w:space="0" w:color="auto"/>
        <w:right w:val="none" w:sz="0" w:space="0" w:color="auto"/>
      </w:divBdr>
    </w:div>
    <w:div w:id="615604400">
      <w:bodyDiv w:val="1"/>
      <w:marLeft w:val="0"/>
      <w:marRight w:val="0"/>
      <w:marTop w:val="0"/>
      <w:marBottom w:val="0"/>
      <w:divBdr>
        <w:top w:val="none" w:sz="0" w:space="0" w:color="auto"/>
        <w:left w:val="none" w:sz="0" w:space="0" w:color="auto"/>
        <w:bottom w:val="none" w:sz="0" w:space="0" w:color="auto"/>
        <w:right w:val="none" w:sz="0" w:space="0" w:color="auto"/>
      </w:divBdr>
    </w:div>
    <w:div w:id="616834098">
      <w:bodyDiv w:val="1"/>
      <w:marLeft w:val="0"/>
      <w:marRight w:val="0"/>
      <w:marTop w:val="0"/>
      <w:marBottom w:val="0"/>
      <w:divBdr>
        <w:top w:val="none" w:sz="0" w:space="0" w:color="auto"/>
        <w:left w:val="none" w:sz="0" w:space="0" w:color="auto"/>
        <w:bottom w:val="none" w:sz="0" w:space="0" w:color="auto"/>
        <w:right w:val="none" w:sz="0" w:space="0" w:color="auto"/>
      </w:divBdr>
    </w:div>
    <w:div w:id="617294011">
      <w:bodyDiv w:val="1"/>
      <w:marLeft w:val="0"/>
      <w:marRight w:val="0"/>
      <w:marTop w:val="0"/>
      <w:marBottom w:val="0"/>
      <w:divBdr>
        <w:top w:val="none" w:sz="0" w:space="0" w:color="auto"/>
        <w:left w:val="none" w:sz="0" w:space="0" w:color="auto"/>
        <w:bottom w:val="none" w:sz="0" w:space="0" w:color="auto"/>
        <w:right w:val="none" w:sz="0" w:space="0" w:color="auto"/>
      </w:divBdr>
    </w:div>
    <w:div w:id="618268575">
      <w:bodyDiv w:val="1"/>
      <w:marLeft w:val="0"/>
      <w:marRight w:val="0"/>
      <w:marTop w:val="0"/>
      <w:marBottom w:val="0"/>
      <w:divBdr>
        <w:top w:val="none" w:sz="0" w:space="0" w:color="auto"/>
        <w:left w:val="none" w:sz="0" w:space="0" w:color="auto"/>
        <w:bottom w:val="none" w:sz="0" w:space="0" w:color="auto"/>
        <w:right w:val="none" w:sz="0" w:space="0" w:color="auto"/>
      </w:divBdr>
    </w:div>
    <w:div w:id="618336798">
      <w:bodyDiv w:val="1"/>
      <w:marLeft w:val="0"/>
      <w:marRight w:val="0"/>
      <w:marTop w:val="0"/>
      <w:marBottom w:val="0"/>
      <w:divBdr>
        <w:top w:val="none" w:sz="0" w:space="0" w:color="auto"/>
        <w:left w:val="none" w:sz="0" w:space="0" w:color="auto"/>
        <w:bottom w:val="none" w:sz="0" w:space="0" w:color="auto"/>
        <w:right w:val="none" w:sz="0" w:space="0" w:color="auto"/>
      </w:divBdr>
    </w:div>
    <w:div w:id="618998252">
      <w:bodyDiv w:val="1"/>
      <w:marLeft w:val="0"/>
      <w:marRight w:val="0"/>
      <w:marTop w:val="0"/>
      <w:marBottom w:val="0"/>
      <w:divBdr>
        <w:top w:val="none" w:sz="0" w:space="0" w:color="auto"/>
        <w:left w:val="none" w:sz="0" w:space="0" w:color="auto"/>
        <w:bottom w:val="none" w:sz="0" w:space="0" w:color="auto"/>
        <w:right w:val="none" w:sz="0" w:space="0" w:color="auto"/>
      </w:divBdr>
    </w:div>
    <w:div w:id="619343658">
      <w:bodyDiv w:val="1"/>
      <w:marLeft w:val="0"/>
      <w:marRight w:val="0"/>
      <w:marTop w:val="0"/>
      <w:marBottom w:val="0"/>
      <w:divBdr>
        <w:top w:val="none" w:sz="0" w:space="0" w:color="auto"/>
        <w:left w:val="none" w:sz="0" w:space="0" w:color="auto"/>
        <w:bottom w:val="none" w:sz="0" w:space="0" w:color="auto"/>
        <w:right w:val="none" w:sz="0" w:space="0" w:color="auto"/>
      </w:divBdr>
    </w:div>
    <w:div w:id="621696663">
      <w:bodyDiv w:val="1"/>
      <w:marLeft w:val="0"/>
      <w:marRight w:val="0"/>
      <w:marTop w:val="0"/>
      <w:marBottom w:val="0"/>
      <w:divBdr>
        <w:top w:val="none" w:sz="0" w:space="0" w:color="auto"/>
        <w:left w:val="none" w:sz="0" w:space="0" w:color="auto"/>
        <w:bottom w:val="none" w:sz="0" w:space="0" w:color="auto"/>
        <w:right w:val="none" w:sz="0" w:space="0" w:color="auto"/>
      </w:divBdr>
    </w:div>
    <w:div w:id="621811227">
      <w:bodyDiv w:val="1"/>
      <w:marLeft w:val="0"/>
      <w:marRight w:val="0"/>
      <w:marTop w:val="0"/>
      <w:marBottom w:val="0"/>
      <w:divBdr>
        <w:top w:val="none" w:sz="0" w:space="0" w:color="auto"/>
        <w:left w:val="none" w:sz="0" w:space="0" w:color="auto"/>
        <w:bottom w:val="none" w:sz="0" w:space="0" w:color="auto"/>
        <w:right w:val="none" w:sz="0" w:space="0" w:color="auto"/>
      </w:divBdr>
    </w:div>
    <w:div w:id="621811286">
      <w:bodyDiv w:val="1"/>
      <w:marLeft w:val="0"/>
      <w:marRight w:val="0"/>
      <w:marTop w:val="0"/>
      <w:marBottom w:val="0"/>
      <w:divBdr>
        <w:top w:val="none" w:sz="0" w:space="0" w:color="auto"/>
        <w:left w:val="none" w:sz="0" w:space="0" w:color="auto"/>
        <w:bottom w:val="none" w:sz="0" w:space="0" w:color="auto"/>
        <w:right w:val="none" w:sz="0" w:space="0" w:color="auto"/>
      </w:divBdr>
    </w:div>
    <w:div w:id="622931246">
      <w:bodyDiv w:val="1"/>
      <w:marLeft w:val="0"/>
      <w:marRight w:val="0"/>
      <w:marTop w:val="0"/>
      <w:marBottom w:val="0"/>
      <w:divBdr>
        <w:top w:val="none" w:sz="0" w:space="0" w:color="auto"/>
        <w:left w:val="none" w:sz="0" w:space="0" w:color="auto"/>
        <w:bottom w:val="none" w:sz="0" w:space="0" w:color="auto"/>
        <w:right w:val="none" w:sz="0" w:space="0" w:color="auto"/>
      </w:divBdr>
    </w:div>
    <w:div w:id="623191467">
      <w:bodyDiv w:val="1"/>
      <w:marLeft w:val="0"/>
      <w:marRight w:val="0"/>
      <w:marTop w:val="0"/>
      <w:marBottom w:val="0"/>
      <w:divBdr>
        <w:top w:val="none" w:sz="0" w:space="0" w:color="auto"/>
        <w:left w:val="none" w:sz="0" w:space="0" w:color="auto"/>
        <w:bottom w:val="none" w:sz="0" w:space="0" w:color="auto"/>
        <w:right w:val="none" w:sz="0" w:space="0" w:color="auto"/>
      </w:divBdr>
    </w:div>
    <w:div w:id="623851242">
      <w:bodyDiv w:val="1"/>
      <w:marLeft w:val="0"/>
      <w:marRight w:val="0"/>
      <w:marTop w:val="0"/>
      <w:marBottom w:val="0"/>
      <w:divBdr>
        <w:top w:val="none" w:sz="0" w:space="0" w:color="auto"/>
        <w:left w:val="none" w:sz="0" w:space="0" w:color="auto"/>
        <w:bottom w:val="none" w:sz="0" w:space="0" w:color="auto"/>
        <w:right w:val="none" w:sz="0" w:space="0" w:color="auto"/>
      </w:divBdr>
    </w:div>
    <w:div w:id="624699067">
      <w:bodyDiv w:val="1"/>
      <w:marLeft w:val="0"/>
      <w:marRight w:val="0"/>
      <w:marTop w:val="0"/>
      <w:marBottom w:val="0"/>
      <w:divBdr>
        <w:top w:val="none" w:sz="0" w:space="0" w:color="auto"/>
        <w:left w:val="none" w:sz="0" w:space="0" w:color="auto"/>
        <w:bottom w:val="none" w:sz="0" w:space="0" w:color="auto"/>
        <w:right w:val="none" w:sz="0" w:space="0" w:color="auto"/>
      </w:divBdr>
    </w:div>
    <w:div w:id="625083022">
      <w:bodyDiv w:val="1"/>
      <w:marLeft w:val="0"/>
      <w:marRight w:val="0"/>
      <w:marTop w:val="0"/>
      <w:marBottom w:val="0"/>
      <w:divBdr>
        <w:top w:val="none" w:sz="0" w:space="0" w:color="auto"/>
        <w:left w:val="none" w:sz="0" w:space="0" w:color="auto"/>
        <w:bottom w:val="none" w:sz="0" w:space="0" w:color="auto"/>
        <w:right w:val="none" w:sz="0" w:space="0" w:color="auto"/>
      </w:divBdr>
    </w:div>
    <w:div w:id="625088891">
      <w:bodyDiv w:val="1"/>
      <w:marLeft w:val="0"/>
      <w:marRight w:val="0"/>
      <w:marTop w:val="0"/>
      <w:marBottom w:val="0"/>
      <w:divBdr>
        <w:top w:val="none" w:sz="0" w:space="0" w:color="auto"/>
        <w:left w:val="none" w:sz="0" w:space="0" w:color="auto"/>
        <w:bottom w:val="none" w:sz="0" w:space="0" w:color="auto"/>
        <w:right w:val="none" w:sz="0" w:space="0" w:color="auto"/>
      </w:divBdr>
    </w:div>
    <w:div w:id="626089694">
      <w:bodyDiv w:val="1"/>
      <w:marLeft w:val="0"/>
      <w:marRight w:val="0"/>
      <w:marTop w:val="0"/>
      <w:marBottom w:val="0"/>
      <w:divBdr>
        <w:top w:val="none" w:sz="0" w:space="0" w:color="auto"/>
        <w:left w:val="none" w:sz="0" w:space="0" w:color="auto"/>
        <w:bottom w:val="none" w:sz="0" w:space="0" w:color="auto"/>
        <w:right w:val="none" w:sz="0" w:space="0" w:color="auto"/>
      </w:divBdr>
    </w:div>
    <w:div w:id="626200263">
      <w:bodyDiv w:val="1"/>
      <w:marLeft w:val="0"/>
      <w:marRight w:val="0"/>
      <w:marTop w:val="0"/>
      <w:marBottom w:val="0"/>
      <w:divBdr>
        <w:top w:val="none" w:sz="0" w:space="0" w:color="auto"/>
        <w:left w:val="none" w:sz="0" w:space="0" w:color="auto"/>
        <w:bottom w:val="none" w:sz="0" w:space="0" w:color="auto"/>
        <w:right w:val="none" w:sz="0" w:space="0" w:color="auto"/>
      </w:divBdr>
    </w:div>
    <w:div w:id="626201033">
      <w:bodyDiv w:val="1"/>
      <w:marLeft w:val="0"/>
      <w:marRight w:val="0"/>
      <w:marTop w:val="0"/>
      <w:marBottom w:val="0"/>
      <w:divBdr>
        <w:top w:val="none" w:sz="0" w:space="0" w:color="auto"/>
        <w:left w:val="none" w:sz="0" w:space="0" w:color="auto"/>
        <w:bottom w:val="none" w:sz="0" w:space="0" w:color="auto"/>
        <w:right w:val="none" w:sz="0" w:space="0" w:color="auto"/>
      </w:divBdr>
    </w:div>
    <w:div w:id="626205885">
      <w:bodyDiv w:val="1"/>
      <w:marLeft w:val="0"/>
      <w:marRight w:val="0"/>
      <w:marTop w:val="0"/>
      <w:marBottom w:val="0"/>
      <w:divBdr>
        <w:top w:val="none" w:sz="0" w:space="0" w:color="auto"/>
        <w:left w:val="none" w:sz="0" w:space="0" w:color="auto"/>
        <w:bottom w:val="none" w:sz="0" w:space="0" w:color="auto"/>
        <w:right w:val="none" w:sz="0" w:space="0" w:color="auto"/>
      </w:divBdr>
    </w:div>
    <w:div w:id="626737708">
      <w:bodyDiv w:val="1"/>
      <w:marLeft w:val="0"/>
      <w:marRight w:val="0"/>
      <w:marTop w:val="0"/>
      <w:marBottom w:val="0"/>
      <w:divBdr>
        <w:top w:val="none" w:sz="0" w:space="0" w:color="auto"/>
        <w:left w:val="none" w:sz="0" w:space="0" w:color="auto"/>
        <w:bottom w:val="none" w:sz="0" w:space="0" w:color="auto"/>
        <w:right w:val="none" w:sz="0" w:space="0" w:color="auto"/>
      </w:divBdr>
    </w:div>
    <w:div w:id="627315643">
      <w:bodyDiv w:val="1"/>
      <w:marLeft w:val="0"/>
      <w:marRight w:val="0"/>
      <w:marTop w:val="0"/>
      <w:marBottom w:val="0"/>
      <w:divBdr>
        <w:top w:val="none" w:sz="0" w:space="0" w:color="auto"/>
        <w:left w:val="none" w:sz="0" w:space="0" w:color="auto"/>
        <w:bottom w:val="none" w:sz="0" w:space="0" w:color="auto"/>
        <w:right w:val="none" w:sz="0" w:space="0" w:color="auto"/>
      </w:divBdr>
    </w:div>
    <w:div w:id="627516692">
      <w:bodyDiv w:val="1"/>
      <w:marLeft w:val="0"/>
      <w:marRight w:val="0"/>
      <w:marTop w:val="0"/>
      <w:marBottom w:val="0"/>
      <w:divBdr>
        <w:top w:val="none" w:sz="0" w:space="0" w:color="auto"/>
        <w:left w:val="none" w:sz="0" w:space="0" w:color="auto"/>
        <w:bottom w:val="none" w:sz="0" w:space="0" w:color="auto"/>
        <w:right w:val="none" w:sz="0" w:space="0" w:color="auto"/>
      </w:divBdr>
    </w:div>
    <w:div w:id="627586026">
      <w:bodyDiv w:val="1"/>
      <w:marLeft w:val="0"/>
      <w:marRight w:val="0"/>
      <w:marTop w:val="0"/>
      <w:marBottom w:val="0"/>
      <w:divBdr>
        <w:top w:val="none" w:sz="0" w:space="0" w:color="auto"/>
        <w:left w:val="none" w:sz="0" w:space="0" w:color="auto"/>
        <w:bottom w:val="none" w:sz="0" w:space="0" w:color="auto"/>
        <w:right w:val="none" w:sz="0" w:space="0" w:color="auto"/>
      </w:divBdr>
    </w:div>
    <w:div w:id="627903037">
      <w:bodyDiv w:val="1"/>
      <w:marLeft w:val="0"/>
      <w:marRight w:val="0"/>
      <w:marTop w:val="0"/>
      <w:marBottom w:val="0"/>
      <w:divBdr>
        <w:top w:val="none" w:sz="0" w:space="0" w:color="auto"/>
        <w:left w:val="none" w:sz="0" w:space="0" w:color="auto"/>
        <w:bottom w:val="none" w:sz="0" w:space="0" w:color="auto"/>
        <w:right w:val="none" w:sz="0" w:space="0" w:color="auto"/>
      </w:divBdr>
    </w:div>
    <w:div w:id="628707970">
      <w:bodyDiv w:val="1"/>
      <w:marLeft w:val="0"/>
      <w:marRight w:val="0"/>
      <w:marTop w:val="0"/>
      <w:marBottom w:val="0"/>
      <w:divBdr>
        <w:top w:val="none" w:sz="0" w:space="0" w:color="auto"/>
        <w:left w:val="none" w:sz="0" w:space="0" w:color="auto"/>
        <w:bottom w:val="none" w:sz="0" w:space="0" w:color="auto"/>
        <w:right w:val="none" w:sz="0" w:space="0" w:color="auto"/>
      </w:divBdr>
    </w:div>
    <w:div w:id="629939561">
      <w:bodyDiv w:val="1"/>
      <w:marLeft w:val="0"/>
      <w:marRight w:val="0"/>
      <w:marTop w:val="0"/>
      <w:marBottom w:val="0"/>
      <w:divBdr>
        <w:top w:val="none" w:sz="0" w:space="0" w:color="auto"/>
        <w:left w:val="none" w:sz="0" w:space="0" w:color="auto"/>
        <w:bottom w:val="none" w:sz="0" w:space="0" w:color="auto"/>
        <w:right w:val="none" w:sz="0" w:space="0" w:color="auto"/>
      </w:divBdr>
    </w:div>
    <w:div w:id="631979388">
      <w:bodyDiv w:val="1"/>
      <w:marLeft w:val="0"/>
      <w:marRight w:val="0"/>
      <w:marTop w:val="0"/>
      <w:marBottom w:val="0"/>
      <w:divBdr>
        <w:top w:val="none" w:sz="0" w:space="0" w:color="auto"/>
        <w:left w:val="none" w:sz="0" w:space="0" w:color="auto"/>
        <w:bottom w:val="none" w:sz="0" w:space="0" w:color="auto"/>
        <w:right w:val="none" w:sz="0" w:space="0" w:color="auto"/>
      </w:divBdr>
    </w:div>
    <w:div w:id="633214574">
      <w:bodyDiv w:val="1"/>
      <w:marLeft w:val="0"/>
      <w:marRight w:val="0"/>
      <w:marTop w:val="0"/>
      <w:marBottom w:val="0"/>
      <w:divBdr>
        <w:top w:val="none" w:sz="0" w:space="0" w:color="auto"/>
        <w:left w:val="none" w:sz="0" w:space="0" w:color="auto"/>
        <w:bottom w:val="none" w:sz="0" w:space="0" w:color="auto"/>
        <w:right w:val="none" w:sz="0" w:space="0" w:color="auto"/>
      </w:divBdr>
    </w:div>
    <w:div w:id="634526673">
      <w:bodyDiv w:val="1"/>
      <w:marLeft w:val="0"/>
      <w:marRight w:val="0"/>
      <w:marTop w:val="0"/>
      <w:marBottom w:val="0"/>
      <w:divBdr>
        <w:top w:val="none" w:sz="0" w:space="0" w:color="auto"/>
        <w:left w:val="none" w:sz="0" w:space="0" w:color="auto"/>
        <w:bottom w:val="none" w:sz="0" w:space="0" w:color="auto"/>
        <w:right w:val="none" w:sz="0" w:space="0" w:color="auto"/>
      </w:divBdr>
    </w:div>
    <w:div w:id="634801630">
      <w:bodyDiv w:val="1"/>
      <w:marLeft w:val="0"/>
      <w:marRight w:val="0"/>
      <w:marTop w:val="0"/>
      <w:marBottom w:val="0"/>
      <w:divBdr>
        <w:top w:val="none" w:sz="0" w:space="0" w:color="auto"/>
        <w:left w:val="none" w:sz="0" w:space="0" w:color="auto"/>
        <w:bottom w:val="none" w:sz="0" w:space="0" w:color="auto"/>
        <w:right w:val="none" w:sz="0" w:space="0" w:color="auto"/>
      </w:divBdr>
    </w:div>
    <w:div w:id="635532147">
      <w:bodyDiv w:val="1"/>
      <w:marLeft w:val="0"/>
      <w:marRight w:val="0"/>
      <w:marTop w:val="0"/>
      <w:marBottom w:val="0"/>
      <w:divBdr>
        <w:top w:val="none" w:sz="0" w:space="0" w:color="auto"/>
        <w:left w:val="none" w:sz="0" w:space="0" w:color="auto"/>
        <w:bottom w:val="none" w:sz="0" w:space="0" w:color="auto"/>
        <w:right w:val="none" w:sz="0" w:space="0" w:color="auto"/>
      </w:divBdr>
    </w:div>
    <w:div w:id="637034978">
      <w:bodyDiv w:val="1"/>
      <w:marLeft w:val="0"/>
      <w:marRight w:val="0"/>
      <w:marTop w:val="0"/>
      <w:marBottom w:val="0"/>
      <w:divBdr>
        <w:top w:val="none" w:sz="0" w:space="0" w:color="auto"/>
        <w:left w:val="none" w:sz="0" w:space="0" w:color="auto"/>
        <w:bottom w:val="none" w:sz="0" w:space="0" w:color="auto"/>
        <w:right w:val="none" w:sz="0" w:space="0" w:color="auto"/>
      </w:divBdr>
    </w:div>
    <w:div w:id="638261962">
      <w:bodyDiv w:val="1"/>
      <w:marLeft w:val="0"/>
      <w:marRight w:val="0"/>
      <w:marTop w:val="0"/>
      <w:marBottom w:val="0"/>
      <w:divBdr>
        <w:top w:val="none" w:sz="0" w:space="0" w:color="auto"/>
        <w:left w:val="none" w:sz="0" w:space="0" w:color="auto"/>
        <w:bottom w:val="none" w:sz="0" w:space="0" w:color="auto"/>
        <w:right w:val="none" w:sz="0" w:space="0" w:color="auto"/>
      </w:divBdr>
    </w:div>
    <w:div w:id="638415665">
      <w:bodyDiv w:val="1"/>
      <w:marLeft w:val="0"/>
      <w:marRight w:val="0"/>
      <w:marTop w:val="0"/>
      <w:marBottom w:val="0"/>
      <w:divBdr>
        <w:top w:val="none" w:sz="0" w:space="0" w:color="auto"/>
        <w:left w:val="none" w:sz="0" w:space="0" w:color="auto"/>
        <w:bottom w:val="none" w:sz="0" w:space="0" w:color="auto"/>
        <w:right w:val="none" w:sz="0" w:space="0" w:color="auto"/>
      </w:divBdr>
    </w:div>
    <w:div w:id="639115043">
      <w:bodyDiv w:val="1"/>
      <w:marLeft w:val="0"/>
      <w:marRight w:val="0"/>
      <w:marTop w:val="0"/>
      <w:marBottom w:val="0"/>
      <w:divBdr>
        <w:top w:val="none" w:sz="0" w:space="0" w:color="auto"/>
        <w:left w:val="none" w:sz="0" w:space="0" w:color="auto"/>
        <w:bottom w:val="none" w:sz="0" w:space="0" w:color="auto"/>
        <w:right w:val="none" w:sz="0" w:space="0" w:color="auto"/>
      </w:divBdr>
    </w:div>
    <w:div w:id="639458956">
      <w:bodyDiv w:val="1"/>
      <w:marLeft w:val="0"/>
      <w:marRight w:val="0"/>
      <w:marTop w:val="0"/>
      <w:marBottom w:val="0"/>
      <w:divBdr>
        <w:top w:val="none" w:sz="0" w:space="0" w:color="auto"/>
        <w:left w:val="none" w:sz="0" w:space="0" w:color="auto"/>
        <w:bottom w:val="none" w:sz="0" w:space="0" w:color="auto"/>
        <w:right w:val="none" w:sz="0" w:space="0" w:color="auto"/>
      </w:divBdr>
    </w:div>
    <w:div w:id="639770313">
      <w:bodyDiv w:val="1"/>
      <w:marLeft w:val="0"/>
      <w:marRight w:val="0"/>
      <w:marTop w:val="0"/>
      <w:marBottom w:val="0"/>
      <w:divBdr>
        <w:top w:val="none" w:sz="0" w:space="0" w:color="auto"/>
        <w:left w:val="none" w:sz="0" w:space="0" w:color="auto"/>
        <w:bottom w:val="none" w:sz="0" w:space="0" w:color="auto"/>
        <w:right w:val="none" w:sz="0" w:space="0" w:color="auto"/>
      </w:divBdr>
    </w:div>
    <w:div w:id="640884447">
      <w:bodyDiv w:val="1"/>
      <w:marLeft w:val="0"/>
      <w:marRight w:val="0"/>
      <w:marTop w:val="0"/>
      <w:marBottom w:val="0"/>
      <w:divBdr>
        <w:top w:val="none" w:sz="0" w:space="0" w:color="auto"/>
        <w:left w:val="none" w:sz="0" w:space="0" w:color="auto"/>
        <w:bottom w:val="none" w:sz="0" w:space="0" w:color="auto"/>
        <w:right w:val="none" w:sz="0" w:space="0" w:color="auto"/>
      </w:divBdr>
    </w:div>
    <w:div w:id="641236162">
      <w:bodyDiv w:val="1"/>
      <w:marLeft w:val="0"/>
      <w:marRight w:val="0"/>
      <w:marTop w:val="0"/>
      <w:marBottom w:val="0"/>
      <w:divBdr>
        <w:top w:val="none" w:sz="0" w:space="0" w:color="auto"/>
        <w:left w:val="none" w:sz="0" w:space="0" w:color="auto"/>
        <w:bottom w:val="none" w:sz="0" w:space="0" w:color="auto"/>
        <w:right w:val="none" w:sz="0" w:space="0" w:color="auto"/>
      </w:divBdr>
    </w:div>
    <w:div w:id="641882653">
      <w:bodyDiv w:val="1"/>
      <w:marLeft w:val="0"/>
      <w:marRight w:val="0"/>
      <w:marTop w:val="0"/>
      <w:marBottom w:val="0"/>
      <w:divBdr>
        <w:top w:val="none" w:sz="0" w:space="0" w:color="auto"/>
        <w:left w:val="none" w:sz="0" w:space="0" w:color="auto"/>
        <w:bottom w:val="none" w:sz="0" w:space="0" w:color="auto"/>
        <w:right w:val="none" w:sz="0" w:space="0" w:color="auto"/>
      </w:divBdr>
    </w:div>
    <w:div w:id="643000018">
      <w:bodyDiv w:val="1"/>
      <w:marLeft w:val="0"/>
      <w:marRight w:val="0"/>
      <w:marTop w:val="0"/>
      <w:marBottom w:val="0"/>
      <w:divBdr>
        <w:top w:val="none" w:sz="0" w:space="0" w:color="auto"/>
        <w:left w:val="none" w:sz="0" w:space="0" w:color="auto"/>
        <w:bottom w:val="none" w:sz="0" w:space="0" w:color="auto"/>
        <w:right w:val="none" w:sz="0" w:space="0" w:color="auto"/>
      </w:divBdr>
    </w:div>
    <w:div w:id="643244008">
      <w:bodyDiv w:val="1"/>
      <w:marLeft w:val="0"/>
      <w:marRight w:val="0"/>
      <w:marTop w:val="0"/>
      <w:marBottom w:val="0"/>
      <w:divBdr>
        <w:top w:val="none" w:sz="0" w:space="0" w:color="auto"/>
        <w:left w:val="none" w:sz="0" w:space="0" w:color="auto"/>
        <w:bottom w:val="none" w:sz="0" w:space="0" w:color="auto"/>
        <w:right w:val="none" w:sz="0" w:space="0" w:color="auto"/>
      </w:divBdr>
    </w:div>
    <w:div w:id="643656774">
      <w:bodyDiv w:val="1"/>
      <w:marLeft w:val="0"/>
      <w:marRight w:val="0"/>
      <w:marTop w:val="0"/>
      <w:marBottom w:val="0"/>
      <w:divBdr>
        <w:top w:val="none" w:sz="0" w:space="0" w:color="auto"/>
        <w:left w:val="none" w:sz="0" w:space="0" w:color="auto"/>
        <w:bottom w:val="none" w:sz="0" w:space="0" w:color="auto"/>
        <w:right w:val="none" w:sz="0" w:space="0" w:color="auto"/>
      </w:divBdr>
    </w:div>
    <w:div w:id="644047011">
      <w:bodyDiv w:val="1"/>
      <w:marLeft w:val="0"/>
      <w:marRight w:val="0"/>
      <w:marTop w:val="0"/>
      <w:marBottom w:val="0"/>
      <w:divBdr>
        <w:top w:val="none" w:sz="0" w:space="0" w:color="auto"/>
        <w:left w:val="none" w:sz="0" w:space="0" w:color="auto"/>
        <w:bottom w:val="none" w:sz="0" w:space="0" w:color="auto"/>
        <w:right w:val="none" w:sz="0" w:space="0" w:color="auto"/>
      </w:divBdr>
    </w:div>
    <w:div w:id="644551637">
      <w:bodyDiv w:val="1"/>
      <w:marLeft w:val="0"/>
      <w:marRight w:val="0"/>
      <w:marTop w:val="0"/>
      <w:marBottom w:val="0"/>
      <w:divBdr>
        <w:top w:val="none" w:sz="0" w:space="0" w:color="auto"/>
        <w:left w:val="none" w:sz="0" w:space="0" w:color="auto"/>
        <w:bottom w:val="none" w:sz="0" w:space="0" w:color="auto"/>
        <w:right w:val="none" w:sz="0" w:space="0" w:color="auto"/>
      </w:divBdr>
    </w:div>
    <w:div w:id="644967889">
      <w:bodyDiv w:val="1"/>
      <w:marLeft w:val="0"/>
      <w:marRight w:val="0"/>
      <w:marTop w:val="0"/>
      <w:marBottom w:val="0"/>
      <w:divBdr>
        <w:top w:val="none" w:sz="0" w:space="0" w:color="auto"/>
        <w:left w:val="none" w:sz="0" w:space="0" w:color="auto"/>
        <w:bottom w:val="none" w:sz="0" w:space="0" w:color="auto"/>
        <w:right w:val="none" w:sz="0" w:space="0" w:color="auto"/>
      </w:divBdr>
    </w:div>
    <w:div w:id="645205633">
      <w:bodyDiv w:val="1"/>
      <w:marLeft w:val="0"/>
      <w:marRight w:val="0"/>
      <w:marTop w:val="0"/>
      <w:marBottom w:val="0"/>
      <w:divBdr>
        <w:top w:val="none" w:sz="0" w:space="0" w:color="auto"/>
        <w:left w:val="none" w:sz="0" w:space="0" w:color="auto"/>
        <w:bottom w:val="none" w:sz="0" w:space="0" w:color="auto"/>
        <w:right w:val="none" w:sz="0" w:space="0" w:color="auto"/>
      </w:divBdr>
    </w:div>
    <w:div w:id="645355075">
      <w:bodyDiv w:val="1"/>
      <w:marLeft w:val="0"/>
      <w:marRight w:val="0"/>
      <w:marTop w:val="0"/>
      <w:marBottom w:val="0"/>
      <w:divBdr>
        <w:top w:val="none" w:sz="0" w:space="0" w:color="auto"/>
        <w:left w:val="none" w:sz="0" w:space="0" w:color="auto"/>
        <w:bottom w:val="none" w:sz="0" w:space="0" w:color="auto"/>
        <w:right w:val="none" w:sz="0" w:space="0" w:color="auto"/>
      </w:divBdr>
    </w:div>
    <w:div w:id="645355444">
      <w:bodyDiv w:val="1"/>
      <w:marLeft w:val="0"/>
      <w:marRight w:val="0"/>
      <w:marTop w:val="0"/>
      <w:marBottom w:val="0"/>
      <w:divBdr>
        <w:top w:val="none" w:sz="0" w:space="0" w:color="auto"/>
        <w:left w:val="none" w:sz="0" w:space="0" w:color="auto"/>
        <w:bottom w:val="none" w:sz="0" w:space="0" w:color="auto"/>
        <w:right w:val="none" w:sz="0" w:space="0" w:color="auto"/>
      </w:divBdr>
    </w:div>
    <w:div w:id="645663198">
      <w:bodyDiv w:val="1"/>
      <w:marLeft w:val="0"/>
      <w:marRight w:val="0"/>
      <w:marTop w:val="0"/>
      <w:marBottom w:val="0"/>
      <w:divBdr>
        <w:top w:val="none" w:sz="0" w:space="0" w:color="auto"/>
        <w:left w:val="none" w:sz="0" w:space="0" w:color="auto"/>
        <w:bottom w:val="none" w:sz="0" w:space="0" w:color="auto"/>
        <w:right w:val="none" w:sz="0" w:space="0" w:color="auto"/>
      </w:divBdr>
    </w:div>
    <w:div w:id="646203759">
      <w:bodyDiv w:val="1"/>
      <w:marLeft w:val="0"/>
      <w:marRight w:val="0"/>
      <w:marTop w:val="0"/>
      <w:marBottom w:val="0"/>
      <w:divBdr>
        <w:top w:val="none" w:sz="0" w:space="0" w:color="auto"/>
        <w:left w:val="none" w:sz="0" w:space="0" w:color="auto"/>
        <w:bottom w:val="none" w:sz="0" w:space="0" w:color="auto"/>
        <w:right w:val="none" w:sz="0" w:space="0" w:color="auto"/>
      </w:divBdr>
    </w:div>
    <w:div w:id="646713217">
      <w:bodyDiv w:val="1"/>
      <w:marLeft w:val="0"/>
      <w:marRight w:val="0"/>
      <w:marTop w:val="0"/>
      <w:marBottom w:val="0"/>
      <w:divBdr>
        <w:top w:val="none" w:sz="0" w:space="0" w:color="auto"/>
        <w:left w:val="none" w:sz="0" w:space="0" w:color="auto"/>
        <w:bottom w:val="none" w:sz="0" w:space="0" w:color="auto"/>
        <w:right w:val="none" w:sz="0" w:space="0" w:color="auto"/>
      </w:divBdr>
    </w:div>
    <w:div w:id="647439080">
      <w:bodyDiv w:val="1"/>
      <w:marLeft w:val="0"/>
      <w:marRight w:val="0"/>
      <w:marTop w:val="0"/>
      <w:marBottom w:val="0"/>
      <w:divBdr>
        <w:top w:val="none" w:sz="0" w:space="0" w:color="auto"/>
        <w:left w:val="none" w:sz="0" w:space="0" w:color="auto"/>
        <w:bottom w:val="none" w:sz="0" w:space="0" w:color="auto"/>
        <w:right w:val="none" w:sz="0" w:space="0" w:color="auto"/>
      </w:divBdr>
    </w:div>
    <w:div w:id="648024726">
      <w:bodyDiv w:val="1"/>
      <w:marLeft w:val="0"/>
      <w:marRight w:val="0"/>
      <w:marTop w:val="0"/>
      <w:marBottom w:val="0"/>
      <w:divBdr>
        <w:top w:val="none" w:sz="0" w:space="0" w:color="auto"/>
        <w:left w:val="none" w:sz="0" w:space="0" w:color="auto"/>
        <w:bottom w:val="none" w:sz="0" w:space="0" w:color="auto"/>
        <w:right w:val="none" w:sz="0" w:space="0" w:color="auto"/>
      </w:divBdr>
    </w:div>
    <w:div w:id="648290058">
      <w:bodyDiv w:val="1"/>
      <w:marLeft w:val="0"/>
      <w:marRight w:val="0"/>
      <w:marTop w:val="0"/>
      <w:marBottom w:val="0"/>
      <w:divBdr>
        <w:top w:val="none" w:sz="0" w:space="0" w:color="auto"/>
        <w:left w:val="none" w:sz="0" w:space="0" w:color="auto"/>
        <w:bottom w:val="none" w:sz="0" w:space="0" w:color="auto"/>
        <w:right w:val="none" w:sz="0" w:space="0" w:color="auto"/>
      </w:divBdr>
    </w:div>
    <w:div w:id="648751246">
      <w:bodyDiv w:val="1"/>
      <w:marLeft w:val="0"/>
      <w:marRight w:val="0"/>
      <w:marTop w:val="0"/>
      <w:marBottom w:val="0"/>
      <w:divBdr>
        <w:top w:val="none" w:sz="0" w:space="0" w:color="auto"/>
        <w:left w:val="none" w:sz="0" w:space="0" w:color="auto"/>
        <w:bottom w:val="none" w:sz="0" w:space="0" w:color="auto"/>
        <w:right w:val="none" w:sz="0" w:space="0" w:color="auto"/>
      </w:divBdr>
    </w:div>
    <w:div w:id="648829383">
      <w:bodyDiv w:val="1"/>
      <w:marLeft w:val="0"/>
      <w:marRight w:val="0"/>
      <w:marTop w:val="0"/>
      <w:marBottom w:val="0"/>
      <w:divBdr>
        <w:top w:val="none" w:sz="0" w:space="0" w:color="auto"/>
        <w:left w:val="none" w:sz="0" w:space="0" w:color="auto"/>
        <w:bottom w:val="none" w:sz="0" w:space="0" w:color="auto"/>
        <w:right w:val="none" w:sz="0" w:space="0" w:color="auto"/>
      </w:divBdr>
    </w:div>
    <w:div w:id="648902895">
      <w:bodyDiv w:val="1"/>
      <w:marLeft w:val="0"/>
      <w:marRight w:val="0"/>
      <w:marTop w:val="0"/>
      <w:marBottom w:val="0"/>
      <w:divBdr>
        <w:top w:val="none" w:sz="0" w:space="0" w:color="auto"/>
        <w:left w:val="none" w:sz="0" w:space="0" w:color="auto"/>
        <w:bottom w:val="none" w:sz="0" w:space="0" w:color="auto"/>
        <w:right w:val="none" w:sz="0" w:space="0" w:color="auto"/>
      </w:divBdr>
    </w:div>
    <w:div w:id="649134890">
      <w:bodyDiv w:val="1"/>
      <w:marLeft w:val="0"/>
      <w:marRight w:val="0"/>
      <w:marTop w:val="0"/>
      <w:marBottom w:val="0"/>
      <w:divBdr>
        <w:top w:val="none" w:sz="0" w:space="0" w:color="auto"/>
        <w:left w:val="none" w:sz="0" w:space="0" w:color="auto"/>
        <w:bottom w:val="none" w:sz="0" w:space="0" w:color="auto"/>
        <w:right w:val="none" w:sz="0" w:space="0" w:color="auto"/>
      </w:divBdr>
    </w:div>
    <w:div w:id="649402852">
      <w:bodyDiv w:val="1"/>
      <w:marLeft w:val="0"/>
      <w:marRight w:val="0"/>
      <w:marTop w:val="0"/>
      <w:marBottom w:val="0"/>
      <w:divBdr>
        <w:top w:val="none" w:sz="0" w:space="0" w:color="auto"/>
        <w:left w:val="none" w:sz="0" w:space="0" w:color="auto"/>
        <w:bottom w:val="none" w:sz="0" w:space="0" w:color="auto"/>
        <w:right w:val="none" w:sz="0" w:space="0" w:color="auto"/>
      </w:divBdr>
    </w:div>
    <w:div w:id="649403942">
      <w:bodyDiv w:val="1"/>
      <w:marLeft w:val="0"/>
      <w:marRight w:val="0"/>
      <w:marTop w:val="0"/>
      <w:marBottom w:val="0"/>
      <w:divBdr>
        <w:top w:val="none" w:sz="0" w:space="0" w:color="auto"/>
        <w:left w:val="none" w:sz="0" w:space="0" w:color="auto"/>
        <w:bottom w:val="none" w:sz="0" w:space="0" w:color="auto"/>
        <w:right w:val="none" w:sz="0" w:space="0" w:color="auto"/>
      </w:divBdr>
    </w:div>
    <w:div w:id="649408831">
      <w:bodyDiv w:val="1"/>
      <w:marLeft w:val="0"/>
      <w:marRight w:val="0"/>
      <w:marTop w:val="0"/>
      <w:marBottom w:val="0"/>
      <w:divBdr>
        <w:top w:val="none" w:sz="0" w:space="0" w:color="auto"/>
        <w:left w:val="none" w:sz="0" w:space="0" w:color="auto"/>
        <w:bottom w:val="none" w:sz="0" w:space="0" w:color="auto"/>
        <w:right w:val="none" w:sz="0" w:space="0" w:color="auto"/>
      </w:divBdr>
    </w:div>
    <w:div w:id="649478222">
      <w:bodyDiv w:val="1"/>
      <w:marLeft w:val="0"/>
      <w:marRight w:val="0"/>
      <w:marTop w:val="0"/>
      <w:marBottom w:val="0"/>
      <w:divBdr>
        <w:top w:val="none" w:sz="0" w:space="0" w:color="auto"/>
        <w:left w:val="none" w:sz="0" w:space="0" w:color="auto"/>
        <w:bottom w:val="none" w:sz="0" w:space="0" w:color="auto"/>
        <w:right w:val="none" w:sz="0" w:space="0" w:color="auto"/>
      </w:divBdr>
    </w:div>
    <w:div w:id="649482896">
      <w:bodyDiv w:val="1"/>
      <w:marLeft w:val="0"/>
      <w:marRight w:val="0"/>
      <w:marTop w:val="0"/>
      <w:marBottom w:val="0"/>
      <w:divBdr>
        <w:top w:val="none" w:sz="0" w:space="0" w:color="auto"/>
        <w:left w:val="none" w:sz="0" w:space="0" w:color="auto"/>
        <w:bottom w:val="none" w:sz="0" w:space="0" w:color="auto"/>
        <w:right w:val="none" w:sz="0" w:space="0" w:color="auto"/>
      </w:divBdr>
    </w:div>
    <w:div w:id="649821233">
      <w:bodyDiv w:val="1"/>
      <w:marLeft w:val="0"/>
      <w:marRight w:val="0"/>
      <w:marTop w:val="0"/>
      <w:marBottom w:val="0"/>
      <w:divBdr>
        <w:top w:val="none" w:sz="0" w:space="0" w:color="auto"/>
        <w:left w:val="none" w:sz="0" w:space="0" w:color="auto"/>
        <w:bottom w:val="none" w:sz="0" w:space="0" w:color="auto"/>
        <w:right w:val="none" w:sz="0" w:space="0" w:color="auto"/>
      </w:divBdr>
    </w:div>
    <w:div w:id="651494064">
      <w:bodyDiv w:val="1"/>
      <w:marLeft w:val="0"/>
      <w:marRight w:val="0"/>
      <w:marTop w:val="0"/>
      <w:marBottom w:val="0"/>
      <w:divBdr>
        <w:top w:val="none" w:sz="0" w:space="0" w:color="auto"/>
        <w:left w:val="none" w:sz="0" w:space="0" w:color="auto"/>
        <w:bottom w:val="none" w:sz="0" w:space="0" w:color="auto"/>
        <w:right w:val="none" w:sz="0" w:space="0" w:color="auto"/>
      </w:divBdr>
    </w:div>
    <w:div w:id="653335593">
      <w:bodyDiv w:val="1"/>
      <w:marLeft w:val="0"/>
      <w:marRight w:val="0"/>
      <w:marTop w:val="0"/>
      <w:marBottom w:val="0"/>
      <w:divBdr>
        <w:top w:val="none" w:sz="0" w:space="0" w:color="auto"/>
        <w:left w:val="none" w:sz="0" w:space="0" w:color="auto"/>
        <w:bottom w:val="none" w:sz="0" w:space="0" w:color="auto"/>
        <w:right w:val="none" w:sz="0" w:space="0" w:color="auto"/>
      </w:divBdr>
    </w:div>
    <w:div w:id="653411864">
      <w:bodyDiv w:val="1"/>
      <w:marLeft w:val="0"/>
      <w:marRight w:val="0"/>
      <w:marTop w:val="0"/>
      <w:marBottom w:val="0"/>
      <w:divBdr>
        <w:top w:val="none" w:sz="0" w:space="0" w:color="auto"/>
        <w:left w:val="none" w:sz="0" w:space="0" w:color="auto"/>
        <w:bottom w:val="none" w:sz="0" w:space="0" w:color="auto"/>
        <w:right w:val="none" w:sz="0" w:space="0" w:color="auto"/>
      </w:divBdr>
    </w:div>
    <w:div w:id="653800259">
      <w:bodyDiv w:val="1"/>
      <w:marLeft w:val="0"/>
      <w:marRight w:val="0"/>
      <w:marTop w:val="0"/>
      <w:marBottom w:val="0"/>
      <w:divBdr>
        <w:top w:val="none" w:sz="0" w:space="0" w:color="auto"/>
        <w:left w:val="none" w:sz="0" w:space="0" w:color="auto"/>
        <w:bottom w:val="none" w:sz="0" w:space="0" w:color="auto"/>
        <w:right w:val="none" w:sz="0" w:space="0" w:color="auto"/>
      </w:divBdr>
    </w:div>
    <w:div w:id="655914659">
      <w:bodyDiv w:val="1"/>
      <w:marLeft w:val="0"/>
      <w:marRight w:val="0"/>
      <w:marTop w:val="0"/>
      <w:marBottom w:val="0"/>
      <w:divBdr>
        <w:top w:val="none" w:sz="0" w:space="0" w:color="auto"/>
        <w:left w:val="none" w:sz="0" w:space="0" w:color="auto"/>
        <w:bottom w:val="none" w:sz="0" w:space="0" w:color="auto"/>
        <w:right w:val="none" w:sz="0" w:space="0" w:color="auto"/>
      </w:divBdr>
    </w:div>
    <w:div w:id="656030676">
      <w:bodyDiv w:val="1"/>
      <w:marLeft w:val="0"/>
      <w:marRight w:val="0"/>
      <w:marTop w:val="0"/>
      <w:marBottom w:val="0"/>
      <w:divBdr>
        <w:top w:val="none" w:sz="0" w:space="0" w:color="auto"/>
        <w:left w:val="none" w:sz="0" w:space="0" w:color="auto"/>
        <w:bottom w:val="none" w:sz="0" w:space="0" w:color="auto"/>
        <w:right w:val="none" w:sz="0" w:space="0" w:color="auto"/>
      </w:divBdr>
    </w:div>
    <w:div w:id="656619221">
      <w:bodyDiv w:val="1"/>
      <w:marLeft w:val="0"/>
      <w:marRight w:val="0"/>
      <w:marTop w:val="0"/>
      <w:marBottom w:val="0"/>
      <w:divBdr>
        <w:top w:val="none" w:sz="0" w:space="0" w:color="auto"/>
        <w:left w:val="none" w:sz="0" w:space="0" w:color="auto"/>
        <w:bottom w:val="none" w:sz="0" w:space="0" w:color="auto"/>
        <w:right w:val="none" w:sz="0" w:space="0" w:color="auto"/>
      </w:divBdr>
    </w:div>
    <w:div w:id="656812114">
      <w:bodyDiv w:val="1"/>
      <w:marLeft w:val="0"/>
      <w:marRight w:val="0"/>
      <w:marTop w:val="0"/>
      <w:marBottom w:val="0"/>
      <w:divBdr>
        <w:top w:val="none" w:sz="0" w:space="0" w:color="auto"/>
        <w:left w:val="none" w:sz="0" w:space="0" w:color="auto"/>
        <w:bottom w:val="none" w:sz="0" w:space="0" w:color="auto"/>
        <w:right w:val="none" w:sz="0" w:space="0" w:color="auto"/>
      </w:divBdr>
    </w:div>
    <w:div w:id="656954318">
      <w:bodyDiv w:val="1"/>
      <w:marLeft w:val="0"/>
      <w:marRight w:val="0"/>
      <w:marTop w:val="0"/>
      <w:marBottom w:val="0"/>
      <w:divBdr>
        <w:top w:val="none" w:sz="0" w:space="0" w:color="auto"/>
        <w:left w:val="none" w:sz="0" w:space="0" w:color="auto"/>
        <w:bottom w:val="none" w:sz="0" w:space="0" w:color="auto"/>
        <w:right w:val="none" w:sz="0" w:space="0" w:color="auto"/>
      </w:divBdr>
    </w:div>
    <w:div w:id="657347331">
      <w:bodyDiv w:val="1"/>
      <w:marLeft w:val="0"/>
      <w:marRight w:val="0"/>
      <w:marTop w:val="0"/>
      <w:marBottom w:val="0"/>
      <w:divBdr>
        <w:top w:val="none" w:sz="0" w:space="0" w:color="auto"/>
        <w:left w:val="none" w:sz="0" w:space="0" w:color="auto"/>
        <w:bottom w:val="none" w:sz="0" w:space="0" w:color="auto"/>
        <w:right w:val="none" w:sz="0" w:space="0" w:color="auto"/>
      </w:divBdr>
    </w:div>
    <w:div w:id="658192576">
      <w:bodyDiv w:val="1"/>
      <w:marLeft w:val="0"/>
      <w:marRight w:val="0"/>
      <w:marTop w:val="0"/>
      <w:marBottom w:val="0"/>
      <w:divBdr>
        <w:top w:val="none" w:sz="0" w:space="0" w:color="auto"/>
        <w:left w:val="none" w:sz="0" w:space="0" w:color="auto"/>
        <w:bottom w:val="none" w:sz="0" w:space="0" w:color="auto"/>
        <w:right w:val="none" w:sz="0" w:space="0" w:color="auto"/>
      </w:divBdr>
    </w:div>
    <w:div w:id="658654789">
      <w:bodyDiv w:val="1"/>
      <w:marLeft w:val="0"/>
      <w:marRight w:val="0"/>
      <w:marTop w:val="0"/>
      <w:marBottom w:val="0"/>
      <w:divBdr>
        <w:top w:val="none" w:sz="0" w:space="0" w:color="auto"/>
        <w:left w:val="none" w:sz="0" w:space="0" w:color="auto"/>
        <w:bottom w:val="none" w:sz="0" w:space="0" w:color="auto"/>
        <w:right w:val="none" w:sz="0" w:space="0" w:color="auto"/>
      </w:divBdr>
    </w:div>
    <w:div w:id="659046426">
      <w:bodyDiv w:val="1"/>
      <w:marLeft w:val="0"/>
      <w:marRight w:val="0"/>
      <w:marTop w:val="0"/>
      <w:marBottom w:val="0"/>
      <w:divBdr>
        <w:top w:val="none" w:sz="0" w:space="0" w:color="auto"/>
        <w:left w:val="none" w:sz="0" w:space="0" w:color="auto"/>
        <w:bottom w:val="none" w:sz="0" w:space="0" w:color="auto"/>
        <w:right w:val="none" w:sz="0" w:space="0" w:color="auto"/>
      </w:divBdr>
    </w:div>
    <w:div w:id="661079096">
      <w:bodyDiv w:val="1"/>
      <w:marLeft w:val="0"/>
      <w:marRight w:val="0"/>
      <w:marTop w:val="0"/>
      <w:marBottom w:val="0"/>
      <w:divBdr>
        <w:top w:val="none" w:sz="0" w:space="0" w:color="auto"/>
        <w:left w:val="none" w:sz="0" w:space="0" w:color="auto"/>
        <w:bottom w:val="none" w:sz="0" w:space="0" w:color="auto"/>
        <w:right w:val="none" w:sz="0" w:space="0" w:color="auto"/>
      </w:divBdr>
    </w:div>
    <w:div w:id="661281108">
      <w:bodyDiv w:val="1"/>
      <w:marLeft w:val="0"/>
      <w:marRight w:val="0"/>
      <w:marTop w:val="0"/>
      <w:marBottom w:val="0"/>
      <w:divBdr>
        <w:top w:val="none" w:sz="0" w:space="0" w:color="auto"/>
        <w:left w:val="none" w:sz="0" w:space="0" w:color="auto"/>
        <w:bottom w:val="none" w:sz="0" w:space="0" w:color="auto"/>
        <w:right w:val="none" w:sz="0" w:space="0" w:color="auto"/>
      </w:divBdr>
    </w:div>
    <w:div w:id="661354491">
      <w:bodyDiv w:val="1"/>
      <w:marLeft w:val="0"/>
      <w:marRight w:val="0"/>
      <w:marTop w:val="0"/>
      <w:marBottom w:val="0"/>
      <w:divBdr>
        <w:top w:val="none" w:sz="0" w:space="0" w:color="auto"/>
        <w:left w:val="none" w:sz="0" w:space="0" w:color="auto"/>
        <w:bottom w:val="none" w:sz="0" w:space="0" w:color="auto"/>
        <w:right w:val="none" w:sz="0" w:space="0" w:color="auto"/>
      </w:divBdr>
    </w:div>
    <w:div w:id="661544451">
      <w:bodyDiv w:val="1"/>
      <w:marLeft w:val="0"/>
      <w:marRight w:val="0"/>
      <w:marTop w:val="0"/>
      <w:marBottom w:val="0"/>
      <w:divBdr>
        <w:top w:val="none" w:sz="0" w:space="0" w:color="auto"/>
        <w:left w:val="none" w:sz="0" w:space="0" w:color="auto"/>
        <w:bottom w:val="none" w:sz="0" w:space="0" w:color="auto"/>
        <w:right w:val="none" w:sz="0" w:space="0" w:color="auto"/>
      </w:divBdr>
    </w:div>
    <w:div w:id="661662229">
      <w:bodyDiv w:val="1"/>
      <w:marLeft w:val="0"/>
      <w:marRight w:val="0"/>
      <w:marTop w:val="0"/>
      <w:marBottom w:val="0"/>
      <w:divBdr>
        <w:top w:val="none" w:sz="0" w:space="0" w:color="auto"/>
        <w:left w:val="none" w:sz="0" w:space="0" w:color="auto"/>
        <w:bottom w:val="none" w:sz="0" w:space="0" w:color="auto"/>
        <w:right w:val="none" w:sz="0" w:space="0" w:color="auto"/>
      </w:divBdr>
    </w:div>
    <w:div w:id="662124659">
      <w:bodyDiv w:val="1"/>
      <w:marLeft w:val="0"/>
      <w:marRight w:val="0"/>
      <w:marTop w:val="0"/>
      <w:marBottom w:val="0"/>
      <w:divBdr>
        <w:top w:val="none" w:sz="0" w:space="0" w:color="auto"/>
        <w:left w:val="none" w:sz="0" w:space="0" w:color="auto"/>
        <w:bottom w:val="none" w:sz="0" w:space="0" w:color="auto"/>
        <w:right w:val="none" w:sz="0" w:space="0" w:color="auto"/>
      </w:divBdr>
    </w:div>
    <w:div w:id="664016779">
      <w:bodyDiv w:val="1"/>
      <w:marLeft w:val="0"/>
      <w:marRight w:val="0"/>
      <w:marTop w:val="0"/>
      <w:marBottom w:val="0"/>
      <w:divBdr>
        <w:top w:val="none" w:sz="0" w:space="0" w:color="auto"/>
        <w:left w:val="none" w:sz="0" w:space="0" w:color="auto"/>
        <w:bottom w:val="none" w:sz="0" w:space="0" w:color="auto"/>
        <w:right w:val="none" w:sz="0" w:space="0" w:color="auto"/>
      </w:divBdr>
    </w:div>
    <w:div w:id="665131790">
      <w:bodyDiv w:val="1"/>
      <w:marLeft w:val="0"/>
      <w:marRight w:val="0"/>
      <w:marTop w:val="0"/>
      <w:marBottom w:val="0"/>
      <w:divBdr>
        <w:top w:val="none" w:sz="0" w:space="0" w:color="auto"/>
        <w:left w:val="none" w:sz="0" w:space="0" w:color="auto"/>
        <w:bottom w:val="none" w:sz="0" w:space="0" w:color="auto"/>
        <w:right w:val="none" w:sz="0" w:space="0" w:color="auto"/>
      </w:divBdr>
    </w:div>
    <w:div w:id="666590382">
      <w:bodyDiv w:val="1"/>
      <w:marLeft w:val="0"/>
      <w:marRight w:val="0"/>
      <w:marTop w:val="0"/>
      <w:marBottom w:val="0"/>
      <w:divBdr>
        <w:top w:val="none" w:sz="0" w:space="0" w:color="auto"/>
        <w:left w:val="none" w:sz="0" w:space="0" w:color="auto"/>
        <w:bottom w:val="none" w:sz="0" w:space="0" w:color="auto"/>
        <w:right w:val="none" w:sz="0" w:space="0" w:color="auto"/>
      </w:divBdr>
    </w:div>
    <w:div w:id="666861379">
      <w:bodyDiv w:val="1"/>
      <w:marLeft w:val="0"/>
      <w:marRight w:val="0"/>
      <w:marTop w:val="0"/>
      <w:marBottom w:val="0"/>
      <w:divBdr>
        <w:top w:val="none" w:sz="0" w:space="0" w:color="auto"/>
        <w:left w:val="none" w:sz="0" w:space="0" w:color="auto"/>
        <w:bottom w:val="none" w:sz="0" w:space="0" w:color="auto"/>
        <w:right w:val="none" w:sz="0" w:space="0" w:color="auto"/>
      </w:divBdr>
    </w:div>
    <w:div w:id="667026219">
      <w:bodyDiv w:val="1"/>
      <w:marLeft w:val="0"/>
      <w:marRight w:val="0"/>
      <w:marTop w:val="0"/>
      <w:marBottom w:val="0"/>
      <w:divBdr>
        <w:top w:val="none" w:sz="0" w:space="0" w:color="auto"/>
        <w:left w:val="none" w:sz="0" w:space="0" w:color="auto"/>
        <w:bottom w:val="none" w:sz="0" w:space="0" w:color="auto"/>
        <w:right w:val="none" w:sz="0" w:space="0" w:color="auto"/>
      </w:divBdr>
    </w:div>
    <w:div w:id="667755948">
      <w:bodyDiv w:val="1"/>
      <w:marLeft w:val="0"/>
      <w:marRight w:val="0"/>
      <w:marTop w:val="0"/>
      <w:marBottom w:val="0"/>
      <w:divBdr>
        <w:top w:val="none" w:sz="0" w:space="0" w:color="auto"/>
        <w:left w:val="none" w:sz="0" w:space="0" w:color="auto"/>
        <w:bottom w:val="none" w:sz="0" w:space="0" w:color="auto"/>
        <w:right w:val="none" w:sz="0" w:space="0" w:color="auto"/>
      </w:divBdr>
    </w:div>
    <w:div w:id="668093224">
      <w:bodyDiv w:val="1"/>
      <w:marLeft w:val="0"/>
      <w:marRight w:val="0"/>
      <w:marTop w:val="0"/>
      <w:marBottom w:val="0"/>
      <w:divBdr>
        <w:top w:val="none" w:sz="0" w:space="0" w:color="auto"/>
        <w:left w:val="none" w:sz="0" w:space="0" w:color="auto"/>
        <w:bottom w:val="none" w:sz="0" w:space="0" w:color="auto"/>
        <w:right w:val="none" w:sz="0" w:space="0" w:color="auto"/>
      </w:divBdr>
    </w:div>
    <w:div w:id="668288900">
      <w:bodyDiv w:val="1"/>
      <w:marLeft w:val="0"/>
      <w:marRight w:val="0"/>
      <w:marTop w:val="0"/>
      <w:marBottom w:val="0"/>
      <w:divBdr>
        <w:top w:val="none" w:sz="0" w:space="0" w:color="auto"/>
        <w:left w:val="none" w:sz="0" w:space="0" w:color="auto"/>
        <w:bottom w:val="none" w:sz="0" w:space="0" w:color="auto"/>
        <w:right w:val="none" w:sz="0" w:space="0" w:color="auto"/>
      </w:divBdr>
    </w:div>
    <w:div w:id="669455115">
      <w:bodyDiv w:val="1"/>
      <w:marLeft w:val="0"/>
      <w:marRight w:val="0"/>
      <w:marTop w:val="0"/>
      <w:marBottom w:val="0"/>
      <w:divBdr>
        <w:top w:val="none" w:sz="0" w:space="0" w:color="auto"/>
        <w:left w:val="none" w:sz="0" w:space="0" w:color="auto"/>
        <w:bottom w:val="none" w:sz="0" w:space="0" w:color="auto"/>
        <w:right w:val="none" w:sz="0" w:space="0" w:color="auto"/>
      </w:divBdr>
    </w:div>
    <w:div w:id="669522174">
      <w:bodyDiv w:val="1"/>
      <w:marLeft w:val="0"/>
      <w:marRight w:val="0"/>
      <w:marTop w:val="0"/>
      <w:marBottom w:val="0"/>
      <w:divBdr>
        <w:top w:val="none" w:sz="0" w:space="0" w:color="auto"/>
        <w:left w:val="none" w:sz="0" w:space="0" w:color="auto"/>
        <w:bottom w:val="none" w:sz="0" w:space="0" w:color="auto"/>
        <w:right w:val="none" w:sz="0" w:space="0" w:color="auto"/>
      </w:divBdr>
    </w:div>
    <w:div w:id="669983721">
      <w:bodyDiv w:val="1"/>
      <w:marLeft w:val="0"/>
      <w:marRight w:val="0"/>
      <w:marTop w:val="0"/>
      <w:marBottom w:val="0"/>
      <w:divBdr>
        <w:top w:val="none" w:sz="0" w:space="0" w:color="auto"/>
        <w:left w:val="none" w:sz="0" w:space="0" w:color="auto"/>
        <w:bottom w:val="none" w:sz="0" w:space="0" w:color="auto"/>
        <w:right w:val="none" w:sz="0" w:space="0" w:color="auto"/>
      </w:divBdr>
    </w:div>
    <w:div w:id="670303583">
      <w:bodyDiv w:val="1"/>
      <w:marLeft w:val="0"/>
      <w:marRight w:val="0"/>
      <w:marTop w:val="0"/>
      <w:marBottom w:val="0"/>
      <w:divBdr>
        <w:top w:val="none" w:sz="0" w:space="0" w:color="auto"/>
        <w:left w:val="none" w:sz="0" w:space="0" w:color="auto"/>
        <w:bottom w:val="none" w:sz="0" w:space="0" w:color="auto"/>
        <w:right w:val="none" w:sz="0" w:space="0" w:color="auto"/>
      </w:divBdr>
    </w:div>
    <w:div w:id="670528666">
      <w:bodyDiv w:val="1"/>
      <w:marLeft w:val="0"/>
      <w:marRight w:val="0"/>
      <w:marTop w:val="0"/>
      <w:marBottom w:val="0"/>
      <w:divBdr>
        <w:top w:val="none" w:sz="0" w:space="0" w:color="auto"/>
        <w:left w:val="none" w:sz="0" w:space="0" w:color="auto"/>
        <w:bottom w:val="none" w:sz="0" w:space="0" w:color="auto"/>
        <w:right w:val="none" w:sz="0" w:space="0" w:color="auto"/>
      </w:divBdr>
    </w:div>
    <w:div w:id="670642422">
      <w:bodyDiv w:val="1"/>
      <w:marLeft w:val="0"/>
      <w:marRight w:val="0"/>
      <w:marTop w:val="0"/>
      <w:marBottom w:val="0"/>
      <w:divBdr>
        <w:top w:val="none" w:sz="0" w:space="0" w:color="auto"/>
        <w:left w:val="none" w:sz="0" w:space="0" w:color="auto"/>
        <w:bottom w:val="none" w:sz="0" w:space="0" w:color="auto"/>
        <w:right w:val="none" w:sz="0" w:space="0" w:color="auto"/>
      </w:divBdr>
    </w:div>
    <w:div w:id="671448714">
      <w:bodyDiv w:val="1"/>
      <w:marLeft w:val="0"/>
      <w:marRight w:val="0"/>
      <w:marTop w:val="0"/>
      <w:marBottom w:val="0"/>
      <w:divBdr>
        <w:top w:val="none" w:sz="0" w:space="0" w:color="auto"/>
        <w:left w:val="none" w:sz="0" w:space="0" w:color="auto"/>
        <w:bottom w:val="none" w:sz="0" w:space="0" w:color="auto"/>
        <w:right w:val="none" w:sz="0" w:space="0" w:color="auto"/>
      </w:divBdr>
    </w:div>
    <w:div w:id="672297610">
      <w:bodyDiv w:val="1"/>
      <w:marLeft w:val="0"/>
      <w:marRight w:val="0"/>
      <w:marTop w:val="0"/>
      <w:marBottom w:val="0"/>
      <w:divBdr>
        <w:top w:val="none" w:sz="0" w:space="0" w:color="auto"/>
        <w:left w:val="none" w:sz="0" w:space="0" w:color="auto"/>
        <w:bottom w:val="none" w:sz="0" w:space="0" w:color="auto"/>
        <w:right w:val="none" w:sz="0" w:space="0" w:color="auto"/>
      </w:divBdr>
    </w:div>
    <w:div w:id="672533179">
      <w:bodyDiv w:val="1"/>
      <w:marLeft w:val="0"/>
      <w:marRight w:val="0"/>
      <w:marTop w:val="0"/>
      <w:marBottom w:val="0"/>
      <w:divBdr>
        <w:top w:val="none" w:sz="0" w:space="0" w:color="auto"/>
        <w:left w:val="none" w:sz="0" w:space="0" w:color="auto"/>
        <w:bottom w:val="none" w:sz="0" w:space="0" w:color="auto"/>
        <w:right w:val="none" w:sz="0" w:space="0" w:color="auto"/>
      </w:divBdr>
    </w:div>
    <w:div w:id="672538927">
      <w:bodyDiv w:val="1"/>
      <w:marLeft w:val="0"/>
      <w:marRight w:val="0"/>
      <w:marTop w:val="0"/>
      <w:marBottom w:val="0"/>
      <w:divBdr>
        <w:top w:val="none" w:sz="0" w:space="0" w:color="auto"/>
        <w:left w:val="none" w:sz="0" w:space="0" w:color="auto"/>
        <w:bottom w:val="none" w:sz="0" w:space="0" w:color="auto"/>
        <w:right w:val="none" w:sz="0" w:space="0" w:color="auto"/>
      </w:divBdr>
    </w:div>
    <w:div w:id="672687365">
      <w:bodyDiv w:val="1"/>
      <w:marLeft w:val="0"/>
      <w:marRight w:val="0"/>
      <w:marTop w:val="0"/>
      <w:marBottom w:val="0"/>
      <w:divBdr>
        <w:top w:val="none" w:sz="0" w:space="0" w:color="auto"/>
        <w:left w:val="none" w:sz="0" w:space="0" w:color="auto"/>
        <w:bottom w:val="none" w:sz="0" w:space="0" w:color="auto"/>
        <w:right w:val="none" w:sz="0" w:space="0" w:color="auto"/>
      </w:divBdr>
    </w:div>
    <w:div w:id="673458803">
      <w:bodyDiv w:val="1"/>
      <w:marLeft w:val="0"/>
      <w:marRight w:val="0"/>
      <w:marTop w:val="0"/>
      <w:marBottom w:val="0"/>
      <w:divBdr>
        <w:top w:val="none" w:sz="0" w:space="0" w:color="auto"/>
        <w:left w:val="none" w:sz="0" w:space="0" w:color="auto"/>
        <w:bottom w:val="none" w:sz="0" w:space="0" w:color="auto"/>
        <w:right w:val="none" w:sz="0" w:space="0" w:color="auto"/>
      </w:divBdr>
    </w:div>
    <w:div w:id="673841823">
      <w:bodyDiv w:val="1"/>
      <w:marLeft w:val="0"/>
      <w:marRight w:val="0"/>
      <w:marTop w:val="0"/>
      <w:marBottom w:val="0"/>
      <w:divBdr>
        <w:top w:val="none" w:sz="0" w:space="0" w:color="auto"/>
        <w:left w:val="none" w:sz="0" w:space="0" w:color="auto"/>
        <w:bottom w:val="none" w:sz="0" w:space="0" w:color="auto"/>
        <w:right w:val="none" w:sz="0" w:space="0" w:color="auto"/>
      </w:divBdr>
    </w:div>
    <w:div w:id="673990846">
      <w:bodyDiv w:val="1"/>
      <w:marLeft w:val="0"/>
      <w:marRight w:val="0"/>
      <w:marTop w:val="0"/>
      <w:marBottom w:val="0"/>
      <w:divBdr>
        <w:top w:val="none" w:sz="0" w:space="0" w:color="auto"/>
        <w:left w:val="none" w:sz="0" w:space="0" w:color="auto"/>
        <w:bottom w:val="none" w:sz="0" w:space="0" w:color="auto"/>
        <w:right w:val="none" w:sz="0" w:space="0" w:color="auto"/>
      </w:divBdr>
    </w:div>
    <w:div w:id="674574798">
      <w:bodyDiv w:val="1"/>
      <w:marLeft w:val="0"/>
      <w:marRight w:val="0"/>
      <w:marTop w:val="0"/>
      <w:marBottom w:val="0"/>
      <w:divBdr>
        <w:top w:val="none" w:sz="0" w:space="0" w:color="auto"/>
        <w:left w:val="none" w:sz="0" w:space="0" w:color="auto"/>
        <w:bottom w:val="none" w:sz="0" w:space="0" w:color="auto"/>
        <w:right w:val="none" w:sz="0" w:space="0" w:color="auto"/>
      </w:divBdr>
    </w:div>
    <w:div w:id="674772759">
      <w:bodyDiv w:val="1"/>
      <w:marLeft w:val="0"/>
      <w:marRight w:val="0"/>
      <w:marTop w:val="0"/>
      <w:marBottom w:val="0"/>
      <w:divBdr>
        <w:top w:val="none" w:sz="0" w:space="0" w:color="auto"/>
        <w:left w:val="none" w:sz="0" w:space="0" w:color="auto"/>
        <w:bottom w:val="none" w:sz="0" w:space="0" w:color="auto"/>
        <w:right w:val="none" w:sz="0" w:space="0" w:color="auto"/>
      </w:divBdr>
    </w:div>
    <w:div w:id="674914838">
      <w:bodyDiv w:val="1"/>
      <w:marLeft w:val="0"/>
      <w:marRight w:val="0"/>
      <w:marTop w:val="0"/>
      <w:marBottom w:val="0"/>
      <w:divBdr>
        <w:top w:val="none" w:sz="0" w:space="0" w:color="auto"/>
        <w:left w:val="none" w:sz="0" w:space="0" w:color="auto"/>
        <w:bottom w:val="none" w:sz="0" w:space="0" w:color="auto"/>
        <w:right w:val="none" w:sz="0" w:space="0" w:color="auto"/>
      </w:divBdr>
    </w:div>
    <w:div w:id="675301667">
      <w:bodyDiv w:val="1"/>
      <w:marLeft w:val="0"/>
      <w:marRight w:val="0"/>
      <w:marTop w:val="0"/>
      <w:marBottom w:val="0"/>
      <w:divBdr>
        <w:top w:val="none" w:sz="0" w:space="0" w:color="auto"/>
        <w:left w:val="none" w:sz="0" w:space="0" w:color="auto"/>
        <w:bottom w:val="none" w:sz="0" w:space="0" w:color="auto"/>
        <w:right w:val="none" w:sz="0" w:space="0" w:color="auto"/>
      </w:divBdr>
    </w:div>
    <w:div w:id="676813744">
      <w:bodyDiv w:val="1"/>
      <w:marLeft w:val="0"/>
      <w:marRight w:val="0"/>
      <w:marTop w:val="0"/>
      <w:marBottom w:val="0"/>
      <w:divBdr>
        <w:top w:val="none" w:sz="0" w:space="0" w:color="auto"/>
        <w:left w:val="none" w:sz="0" w:space="0" w:color="auto"/>
        <w:bottom w:val="none" w:sz="0" w:space="0" w:color="auto"/>
        <w:right w:val="none" w:sz="0" w:space="0" w:color="auto"/>
      </w:divBdr>
    </w:div>
    <w:div w:id="677462906">
      <w:bodyDiv w:val="1"/>
      <w:marLeft w:val="0"/>
      <w:marRight w:val="0"/>
      <w:marTop w:val="0"/>
      <w:marBottom w:val="0"/>
      <w:divBdr>
        <w:top w:val="none" w:sz="0" w:space="0" w:color="auto"/>
        <w:left w:val="none" w:sz="0" w:space="0" w:color="auto"/>
        <w:bottom w:val="none" w:sz="0" w:space="0" w:color="auto"/>
        <w:right w:val="none" w:sz="0" w:space="0" w:color="auto"/>
      </w:divBdr>
    </w:div>
    <w:div w:id="678966576">
      <w:bodyDiv w:val="1"/>
      <w:marLeft w:val="0"/>
      <w:marRight w:val="0"/>
      <w:marTop w:val="0"/>
      <w:marBottom w:val="0"/>
      <w:divBdr>
        <w:top w:val="none" w:sz="0" w:space="0" w:color="auto"/>
        <w:left w:val="none" w:sz="0" w:space="0" w:color="auto"/>
        <w:bottom w:val="none" w:sz="0" w:space="0" w:color="auto"/>
        <w:right w:val="none" w:sz="0" w:space="0" w:color="auto"/>
      </w:divBdr>
    </w:div>
    <w:div w:id="680593213">
      <w:bodyDiv w:val="1"/>
      <w:marLeft w:val="0"/>
      <w:marRight w:val="0"/>
      <w:marTop w:val="0"/>
      <w:marBottom w:val="0"/>
      <w:divBdr>
        <w:top w:val="none" w:sz="0" w:space="0" w:color="auto"/>
        <w:left w:val="none" w:sz="0" w:space="0" w:color="auto"/>
        <w:bottom w:val="none" w:sz="0" w:space="0" w:color="auto"/>
        <w:right w:val="none" w:sz="0" w:space="0" w:color="auto"/>
      </w:divBdr>
    </w:div>
    <w:div w:id="681198853">
      <w:bodyDiv w:val="1"/>
      <w:marLeft w:val="0"/>
      <w:marRight w:val="0"/>
      <w:marTop w:val="0"/>
      <w:marBottom w:val="0"/>
      <w:divBdr>
        <w:top w:val="none" w:sz="0" w:space="0" w:color="auto"/>
        <w:left w:val="none" w:sz="0" w:space="0" w:color="auto"/>
        <w:bottom w:val="none" w:sz="0" w:space="0" w:color="auto"/>
        <w:right w:val="none" w:sz="0" w:space="0" w:color="auto"/>
      </w:divBdr>
    </w:div>
    <w:div w:id="681667256">
      <w:bodyDiv w:val="1"/>
      <w:marLeft w:val="0"/>
      <w:marRight w:val="0"/>
      <w:marTop w:val="0"/>
      <w:marBottom w:val="0"/>
      <w:divBdr>
        <w:top w:val="none" w:sz="0" w:space="0" w:color="auto"/>
        <w:left w:val="none" w:sz="0" w:space="0" w:color="auto"/>
        <w:bottom w:val="none" w:sz="0" w:space="0" w:color="auto"/>
        <w:right w:val="none" w:sz="0" w:space="0" w:color="auto"/>
      </w:divBdr>
    </w:div>
    <w:div w:id="681972133">
      <w:bodyDiv w:val="1"/>
      <w:marLeft w:val="0"/>
      <w:marRight w:val="0"/>
      <w:marTop w:val="0"/>
      <w:marBottom w:val="0"/>
      <w:divBdr>
        <w:top w:val="none" w:sz="0" w:space="0" w:color="auto"/>
        <w:left w:val="none" w:sz="0" w:space="0" w:color="auto"/>
        <w:bottom w:val="none" w:sz="0" w:space="0" w:color="auto"/>
        <w:right w:val="none" w:sz="0" w:space="0" w:color="auto"/>
      </w:divBdr>
    </w:div>
    <w:div w:id="682169358">
      <w:bodyDiv w:val="1"/>
      <w:marLeft w:val="0"/>
      <w:marRight w:val="0"/>
      <w:marTop w:val="0"/>
      <w:marBottom w:val="0"/>
      <w:divBdr>
        <w:top w:val="none" w:sz="0" w:space="0" w:color="auto"/>
        <w:left w:val="none" w:sz="0" w:space="0" w:color="auto"/>
        <w:bottom w:val="none" w:sz="0" w:space="0" w:color="auto"/>
        <w:right w:val="none" w:sz="0" w:space="0" w:color="auto"/>
      </w:divBdr>
    </w:div>
    <w:div w:id="684210523">
      <w:bodyDiv w:val="1"/>
      <w:marLeft w:val="0"/>
      <w:marRight w:val="0"/>
      <w:marTop w:val="0"/>
      <w:marBottom w:val="0"/>
      <w:divBdr>
        <w:top w:val="none" w:sz="0" w:space="0" w:color="auto"/>
        <w:left w:val="none" w:sz="0" w:space="0" w:color="auto"/>
        <w:bottom w:val="none" w:sz="0" w:space="0" w:color="auto"/>
        <w:right w:val="none" w:sz="0" w:space="0" w:color="auto"/>
      </w:divBdr>
    </w:div>
    <w:div w:id="684747182">
      <w:bodyDiv w:val="1"/>
      <w:marLeft w:val="0"/>
      <w:marRight w:val="0"/>
      <w:marTop w:val="0"/>
      <w:marBottom w:val="0"/>
      <w:divBdr>
        <w:top w:val="none" w:sz="0" w:space="0" w:color="auto"/>
        <w:left w:val="none" w:sz="0" w:space="0" w:color="auto"/>
        <w:bottom w:val="none" w:sz="0" w:space="0" w:color="auto"/>
        <w:right w:val="none" w:sz="0" w:space="0" w:color="auto"/>
      </w:divBdr>
    </w:div>
    <w:div w:id="684793944">
      <w:bodyDiv w:val="1"/>
      <w:marLeft w:val="0"/>
      <w:marRight w:val="0"/>
      <w:marTop w:val="0"/>
      <w:marBottom w:val="0"/>
      <w:divBdr>
        <w:top w:val="none" w:sz="0" w:space="0" w:color="auto"/>
        <w:left w:val="none" w:sz="0" w:space="0" w:color="auto"/>
        <w:bottom w:val="none" w:sz="0" w:space="0" w:color="auto"/>
        <w:right w:val="none" w:sz="0" w:space="0" w:color="auto"/>
      </w:divBdr>
    </w:div>
    <w:div w:id="685447730">
      <w:bodyDiv w:val="1"/>
      <w:marLeft w:val="0"/>
      <w:marRight w:val="0"/>
      <w:marTop w:val="0"/>
      <w:marBottom w:val="0"/>
      <w:divBdr>
        <w:top w:val="none" w:sz="0" w:space="0" w:color="auto"/>
        <w:left w:val="none" w:sz="0" w:space="0" w:color="auto"/>
        <w:bottom w:val="none" w:sz="0" w:space="0" w:color="auto"/>
        <w:right w:val="none" w:sz="0" w:space="0" w:color="auto"/>
      </w:divBdr>
    </w:div>
    <w:div w:id="686829158">
      <w:bodyDiv w:val="1"/>
      <w:marLeft w:val="0"/>
      <w:marRight w:val="0"/>
      <w:marTop w:val="0"/>
      <w:marBottom w:val="0"/>
      <w:divBdr>
        <w:top w:val="none" w:sz="0" w:space="0" w:color="auto"/>
        <w:left w:val="none" w:sz="0" w:space="0" w:color="auto"/>
        <w:bottom w:val="none" w:sz="0" w:space="0" w:color="auto"/>
        <w:right w:val="none" w:sz="0" w:space="0" w:color="auto"/>
      </w:divBdr>
    </w:div>
    <w:div w:id="687215270">
      <w:bodyDiv w:val="1"/>
      <w:marLeft w:val="0"/>
      <w:marRight w:val="0"/>
      <w:marTop w:val="0"/>
      <w:marBottom w:val="0"/>
      <w:divBdr>
        <w:top w:val="none" w:sz="0" w:space="0" w:color="auto"/>
        <w:left w:val="none" w:sz="0" w:space="0" w:color="auto"/>
        <w:bottom w:val="none" w:sz="0" w:space="0" w:color="auto"/>
        <w:right w:val="none" w:sz="0" w:space="0" w:color="auto"/>
      </w:divBdr>
    </w:div>
    <w:div w:id="687366142">
      <w:bodyDiv w:val="1"/>
      <w:marLeft w:val="0"/>
      <w:marRight w:val="0"/>
      <w:marTop w:val="0"/>
      <w:marBottom w:val="0"/>
      <w:divBdr>
        <w:top w:val="none" w:sz="0" w:space="0" w:color="auto"/>
        <w:left w:val="none" w:sz="0" w:space="0" w:color="auto"/>
        <w:bottom w:val="none" w:sz="0" w:space="0" w:color="auto"/>
        <w:right w:val="none" w:sz="0" w:space="0" w:color="auto"/>
      </w:divBdr>
    </w:div>
    <w:div w:id="687606531">
      <w:bodyDiv w:val="1"/>
      <w:marLeft w:val="0"/>
      <w:marRight w:val="0"/>
      <w:marTop w:val="0"/>
      <w:marBottom w:val="0"/>
      <w:divBdr>
        <w:top w:val="none" w:sz="0" w:space="0" w:color="auto"/>
        <w:left w:val="none" w:sz="0" w:space="0" w:color="auto"/>
        <w:bottom w:val="none" w:sz="0" w:space="0" w:color="auto"/>
        <w:right w:val="none" w:sz="0" w:space="0" w:color="auto"/>
      </w:divBdr>
    </w:div>
    <w:div w:id="687606795">
      <w:bodyDiv w:val="1"/>
      <w:marLeft w:val="0"/>
      <w:marRight w:val="0"/>
      <w:marTop w:val="0"/>
      <w:marBottom w:val="0"/>
      <w:divBdr>
        <w:top w:val="none" w:sz="0" w:space="0" w:color="auto"/>
        <w:left w:val="none" w:sz="0" w:space="0" w:color="auto"/>
        <w:bottom w:val="none" w:sz="0" w:space="0" w:color="auto"/>
        <w:right w:val="none" w:sz="0" w:space="0" w:color="auto"/>
      </w:divBdr>
    </w:div>
    <w:div w:id="687873371">
      <w:bodyDiv w:val="1"/>
      <w:marLeft w:val="0"/>
      <w:marRight w:val="0"/>
      <w:marTop w:val="0"/>
      <w:marBottom w:val="0"/>
      <w:divBdr>
        <w:top w:val="none" w:sz="0" w:space="0" w:color="auto"/>
        <w:left w:val="none" w:sz="0" w:space="0" w:color="auto"/>
        <w:bottom w:val="none" w:sz="0" w:space="0" w:color="auto"/>
        <w:right w:val="none" w:sz="0" w:space="0" w:color="auto"/>
      </w:divBdr>
    </w:div>
    <w:div w:id="688218573">
      <w:bodyDiv w:val="1"/>
      <w:marLeft w:val="0"/>
      <w:marRight w:val="0"/>
      <w:marTop w:val="0"/>
      <w:marBottom w:val="0"/>
      <w:divBdr>
        <w:top w:val="none" w:sz="0" w:space="0" w:color="auto"/>
        <w:left w:val="none" w:sz="0" w:space="0" w:color="auto"/>
        <w:bottom w:val="none" w:sz="0" w:space="0" w:color="auto"/>
        <w:right w:val="none" w:sz="0" w:space="0" w:color="auto"/>
      </w:divBdr>
    </w:div>
    <w:div w:id="688290338">
      <w:bodyDiv w:val="1"/>
      <w:marLeft w:val="0"/>
      <w:marRight w:val="0"/>
      <w:marTop w:val="0"/>
      <w:marBottom w:val="0"/>
      <w:divBdr>
        <w:top w:val="none" w:sz="0" w:space="0" w:color="auto"/>
        <w:left w:val="none" w:sz="0" w:space="0" w:color="auto"/>
        <w:bottom w:val="none" w:sz="0" w:space="0" w:color="auto"/>
        <w:right w:val="none" w:sz="0" w:space="0" w:color="auto"/>
      </w:divBdr>
    </w:div>
    <w:div w:id="689064643">
      <w:bodyDiv w:val="1"/>
      <w:marLeft w:val="0"/>
      <w:marRight w:val="0"/>
      <w:marTop w:val="0"/>
      <w:marBottom w:val="0"/>
      <w:divBdr>
        <w:top w:val="none" w:sz="0" w:space="0" w:color="auto"/>
        <w:left w:val="none" w:sz="0" w:space="0" w:color="auto"/>
        <w:bottom w:val="none" w:sz="0" w:space="0" w:color="auto"/>
        <w:right w:val="none" w:sz="0" w:space="0" w:color="auto"/>
      </w:divBdr>
    </w:div>
    <w:div w:id="689918907">
      <w:bodyDiv w:val="1"/>
      <w:marLeft w:val="0"/>
      <w:marRight w:val="0"/>
      <w:marTop w:val="0"/>
      <w:marBottom w:val="0"/>
      <w:divBdr>
        <w:top w:val="none" w:sz="0" w:space="0" w:color="auto"/>
        <w:left w:val="none" w:sz="0" w:space="0" w:color="auto"/>
        <w:bottom w:val="none" w:sz="0" w:space="0" w:color="auto"/>
        <w:right w:val="none" w:sz="0" w:space="0" w:color="auto"/>
      </w:divBdr>
    </w:div>
    <w:div w:id="690451462">
      <w:bodyDiv w:val="1"/>
      <w:marLeft w:val="0"/>
      <w:marRight w:val="0"/>
      <w:marTop w:val="0"/>
      <w:marBottom w:val="0"/>
      <w:divBdr>
        <w:top w:val="none" w:sz="0" w:space="0" w:color="auto"/>
        <w:left w:val="none" w:sz="0" w:space="0" w:color="auto"/>
        <w:bottom w:val="none" w:sz="0" w:space="0" w:color="auto"/>
        <w:right w:val="none" w:sz="0" w:space="0" w:color="auto"/>
      </w:divBdr>
    </w:div>
    <w:div w:id="691031773">
      <w:bodyDiv w:val="1"/>
      <w:marLeft w:val="0"/>
      <w:marRight w:val="0"/>
      <w:marTop w:val="0"/>
      <w:marBottom w:val="0"/>
      <w:divBdr>
        <w:top w:val="none" w:sz="0" w:space="0" w:color="auto"/>
        <w:left w:val="none" w:sz="0" w:space="0" w:color="auto"/>
        <w:bottom w:val="none" w:sz="0" w:space="0" w:color="auto"/>
        <w:right w:val="none" w:sz="0" w:space="0" w:color="auto"/>
      </w:divBdr>
    </w:div>
    <w:div w:id="692073710">
      <w:bodyDiv w:val="1"/>
      <w:marLeft w:val="0"/>
      <w:marRight w:val="0"/>
      <w:marTop w:val="0"/>
      <w:marBottom w:val="0"/>
      <w:divBdr>
        <w:top w:val="none" w:sz="0" w:space="0" w:color="auto"/>
        <w:left w:val="none" w:sz="0" w:space="0" w:color="auto"/>
        <w:bottom w:val="none" w:sz="0" w:space="0" w:color="auto"/>
        <w:right w:val="none" w:sz="0" w:space="0" w:color="auto"/>
      </w:divBdr>
    </w:div>
    <w:div w:id="692918016">
      <w:bodyDiv w:val="1"/>
      <w:marLeft w:val="0"/>
      <w:marRight w:val="0"/>
      <w:marTop w:val="0"/>
      <w:marBottom w:val="0"/>
      <w:divBdr>
        <w:top w:val="none" w:sz="0" w:space="0" w:color="auto"/>
        <w:left w:val="none" w:sz="0" w:space="0" w:color="auto"/>
        <w:bottom w:val="none" w:sz="0" w:space="0" w:color="auto"/>
        <w:right w:val="none" w:sz="0" w:space="0" w:color="auto"/>
      </w:divBdr>
    </w:div>
    <w:div w:id="693072394">
      <w:bodyDiv w:val="1"/>
      <w:marLeft w:val="0"/>
      <w:marRight w:val="0"/>
      <w:marTop w:val="0"/>
      <w:marBottom w:val="0"/>
      <w:divBdr>
        <w:top w:val="none" w:sz="0" w:space="0" w:color="auto"/>
        <w:left w:val="none" w:sz="0" w:space="0" w:color="auto"/>
        <w:bottom w:val="none" w:sz="0" w:space="0" w:color="auto"/>
        <w:right w:val="none" w:sz="0" w:space="0" w:color="auto"/>
      </w:divBdr>
    </w:div>
    <w:div w:id="693306475">
      <w:bodyDiv w:val="1"/>
      <w:marLeft w:val="0"/>
      <w:marRight w:val="0"/>
      <w:marTop w:val="0"/>
      <w:marBottom w:val="0"/>
      <w:divBdr>
        <w:top w:val="none" w:sz="0" w:space="0" w:color="auto"/>
        <w:left w:val="none" w:sz="0" w:space="0" w:color="auto"/>
        <w:bottom w:val="none" w:sz="0" w:space="0" w:color="auto"/>
        <w:right w:val="none" w:sz="0" w:space="0" w:color="auto"/>
      </w:divBdr>
    </w:div>
    <w:div w:id="693850897">
      <w:bodyDiv w:val="1"/>
      <w:marLeft w:val="0"/>
      <w:marRight w:val="0"/>
      <w:marTop w:val="0"/>
      <w:marBottom w:val="0"/>
      <w:divBdr>
        <w:top w:val="none" w:sz="0" w:space="0" w:color="auto"/>
        <w:left w:val="none" w:sz="0" w:space="0" w:color="auto"/>
        <w:bottom w:val="none" w:sz="0" w:space="0" w:color="auto"/>
        <w:right w:val="none" w:sz="0" w:space="0" w:color="auto"/>
      </w:divBdr>
    </w:div>
    <w:div w:id="693923595">
      <w:bodyDiv w:val="1"/>
      <w:marLeft w:val="0"/>
      <w:marRight w:val="0"/>
      <w:marTop w:val="0"/>
      <w:marBottom w:val="0"/>
      <w:divBdr>
        <w:top w:val="none" w:sz="0" w:space="0" w:color="auto"/>
        <w:left w:val="none" w:sz="0" w:space="0" w:color="auto"/>
        <w:bottom w:val="none" w:sz="0" w:space="0" w:color="auto"/>
        <w:right w:val="none" w:sz="0" w:space="0" w:color="auto"/>
      </w:divBdr>
    </w:div>
    <w:div w:id="694113585">
      <w:bodyDiv w:val="1"/>
      <w:marLeft w:val="0"/>
      <w:marRight w:val="0"/>
      <w:marTop w:val="0"/>
      <w:marBottom w:val="0"/>
      <w:divBdr>
        <w:top w:val="none" w:sz="0" w:space="0" w:color="auto"/>
        <w:left w:val="none" w:sz="0" w:space="0" w:color="auto"/>
        <w:bottom w:val="none" w:sz="0" w:space="0" w:color="auto"/>
        <w:right w:val="none" w:sz="0" w:space="0" w:color="auto"/>
      </w:divBdr>
    </w:div>
    <w:div w:id="695472616">
      <w:bodyDiv w:val="1"/>
      <w:marLeft w:val="0"/>
      <w:marRight w:val="0"/>
      <w:marTop w:val="0"/>
      <w:marBottom w:val="0"/>
      <w:divBdr>
        <w:top w:val="none" w:sz="0" w:space="0" w:color="auto"/>
        <w:left w:val="none" w:sz="0" w:space="0" w:color="auto"/>
        <w:bottom w:val="none" w:sz="0" w:space="0" w:color="auto"/>
        <w:right w:val="none" w:sz="0" w:space="0" w:color="auto"/>
      </w:divBdr>
    </w:div>
    <w:div w:id="695737061">
      <w:bodyDiv w:val="1"/>
      <w:marLeft w:val="0"/>
      <w:marRight w:val="0"/>
      <w:marTop w:val="0"/>
      <w:marBottom w:val="0"/>
      <w:divBdr>
        <w:top w:val="none" w:sz="0" w:space="0" w:color="auto"/>
        <w:left w:val="none" w:sz="0" w:space="0" w:color="auto"/>
        <w:bottom w:val="none" w:sz="0" w:space="0" w:color="auto"/>
        <w:right w:val="none" w:sz="0" w:space="0" w:color="auto"/>
      </w:divBdr>
    </w:div>
    <w:div w:id="697046269">
      <w:bodyDiv w:val="1"/>
      <w:marLeft w:val="0"/>
      <w:marRight w:val="0"/>
      <w:marTop w:val="0"/>
      <w:marBottom w:val="0"/>
      <w:divBdr>
        <w:top w:val="none" w:sz="0" w:space="0" w:color="auto"/>
        <w:left w:val="none" w:sz="0" w:space="0" w:color="auto"/>
        <w:bottom w:val="none" w:sz="0" w:space="0" w:color="auto"/>
        <w:right w:val="none" w:sz="0" w:space="0" w:color="auto"/>
      </w:divBdr>
    </w:div>
    <w:div w:id="697631990">
      <w:bodyDiv w:val="1"/>
      <w:marLeft w:val="0"/>
      <w:marRight w:val="0"/>
      <w:marTop w:val="0"/>
      <w:marBottom w:val="0"/>
      <w:divBdr>
        <w:top w:val="none" w:sz="0" w:space="0" w:color="auto"/>
        <w:left w:val="none" w:sz="0" w:space="0" w:color="auto"/>
        <w:bottom w:val="none" w:sz="0" w:space="0" w:color="auto"/>
        <w:right w:val="none" w:sz="0" w:space="0" w:color="auto"/>
      </w:divBdr>
    </w:div>
    <w:div w:id="698430195">
      <w:bodyDiv w:val="1"/>
      <w:marLeft w:val="0"/>
      <w:marRight w:val="0"/>
      <w:marTop w:val="0"/>
      <w:marBottom w:val="0"/>
      <w:divBdr>
        <w:top w:val="none" w:sz="0" w:space="0" w:color="auto"/>
        <w:left w:val="none" w:sz="0" w:space="0" w:color="auto"/>
        <w:bottom w:val="none" w:sz="0" w:space="0" w:color="auto"/>
        <w:right w:val="none" w:sz="0" w:space="0" w:color="auto"/>
      </w:divBdr>
    </w:div>
    <w:div w:id="698625473">
      <w:bodyDiv w:val="1"/>
      <w:marLeft w:val="0"/>
      <w:marRight w:val="0"/>
      <w:marTop w:val="0"/>
      <w:marBottom w:val="0"/>
      <w:divBdr>
        <w:top w:val="none" w:sz="0" w:space="0" w:color="auto"/>
        <w:left w:val="none" w:sz="0" w:space="0" w:color="auto"/>
        <w:bottom w:val="none" w:sz="0" w:space="0" w:color="auto"/>
        <w:right w:val="none" w:sz="0" w:space="0" w:color="auto"/>
      </w:divBdr>
    </w:div>
    <w:div w:id="699211689">
      <w:bodyDiv w:val="1"/>
      <w:marLeft w:val="0"/>
      <w:marRight w:val="0"/>
      <w:marTop w:val="0"/>
      <w:marBottom w:val="0"/>
      <w:divBdr>
        <w:top w:val="none" w:sz="0" w:space="0" w:color="auto"/>
        <w:left w:val="none" w:sz="0" w:space="0" w:color="auto"/>
        <w:bottom w:val="none" w:sz="0" w:space="0" w:color="auto"/>
        <w:right w:val="none" w:sz="0" w:space="0" w:color="auto"/>
      </w:divBdr>
    </w:div>
    <w:div w:id="699471819">
      <w:bodyDiv w:val="1"/>
      <w:marLeft w:val="0"/>
      <w:marRight w:val="0"/>
      <w:marTop w:val="0"/>
      <w:marBottom w:val="0"/>
      <w:divBdr>
        <w:top w:val="none" w:sz="0" w:space="0" w:color="auto"/>
        <w:left w:val="none" w:sz="0" w:space="0" w:color="auto"/>
        <w:bottom w:val="none" w:sz="0" w:space="0" w:color="auto"/>
        <w:right w:val="none" w:sz="0" w:space="0" w:color="auto"/>
      </w:divBdr>
    </w:div>
    <w:div w:id="700787618">
      <w:bodyDiv w:val="1"/>
      <w:marLeft w:val="0"/>
      <w:marRight w:val="0"/>
      <w:marTop w:val="0"/>
      <w:marBottom w:val="0"/>
      <w:divBdr>
        <w:top w:val="none" w:sz="0" w:space="0" w:color="auto"/>
        <w:left w:val="none" w:sz="0" w:space="0" w:color="auto"/>
        <w:bottom w:val="none" w:sz="0" w:space="0" w:color="auto"/>
        <w:right w:val="none" w:sz="0" w:space="0" w:color="auto"/>
      </w:divBdr>
    </w:div>
    <w:div w:id="700858118">
      <w:bodyDiv w:val="1"/>
      <w:marLeft w:val="0"/>
      <w:marRight w:val="0"/>
      <w:marTop w:val="0"/>
      <w:marBottom w:val="0"/>
      <w:divBdr>
        <w:top w:val="none" w:sz="0" w:space="0" w:color="auto"/>
        <w:left w:val="none" w:sz="0" w:space="0" w:color="auto"/>
        <w:bottom w:val="none" w:sz="0" w:space="0" w:color="auto"/>
        <w:right w:val="none" w:sz="0" w:space="0" w:color="auto"/>
      </w:divBdr>
    </w:div>
    <w:div w:id="703361340">
      <w:bodyDiv w:val="1"/>
      <w:marLeft w:val="0"/>
      <w:marRight w:val="0"/>
      <w:marTop w:val="0"/>
      <w:marBottom w:val="0"/>
      <w:divBdr>
        <w:top w:val="none" w:sz="0" w:space="0" w:color="auto"/>
        <w:left w:val="none" w:sz="0" w:space="0" w:color="auto"/>
        <w:bottom w:val="none" w:sz="0" w:space="0" w:color="auto"/>
        <w:right w:val="none" w:sz="0" w:space="0" w:color="auto"/>
      </w:divBdr>
    </w:div>
    <w:div w:id="703942964">
      <w:bodyDiv w:val="1"/>
      <w:marLeft w:val="0"/>
      <w:marRight w:val="0"/>
      <w:marTop w:val="0"/>
      <w:marBottom w:val="0"/>
      <w:divBdr>
        <w:top w:val="none" w:sz="0" w:space="0" w:color="auto"/>
        <w:left w:val="none" w:sz="0" w:space="0" w:color="auto"/>
        <w:bottom w:val="none" w:sz="0" w:space="0" w:color="auto"/>
        <w:right w:val="none" w:sz="0" w:space="0" w:color="auto"/>
      </w:divBdr>
    </w:div>
    <w:div w:id="704523712">
      <w:bodyDiv w:val="1"/>
      <w:marLeft w:val="0"/>
      <w:marRight w:val="0"/>
      <w:marTop w:val="0"/>
      <w:marBottom w:val="0"/>
      <w:divBdr>
        <w:top w:val="none" w:sz="0" w:space="0" w:color="auto"/>
        <w:left w:val="none" w:sz="0" w:space="0" w:color="auto"/>
        <w:bottom w:val="none" w:sz="0" w:space="0" w:color="auto"/>
        <w:right w:val="none" w:sz="0" w:space="0" w:color="auto"/>
      </w:divBdr>
    </w:div>
    <w:div w:id="705527710">
      <w:bodyDiv w:val="1"/>
      <w:marLeft w:val="0"/>
      <w:marRight w:val="0"/>
      <w:marTop w:val="0"/>
      <w:marBottom w:val="0"/>
      <w:divBdr>
        <w:top w:val="none" w:sz="0" w:space="0" w:color="auto"/>
        <w:left w:val="none" w:sz="0" w:space="0" w:color="auto"/>
        <w:bottom w:val="none" w:sz="0" w:space="0" w:color="auto"/>
        <w:right w:val="none" w:sz="0" w:space="0" w:color="auto"/>
      </w:divBdr>
    </w:div>
    <w:div w:id="705561752">
      <w:bodyDiv w:val="1"/>
      <w:marLeft w:val="0"/>
      <w:marRight w:val="0"/>
      <w:marTop w:val="0"/>
      <w:marBottom w:val="0"/>
      <w:divBdr>
        <w:top w:val="none" w:sz="0" w:space="0" w:color="auto"/>
        <w:left w:val="none" w:sz="0" w:space="0" w:color="auto"/>
        <w:bottom w:val="none" w:sz="0" w:space="0" w:color="auto"/>
        <w:right w:val="none" w:sz="0" w:space="0" w:color="auto"/>
      </w:divBdr>
    </w:div>
    <w:div w:id="705644622">
      <w:bodyDiv w:val="1"/>
      <w:marLeft w:val="0"/>
      <w:marRight w:val="0"/>
      <w:marTop w:val="0"/>
      <w:marBottom w:val="0"/>
      <w:divBdr>
        <w:top w:val="none" w:sz="0" w:space="0" w:color="auto"/>
        <w:left w:val="none" w:sz="0" w:space="0" w:color="auto"/>
        <w:bottom w:val="none" w:sz="0" w:space="0" w:color="auto"/>
        <w:right w:val="none" w:sz="0" w:space="0" w:color="auto"/>
      </w:divBdr>
    </w:div>
    <w:div w:id="705838239">
      <w:bodyDiv w:val="1"/>
      <w:marLeft w:val="0"/>
      <w:marRight w:val="0"/>
      <w:marTop w:val="0"/>
      <w:marBottom w:val="0"/>
      <w:divBdr>
        <w:top w:val="none" w:sz="0" w:space="0" w:color="auto"/>
        <w:left w:val="none" w:sz="0" w:space="0" w:color="auto"/>
        <w:bottom w:val="none" w:sz="0" w:space="0" w:color="auto"/>
        <w:right w:val="none" w:sz="0" w:space="0" w:color="auto"/>
      </w:divBdr>
    </w:div>
    <w:div w:id="705914707">
      <w:bodyDiv w:val="1"/>
      <w:marLeft w:val="0"/>
      <w:marRight w:val="0"/>
      <w:marTop w:val="0"/>
      <w:marBottom w:val="0"/>
      <w:divBdr>
        <w:top w:val="none" w:sz="0" w:space="0" w:color="auto"/>
        <w:left w:val="none" w:sz="0" w:space="0" w:color="auto"/>
        <w:bottom w:val="none" w:sz="0" w:space="0" w:color="auto"/>
        <w:right w:val="none" w:sz="0" w:space="0" w:color="auto"/>
      </w:divBdr>
    </w:div>
    <w:div w:id="705956875">
      <w:bodyDiv w:val="1"/>
      <w:marLeft w:val="0"/>
      <w:marRight w:val="0"/>
      <w:marTop w:val="0"/>
      <w:marBottom w:val="0"/>
      <w:divBdr>
        <w:top w:val="none" w:sz="0" w:space="0" w:color="auto"/>
        <w:left w:val="none" w:sz="0" w:space="0" w:color="auto"/>
        <w:bottom w:val="none" w:sz="0" w:space="0" w:color="auto"/>
        <w:right w:val="none" w:sz="0" w:space="0" w:color="auto"/>
      </w:divBdr>
    </w:div>
    <w:div w:id="706219959">
      <w:bodyDiv w:val="1"/>
      <w:marLeft w:val="0"/>
      <w:marRight w:val="0"/>
      <w:marTop w:val="0"/>
      <w:marBottom w:val="0"/>
      <w:divBdr>
        <w:top w:val="none" w:sz="0" w:space="0" w:color="auto"/>
        <w:left w:val="none" w:sz="0" w:space="0" w:color="auto"/>
        <w:bottom w:val="none" w:sz="0" w:space="0" w:color="auto"/>
        <w:right w:val="none" w:sz="0" w:space="0" w:color="auto"/>
      </w:divBdr>
    </w:div>
    <w:div w:id="706638627">
      <w:bodyDiv w:val="1"/>
      <w:marLeft w:val="0"/>
      <w:marRight w:val="0"/>
      <w:marTop w:val="0"/>
      <w:marBottom w:val="0"/>
      <w:divBdr>
        <w:top w:val="none" w:sz="0" w:space="0" w:color="auto"/>
        <w:left w:val="none" w:sz="0" w:space="0" w:color="auto"/>
        <w:bottom w:val="none" w:sz="0" w:space="0" w:color="auto"/>
        <w:right w:val="none" w:sz="0" w:space="0" w:color="auto"/>
      </w:divBdr>
    </w:div>
    <w:div w:id="706833170">
      <w:bodyDiv w:val="1"/>
      <w:marLeft w:val="0"/>
      <w:marRight w:val="0"/>
      <w:marTop w:val="0"/>
      <w:marBottom w:val="0"/>
      <w:divBdr>
        <w:top w:val="none" w:sz="0" w:space="0" w:color="auto"/>
        <w:left w:val="none" w:sz="0" w:space="0" w:color="auto"/>
        <w:bottom w:val="none" w:sz="0" w:space="0" w:color="auto"/>
        <w:right w:val="none" w:sz="0" w:space="0" w:color="auto"/>
      </w:divBdr>
    </w:div>
    <w:div w:id="706879180">
      <w:bodyDiv w:val="1"/>
      <w:marLeft w:val="0"/>
      <w:marRight w:val="0"/>
      <w:marTop w:val="0"/>
      <w:marBottom w:val="0"/>
      <w:divBdr>
        <w:top w:val="none" w:sz="0" w:space="0" w:color="auto"/>
        <w:left w:val="none" w:sz="0" w:space="0" w:color="auto"/>
        <w:bottom w:val="none" w:sz="0" w:space="0" w:color="auto"/>
        <w:right w:val="none" w:sz="0" w:space="0" w:color="auto"/>
      </w:divBdr>
    </w:div>
    <w:div w:id="707726983">
      <w:bodyDiv w:val="1"/>
      <w:marLeft w:val="0"/>
      <w:marRight w:val="0"/>
      <w:marTop w:val="0"/>
      <w:marBottom w:val="0"/>
      <w:divBdr>
        <w:top w:val="none" w:sz="0" w:space="0" w:color="auto"/>
        <w:left w:val="none" w:sz="0" w:space="0" w:color="auto"/>
        <w:bottom w:val="none" w:sz="0" w:space="0" w:color="auto"/>
        <w:right w:val="none" w:sz="0" w:space="0" w:color="auto"/>
      </w:divBdr>
    </w:div>
    <w:div w:id="707798992">
      <w:bodyDiv w:val="1"/>
      <w:marLeft w:val="0"/>
      <w:marRight w:val="0"/>
      <w:marTop w:val="0"/>
      <w:marBottom w:val="0"/>
      <w:divBdr>
        <w:top w:val="none" w:sz="0" w:space="0" w:color="auto"/>
        <w:left w:val="none" w:sz="0" w:space="0" w:color="auto"/>
        <w:bottom w:val="none" w:sz="0" w:space="0" w:color="auto"/>
        <w:right w:val="none" w:sz="0" w:space="0" w:color="auto"/>
      </w:divBdr>
    </w:div>
    <w:div w:id="708606509">
      <w:bodyDiv w:val="1"/>
      <w:marLeft w:val="0"/>
      <w:marRight w:val="0"/>
      <w:marTop w:val="0"/>
      <w:marBottom w:val="0"/>
      <w:divBdr>
        <w:top w:val="none" w:sz="0" w:space="0" w:color="auto"/>
        <w:left w:val="none" w:sz="0" w:space="0" w:color="auto"/>
        <w:bottom w:val="none" w:sz="0" w:space="0" w:color="auto"/>
        <w:right w:val="none" w:sz="0" w:space="0" w:color="auto"/>
      </w:divBdr>
    </w:div>
    <w:div w:id="709232401">
      <w:bodyDiv w:val="1"/>
      <w:marLeft w:val="0"/>
      <w:marRight w:val="0"/>
      <w:marTop w:val="0"/>
      <w:marBottom w:val="0"/>
      <w:divBdr>
        <w:top w:val="none" w:sz="0" w:space="0" w:color="auto"/>
        <w:left w:val="none" w:sz="0" w:space="0" w:color="auto"/>
        <w:bottom w:val="none" w:sz="0" w:space="0" w:color="auto"/>
        <w:right w:val="none" w:sz="0" w:space="0" w:color="auto"/>
      </w:divBdr>
    </w:div>
    <w:div w:id="709306104">
      <w:bodyDiv w:val="1"/>
      <w:marLeft w:val="0"/>
      <w:marRight w:val="0"/>
      <w:marTop w:val="0"/>
      <w:marBottom w:val="0"/>
      <w:divBdr>
        <w:top w:val="none" w:sz="0" w:space="0" w:color="auto"/>
        <w:left w:val="none" w:sz="0" w:space="0" w:color="auto"/>
        <w:bottom w:val="none" w:sz="0" w:space="0" w:color="auto"/>
        <w:right w:val="none" w:sz="0" w:space="0" w:color="auto"/>
      </w:divBdr>
    </w:div>
    <w:div w:id="709576532">
      <w:bodyDiv w:val="1"/>
      <w:marLeft w:val="0"/>
      <w:marRight w:val="0"/>
      <w:marTop w:val="0"/>
      <w:marBottom w:val="0"/>
      <w:divBdr>
        <w:top w:val="none" w:sz="0" w:space="0" w:color="auto"/>
        <w:left w:val="none" w:sz="0" w:space="0" w:color="auto"/>
        <w:bottom w:val="none" w:sz="0" w:space="0" w:color="auto"/>
        <w:right w:val="none" w:sz="0" w:space="0" w:color="auto"/>
      </w:divBdr>
    </w:div>
    <w:div w:id="710689983">
      <w:bodyDiv w:val="1"/>
      <w:marLeft w:val="0"/>
      <w:marRight w:val="0"/>
      <w:marTop w:val="0"/>
      <w:marBottom w:val="0"/>
      <w:divBdr>
        <w:top w:val="none" w:sz="0" w:space="0" w:color="auto"/>
        <w:left w:val="none" w:sz="0" w:space="0" w:color="auto"/>
        <w:bottom w:val="none" w:sz="0" w:space="0" w:color="auto"/>
        <w:right w:val="none" w:sz="0" w:space="0" w:color="auto"/>
      </w:divBdr>
    </w:div>
    <w:div w:id="711806374">
      <w:bodyDiv w:val="1"/>
      <w:marLeft w:val="0"/>
      <w:marRight w:val="0"/>
      <w:marTop w:val="0"/>
      <w:marBottom w:val="0"/>
      <w:divBdr>
        <w:top w:val="none" w:sz="0" w:space="0" w:color="auto"/>
        <w:left w:val="none" w:sz="0" w:space="0" w:color="auto"/>
        <w:bottom w:val="none" w:sz="0" w:space="0" w:color="auto"/>
        <w:right w:val="none" w:sz="0" w:space="0" w:color="auto"/>
      </w:divBdr>
    </w:div>
    <w:div w:id="712081150">
      <w:bodyDiv w:val="1"/>
      <w:marLeft w:val="0"/>
      <w:marRight w:val="0"/>
      <w:marTop w:val="0"/>
      <w:marBottom w:val="0"/>
      <w:divBdr>
        <w:top w:val="none" w:sz="0" w:space="0" w:color="auto"/>
        <w:left w:val="none" w:sz="0" w:space="0" w:color="auto"/>
        <w:bottom w:val="none" w:sz="0" w:space="0" w:color="auto"/>
        <w:right w:val="none" w:sz="0" w:space="0" w:color="auto"/>
      </w:divBdr>
    </w:div>
    <w:div w:id="714699835">
      <w:bodyDiv w:val="1"/>
      <w:marLeft w:val="0"/>
      <w:marRight w:val="0"/>
      <w:marTop w:val="0"/>
      <w:marBottom w:val="0"/>
      <w:divBdr>
        <w:top w:val="none" w:sz="0" w:space="0" w:color="auto"/>
        <w:left w:val="none" w:sz="0" w:space="0" w:color="auto"/>
        <w:bottom w:val="none" w:sz="0" w:space="0" w:color="auto"/>
        <w:right w:val="none" w:sz="0" w:space="0" w:color="auto"/>
      </w:divBdr>
    </w:div>
    <w:div w:id="715542060">
      <w:bodyDiv w:val="1"/>
      <w:marLeft w:val="0"/>
      <w:marRight w:val="0"/>
      <w:marTop w:val="0"/>
      <w:marBottom w:val="0"/>
      <w:divBdr>
        <w:top w:val="none" w:sz="0" w:space="0" w:color="auto"/>
        <w:left w:val="none" w:sz="0" w:space="0" w:color="auto"/>
        <w:bottom w:val="none" w:sz="0" w:space="0" w:color="auto"/>
        <w:right w:val="none" w:sz="0" w:space="0" w:color="auto"/>
      </w:divBdr>
    </w:div>
    <w:div w:id="716317648">
      <w:bodyDiv w:val="1"/>
      <w:marLeft w:val="0"/>
      <w:marRight w:val="0"/>
      <w:marTop w:val="0"/>
      <w:marBottom w:val="0"/>
      <w:divBdr>
        <w:top w:val="none" w:sz="0" w:space="0" w:color="auto"/>
        <w:left w:val="none" w:sz="0" w:space="0" w:color="auto"/>
        <w:bottom w:val="none" w:sz="0" w:space="0" w:color="auto"/>
        <w:right w:val="none" w:sz="0" w:space="0" w:color="auto"/>
      </w:divBdr>
    </w:div>
    <w:div w:id="717433236">
      <w:bodyDiv w:val="1"/>
      <w:marLeft w:val="0"/>
      <w:marRight w:val="0"/>
      <w:marTop w:val="0"/>
      <w:marBottom w:val="0"/>
      <w:divBdr>
        <w:top w:val="none" w:sz="0" w:space="0" w:color="auto"/>
        <w:left w:val="none" w:sz="0" w:space="0" w:color="auto"/>
        <w:bottom w:val="none" w:sz="0" w:space="0" w:color="auto"/>
        <w:right w:val="none" w:sz="0" w:space="0" w:color="auto"/>
      </w:divBdr>
    </w:div>
    <w:div w:id="717435638">
      <w:bodyDiv w:val="1"/>
      <w:marLeft w:val="0"/>
      <w:marRight w:val="0"/>
      <w:marTop w:val="0"/>
      <w:marBottom w:val="0"/>
      <w:divBdr>
        <w:top w:val="none" w:sz="0" w:space="0" w:color="auto"/>
        <w:left w:val="none" w:sz="0" w:space="0" w:color="auto"/>
        <w:bottom w:val="none" w:sz="0" w:space="0" w:color="auto"/>
        <w:right w:val="none" w:sz="0" w:space="0" w:color="auto"/>
      </w:divBdr>
    </w:div>
    <w:div w:id="717777967">
      <w:bodyDiv w:val="1"/>
      <w:marLeft w:val="0"/>
      <w:marRight w:val="0"/>
      <w:marTop w:val="0"/>
      <w:marBottom w:val="0"/>
      <w:divBdr>
        <w:top w:val="none" w:sz="0" w:space="0" w:color="auto"/>
        <w:left w:val="none" w:sz="0" w:space="0" w:color="auto"/>
        <w:bottom w:val="none" w:sz="0" w:space="0" w:color="auto"/>
        <w:right w:val="none" w:sz="0" w:space="0" w:color="auto"/>
      </w:divBdr>
    </w:div>
    <w:div w:id="717822485">
      <w:bodyDiv w:val="1"/>
      <w:marLeft w:val="0"/>
      <w:marRight w:val="0"/>
      <w:marTop w:val="0"/>
      <w:marBottom w:val="0"/>
      <w:divBdr>
        <w:top w:val="none" w:sz="0" w:space="0" w:color="auto"/>
        <w:left w:val="none" w:sz="0" w:space="0" w:color="auto"/>
        <w:bottom w:val="none" w:sz="0" w:space="0" w:color="auto"/>
        <w:right w:val="none" w:sz="0" w:space="0" w:color="auto"/>
      </w:divBdr>
    </w:div>
    <w:div w:id="718822081">
      <w:bodyDiv w:val="1"/>
      <w:marLeft w:val="0"/>
      <w:marRight w:val="0"/>
      <w:marTop w:val="0"/>
      <w:marBottom w:val="0"/>
      <w:divBdr>
        <w:top w:val="none" w:sz="0" w:space="0" w:color="auto"/>
        <w:left w:val="none" w:sz="0" w:space="0" w:color="auto"/>
        <w:bottom w:val="none" w:sz="0" w:space="0" w:color="auto"/>
        <w:right w:val="none" w:sz="0" w:space="0" w:color="auto"/>
      </w:divBdr>
    </w:div>
    <w:div w:id="718864822">
      <w:bodyDiv w:val="1"/>
      <w:marLeft w:val="0"/>
      <w:marRight w:val="0"/>
      <w:marTop w:val="0"/>
      <w:marBottom w:val="0"/>
      <w:divBdr>
        <w:top w:val="none" w:sz="0" w:space="0" w:color="auto"/>
        <w:left w:val="none" w:sz="0" w:space="0" w:color="auto"/>
        <w:bottom w:val="none" w:sz="0" w:space="0" w:color="auto"/>
        <w:right w:val="none" w:sz="0" w:space="0" w:color="auto"/>
      </w:divBdr>
    </w:div>
    <w:div w:id="719716767">
      <w:bodyDiv w:val="1"/>
      <w:marLeft w:val="0"/>
      <w:marRight w:val="0"/>
      <w:marTop w:val="0"/>
      <w:marBottom w:val="0"/>
      <w:divBdr>
        <w:top w:val="none" w:sz="0" w:space="0" w:color="auto"/>
        <w:left w:val="none" w:sz="0" w:space="0" w:color="auto"/>
        <w:bottom w:val="none" w:sz="0" w:space="0" w:color="auto"/>
        <w:right w:val="none" w:sz="0" w:space="0" w:color="auto"/>
      </w:divBdr>
    </w:div>
    <w:div w:id="719742386">
      <w:bodyDiv w:val="1"/>
      <w:marLeft w:val="0"/>
      <w:marRight w:val="0"/>
      <w:marTop w:val="0"/>
      <w:marBottom w:val="0"/>
      <w:divBdr>
        <w:top w:val="none" w:sz="0" w:space="0" w:color="auto"/>
        <w:left w:val="none" w:sz="0" w:space="0" w:color="auto"/>
        <w:bottom w:val="none" w:sz="0" w:space="0" w:color="auto"/>
        <w:right w:val="none" w:sz="0" w:space="0" w:color="auto"/>
      </w:divBdr>
    </w:div>
    <w:div w:id="720130146">
      <w:bodyDiv w:val="1"/>
      <w:marLeft w:val="0"/>
      <w:marRight w:val="0"/>
      <w:marTop w:val="0"/>
      <w:marBottom w:val="0"/>
      <w:divBdr>
        <w:top w:val="none" w:sz="0" w:space="0" w:color="auto"/>
        <w:left w:val="none" w:sz="0" w:space="0" w:color="auto"/>
        <w:bottom w:val="none" w:sz="0" w:space="0" w:color="auto"/>
        <w:right w:val="none" w:sz="0" w:space="0" w:color="auto"/>
      </w:divBdr>
    </w:div>
    <w:div w:id="720592037">
      <w:bodyDiv w:val="1"/>
      <w:marLeft w:val="0"/>
      <w:marRight w:val="0"/>
      <w:marTop w:val="0"/>
      <w:marBottom w:val="0"/>
      <w:divBdr>
        <w:top w:val="none" w:sz="0" w:space="0" w:color="auto"/>
        <w:left w:val="none" w:sz="0" w:space="0" w:color="auto"/>
        <w:bottom w:val="none" w:sz="0" w:space="0" w:color="auto"/>
        <w:right w:val="none" w:sz="0" w:space="0" w:color="auto"/>
      </w:divBdr>
    </w:div>
    <w:div w:id="720833342">
      <w:bodyDiv w:val="1"/>
      <w:marLeft w:val="0"/>
      <w:marRight w:val="0"/>
      <w:marTop w:val="0"/>
      <w:marBottom w:val="0"/>
      <w:divBdr>
        <w:top w:val="none" w:sz="0" w:space="0" w:color="auto"/>
        <w:left w:val="none" w:sz="0" w:space="0" w:color="auto"/>
        <w:bottom w:val="none" w:sz="0" w:space="0" w:color="auto"/>
        <w:right w:val="none" w:sz="0" w:space="0" w:color="auto"/>
      </w:divBdr>
    </w:div>
    <w:div w:id="722558063">
      <w:bodyDiv w:val="1"/>
      <w:marLeft w:val="0"/>
      <w:marRight w:val="0"/>
      <w:marTop w:val="0"/>
      <w:marBottom w:val="0"/>
      <w:divBdr>
        <w:top w:val="none" w:sz="0" w:space="0" w:color="auto"/>
        <w:left w:val="none" w:sz="0" w:space="0" w:color="auto"/>
        <w:bottom w:val="none" w:sz="0" w:space="0" w:color="auto"/>
        <w:right w:val="none" w:sz="0" w:space="0" w:color="auto"/>
      </w:divBdr>
    </w:div>
    <w:div w:id="722754293">
      <w:bodyDiv w:val="1"/>
      <w:marLeft w:val="0"/>
      <w:marRight w:val="0"/>
      <w:marTop w:val="0"/>
      <w:marBottom w:val="0"/>
      <w:divBdr>
        <w:top w:val="none" w:sz="0" w:space="0" w:color="auto"/>
        <w:left w:val="none" w:sz="0" w:space="0" w:color="auto"/>
        <w:bottom w:val="none" w:sz="0" w:space="0" w:color="auto"/>
        <w:right w:val="none" w:sz="0" w:space="0" w:color="auto"/>
      </w:divBdr>
    </w:div>
    <w:div w:id="722943485">
      <w:bodyDiv w:val="1"/>
      <w:marLeft w:val="0"/>
      <w:marRight w:val="0"/>
      <w:marTop w:val="0"/>
      <w:marBottom w:val="0"/>
      <w:divBdr>
        <w:top w:val="none" w:sz="0" w:space="0" w:color="auto"/>
        <w:left w:val="none" w:sz="0" w:space="0" w:color="auto"/>
        <w:bottom w:val="none" w:sz="0" w:space="0" w:color="auto"/>
        <w:right w:val="none" w:sz="0" w:space="0" w:color="auto"/>
      </w:divBdr>
    </w:div>
    <w:div w:id="723480214">
      <w:bodyDiv w:val="1"/>
      <w:marLeft w:val="0"/>
      <w:marRight w:val="0"/>
      <w:marTop w:val="0"/>
      <w:marBottom w:val="0"/>
      <w:divBdr>
        <w:top w:val="none" w:sz="0" w:space="0" w:color="auto"/>
        <w:left w:val="none" w:sz="0" w:space="0" w:color="auto"/>
        <w:bottom w:val="none" w:sz="0" w:space="0" w:color="auto"/>
        <w:right w:val="none" w:sz="0" w:space="0" w:color="auto"/>
      </w:divBdr>
    </w:div>
    <w:div w:id="724107518">
      <w:bodyDiv w:val="1"/>
      <w:marLeft w:val="0"/>
      <w:marRight w:val="0"/>
      <w:marTop w:val="0"/>
      <w:marBottom w:val="0"/>
      <w:divBdr>
        <w:top w:val="none" w:sz="0" w:space="0" w:color="auto"/>
        <w:left w:val="none" w:sz="0" w:space="0" w:color="auto"/>
        <w:bottom w:val="none" w:sz="0" w:space="0" w:color="auto"/>
        <w:right w:val="none" w:sz="0" w:space="0" w:color="auto"/>
      </w:divBdr>
    </w:div>
    <w:div w:id="724715867">
      <w:bodyDiv w:val="1"/>
      <w:marLeft w:val="0"/>
      <w:marRight w:val="0"/>
      <w:marTop w:val="0"/>
      <w:marBottom w:val="0"/>
      <w:divBdr>
        <w:top w:val="none" w:sz="0" w:space="0" w:color="auto"/>
        <w:left w:val="none" w:sz="0" w:space="0" w:color="auto"/>
        <w:bottom w:val="none" w:sz="0" w:space="0" w:color="auto"/>
        <w:right w:val="none" w:sz="0" w:space="0" w:color="auto"/>
      </w:divBdr>
    </w:div>
    <w:div w:id="726300869">
      <w:bodyDiv w:val="1"/>
      <w:marLeft w:val="0"/>
      <w:marRight w:val="0"/>
      <w:marTop w:val="0"/>
      <w:marBottom w:val="0"/>
      <w:divBdr>
        <w:top w:val="none" w:sz="0" w:space="0" w:color="auto"/>
        <w:left w:val="none" w:sz="0" w:space="0" w:color="auto"/>
        <w:bottom w:val="none" w:sz="0" w:space="0" w:color="auto"/>
        <w:right w:val="none" w:sz="0" w:space="0" w:color="auto"/>
      </w:divBdr>
    </w:div>
    <w:div w:id="726537539">
      <w:bodyDiv w:val="1"/>
      <w:marLeft w:val="0"/>
      <w:marRight w:val="0"/>
      <w:marTop w:val="0"/>
      <w:marBottom w:val="0"/>
      <w:divBdr>
        <w:top w:val="none" w:sz="0" w:space="0" w:color="auto"/>
        <w:left w:val="none" w:sz="0" w:space="0" w:color="auto"/>
        <w:bottom w:val="none" w:sz="0" w:space="0" w:color="auto"/>
        <w:right w:val="none" w:sz="0" w:space="0" w:color="auto"/>
      </w:divBdr>
    </w:div>
    <w:div w:id="726798585">
      <w:bodyDiv w:val="1"/>
      <w:marLeft w:val="0"/>
      <w:marRight w:val="0"/>
      <w:marTop w:val="0"/>
      <w:marBottom w:val="0"/>
      <w:divBdr>
        <w:top w:val="none" w:sz="0" w:space="0" w:color="auto"/>
        <w:left w:val="none" w:sz="0" w:space="0" w:color="auto"/>
        <w:bottom w:val="none" w:sz="0" w:space="0" w:color="auto"/>
        <w:right w:val="none" w:sz="0" w:space="0" w:color="auto"/>
      </w:divBdr>
    </w:div>
    <w:div w:id="727414648">
      <w:bodyDiv w:val="1"/>
      <w:marLeft w:val="0"/>
      <w:marRight w:val="0"/>
      <w:marTop w:val="0"/>
      <w:marBottom w:val="0"/>
      <w:divBdr>
        <w:top w:val="none" w:sz="0" w:space="0" w:color="auto"/>
        <w:left w:val="none" w:sz="0" w:space="0" w:color="auto"/>
        <w:bottom w:val="none" w:sz="0" w:space="0" w:color="auto"/>
        <w:right w:val="none" w:sz="0" w:space="0" w:color="auto"/>
      </w:divBdr>
    </w:div>
    <w:div w:id="727802276">
      <w:bodyDiv w:val="1"/>
      <w:marLeft w:val="0"/>
      <w:marRight w:val="0"/>
      <w:marTop w:val="0"/>
      <w:marBottom w:val="0"/>
      <w:divBdr>
        <w:top w:val="none" w:sz="0" w:space="0" w:color="auto"/>
        <w:left w:val="none" w:sz="0" w:space="0" w:color="auto"/>
        <w:bottom w:val="none" w:sz="0" w:space="0" w:color="auto"/>
        <w:right w:val="none" w:sz="0" w:space="0" w:color="auto"/>
      </w:divBdr>
    </w:div>
    <w:div w:id="727917640">
      <w:bodyDiv w:val="1"/>
      <w:marLeft w:val="0"/>
      <w:marRight w:val="0"/>
      <w:marTop w:val="0"/>
      <w:marBottom w:val="0"/>
      <w:divBdr>
        <w:top w:val="none" w:sz="0" w:space="0" w:color="auto"/>
        <w:left w:val="none" w:sz="0" w:space="0" w:color="auto"/>
        <w:bottom w:val="none" w:sz="0" w:space="0" w:color="auto"/>
        <w:right w:val="none" w:sz="0" w:space="0" w:color="auto"/>
      </w:divBdr>
    </w:div>
    <w:div w:id="730006648">
      <w:bodyDiv w:val="1"/>
      <w:marLeft w:val="0"/>
      <w:marRight w:val="0"/>
      <w:marTop w:val="0"/>
      <w:marBottom w:val="0"/>
      <w:divBdr>
        <w:top w:val="none" w:sz="0" w:space="0" w:color="auto"/>
        <w:left w:val="none" w:sz="0" w:space="0" w:color="auto"/>
        <w:bottom w:val="none" w:sz="0" w:space="0" w:color="auto"/>
        <w:right w:val="none" w:sz="0" w:space="0" w:color="auto"/>
      </w:divBdr>
    </w:div>
    <w:div w:id="731847741">
      <w:bodyDiv w:val="1"/>
      <w:marLeft w:val="0"/>
      <w:marRight w:val="0"/>
      <w:marTop w:val="0"/>
      <w:marBottom w:val="0"/>
      <w:divBdr>
        <w:top w:val="none" w:sz="0" w:space="0" w:color="auto"/>
        <w:left w:val="none" w:sz="0" w:space="0" w:color="auto"/>
        <w:bottom w:val="none" w:sz="0" w:space="0" w:color="auto"/>
        <w:right w:val="none" w:sz="0" w:space="0" w:color="auto"/>
      </w:divBdr>
    </w:div>
    <w:div w:id="732123114">
      <w:bodyDiv w:val="1"/>
      <w:marLeft w:val="0"/>
      <w:marRight w:val="0"/>
      <w:marTop w:val="0"/>
      <w:marBottom w:val="0"/>
      <w:divBdr>
        <w:top w:val="none" w:sz="0" w:space="0" w:color="auto"/>
        <w:left w:val="none" w:sz="0" w:space="0" w:color="auto"/>
        <w:bottom w:val="none" w:sz="0" w:space="0" w:color="auto"/>
        <w:right w:val="none" w:sz="0" w:space="0" w:color="auto"/>
      </w:divBdr>
    </w:div>
    <w:div w:id="737824776">
      <w:bodyDiv w:val="1"/>
      <w:marLeft w:val="0"/>
      <w:marRight w:val="0"/>
      <w:marTop w:val="0"/>
      <w:marBottom w:val="0"/>
      <w:divBdr>
        <w:top w:val="none" w:sz="0" w:space="0" w:color="auto"/>
        <w:left w:val="none" w:sz="0" w:space="0" w:color="auto"/>
        <w:bottom w:val="none" w:sz="0" w:space="0" w:color="auto"/>
        <w:right w:val="none" w:sz="0" w:space="0" w:color="auto"/>
      </w:divBdr>
    </w:div>
    <w:div w:id="738287437">
      <w:bodyDiv w:val="1"/>
      <w:marLeft w:val="0"/>
      <w:marRight w:val="0"/>
      <w:marTop w:val="0"/>
      <w:marBottom w:val="0"/>
      <w:divBdr>
        <w:top w:val="none" w:sz="0" w:space="0" w:color="auto"/>
        <w:left w:val="none" w:sz="0" w:space="0" w:color="auto"/>
        <w:bottom w:val="none" w:sz="0" w:space="0" w:color="auto"/>
        <w:right w:val="none" w:sz="0" w:space="0" w:color="auto"/>
      </w:divBdr>
    </w:div>
    <w:div w:id="738359870">
      <w:bodyDiv w:val="1"/>
      <w:marLeft w:val="0"/>
      <w:marRight w:val="0"/>
      <w:marTop w:val="0"/>
      <w:marBottom w:val="0"/>
      <w:divBdr>
        <w:top w:val="none" w:sz="0" w:space="0" w:color="auto"/>
        <w:left w:val="none" w:sz="0" w:space="0" w:color="auto"/>
        <w:bottom w:val="none" w:sz="0" w:space="0" w:color="auto"/>
        <w:right w:val="none" w:sz="0" w:space="0" w:color="auto"/>
      </w:divBdr>
    </w:div>
    <w:div w:id="739060694">
      <w:bodyDiv w:val="1"/>
      <w:marLeft w:val="0"/>
      <w:marRight w:val="0"/>
      <w:marTop w:val="0"/>
      <w:marBottom w:val="0"/>
      <w:divBdr>
        <w:top w:val="none" w:sz="0" w:space="0" w:color="auto"/>
        <w:left w:val="none" w:sz="0" w:space="0" w:color="auto"/>
        <w:bottom w:val="none" w:sz="0" w:space="0" w:color="auto"/>
        <w:right w:val="none" w:sz="0" w:space="0" w:color="auto"/>
      </w:divBdr>
    </w:div>
    <w:div w:id="739063143">
      <w:bodyDiv w:val="1"/>
      <w:marLeft w:val="0"/>
      <w:marRight w:val="0"/>
      <w:marTop w:val="0"/>
      <w:marBottom w:val="0"/>
      <w:divBdr>
        <w:top w:val="none" w:sz="0" w:space="0" w:color="auto"/>
        <w:left w:val="none" w:sz="0" w:space="0" w:color="auto"/>
        <w:bottom w:val="none" w:sz="0" w:space="0" w:color="auto"/>
        <w:right w:val="none" w:sz="0" w:space="0" w:color="auto"/>
      </w:divBdr>
    </w:div>
    <w:div w:id="740638306">
      <w:bodyDiv w:val="1"/>
      <w:marLeft w:val="0"/>
      <w:marRight w:val="0"/>
      <w:marTop w:val="0"/>
      <w:marBottom w:val="0"/>
      <w:divBdr>
        <w:top w:val="none" w:sz="0" w:space="0" w:color="auto"/>
        <w:left w:val="none" w:sz="0" w:space="0" w:color="auto"/>
        <w:bottom w:val="none" w:sz="0" w:space="0" w:color="auto"/>
        <w:right w:val="none" w:sz="0" w:space="0" w:color="auto"/>
      </w:divBdr>
    </w:div>
    <w:div w:id="740905735">
      <w:bodyDiv w:val="1"/>
      <w:marLeft w:val="0"/>
      <w:marRight w:val="0"/>
      <w:marTop w:val="0"/>
      <w:marBottom w:val="0"/>
      <w:divBdr>
        <w:top w:val="none" w:sz="0" w:space="0" w:color="auto"/>
        <w:left w:val="none" w:sz="0" w:space="0" w:color="auto"/>
        <w:bottom w:val="none" w:sz="0" w:space="0" w:color="auto"/>
        <w:right w:val="none" w:sz="0" w:space="0" w:color="auto"/>
      </w:divBdr>
    </w:div>
    <w:div w:id="741609091">
      <w:bodyDiv w:val="1"/>
      <w:marLeft w:val="0"/>
      <w:marRight w:val="0"/>
      <w:marTop w:val="0"/>
      <w:marBottom w:val="0"/>
      <w:divBdr>
        <w:top w:val="none" w:sz="0" w:space="0" w:color="auto"/>
        <w:left w:val="none" w:sz="0" w:space="0" w:color="auto"/>
        <w:bottom w:val="none" w:sz="0" w:space="0" w:color="auto"/>
        <w:right w:val="none" w:sz="0" w:space="0" w:color="auto"/>
      </w:divBdr>
    </w:div>
    <w:div w:id="743378617">
      <w:bodyDiv w:val="1"/>
      <w:marLeft w:val="0"/>
      <w:marRight w:val="0"/>
      <w:marTop w:val="0"/>
      <w:marBottom w:val="0"/>
      <w:divBdr>
        <w:top w:val="none" w:sz="0" w:space="0" w:color="auto"/>
        <w:left w:val="none" w:sz="0" w:space="0" w:color="auto"/>
        <w:bottom w:val="none" w:sz="0" w:space="0" w:color="auto"/>
        <w:right w:val="none" w:sz="0" w:space="0" w:color="auto"/>
      </w:divBdr>
    </w:div>
    <w:div w:id="743836089">
      <w:bodyDiv w:val="1"/>
      <w:marLeft w:val="0"/>
      <w:marRight w:val="0"/>
      <w:marTop w:val="0"/>
      <w:marBottom w:val="0"/>
      <w:divBdr>
        <w:top w:val="none" w:sz="0" w:space="0" w:color="auto"/>
        <w:left w:val="none" w:sz="0" w:space="0" w:color="auto"/>
        <w:bottom w:val="none" w:sz="0" w:space="0" w:color="auto"/>
        <w:right w:val="none" w:sz="0" w:space="0" w:color="auto"/>
      </w:divBdr>
    </w:div>
    <w:div w:id="744844374">
      <w:bodyDiv w:val="1"/>
      <w:marLeft w:val="0"/>
      <w:marRight w:val="0"/>
      <w:marTop w:val="0"/>
      <w:marBottom w:val="0"/>
      <w:divBdr>
        <w:top w:val="none" w:sz="0" w:space="0" w:color="auto"/>
        <w:left w:val="none" w:sz="0" w:space="0" w:color="auto"/>
        <w:bottom w:val="none" w:sz="0" w:space="0" w:color="auto"/>
        <w:right w:val="none" w:sz="0" w:space="0" w:color="auto"/>
      </w:divBdr>
    </w:div>
    <w:div w:id="745734887">
      <w:bodyDiv w:val="1"/>
      <w:marLeft w:val="0"/>
      <w:marRight w:val="0"/>
      <w:marTop w:val="0"/>
      <w:marBottom w:val="0"/>
      <w:divBdr>
        <w:top w:val="none" w:sz="0" w:space="0" w:color="auto"/>
        <w:left w:val="none" w:sz="0" w:space="0" w:color="auto"/>
        <w:bottom w:val="none" w:sz="0" w:space="0" w:color="auto"/>
        <w:right w:val="none" w:sz="0" w:space="0" w:color="auto"/>
      </w:divBdr>
    </w:div>
    <w:div w:id="746001091">
      <w:bodyDiv w:val="1"/>
      <w:marLeft w:val="0"/>
      <w:marRight w:val="0"/>
      <w:marTop w:val="0"/>
      <w:marBottom w:val="0"/>
      <w:divBdr>
        <w:top w:val="none" w:sz="0" w:space="0" w:color="auto"/>
        <w:left w:val="none" w:sz="0" w:space="0" w:color="auto"/>
        <w:bottom w:val="none" w:sz="0" w:space="0" w:color="auto"/>
        <w:right w:val="none" w:sz="0" w:space="0" w:color="auto"/>
      </w:divBdr>
    </w:div>
    <w:div w:id="746272009">
      <w:bodyDiv w:val="1"/>
      <w:marLeft w:val="0"/>
      <w:marRight w:val="0"/>
      <w:marTop w:val="0"/>
      <w:marBottom w:val="0"/>
      <w:divBdr>
        <w:top w:val="none" w:sz="0" w:space="0" w:color="auto"/>
        <w:left w:val="none" w:sz="0" w:space="0" w:color="auto"/>
        <w:bottom w:val="none" w:sz="0" w:space="0" w:color="auto"/>
        <w:right w:val="none" w:sz="0" w:space="0" w:color="auto"/>
      </w:divBdr>
    </w:div>
    <w:div w:id="747309994">
      <w:bodyDiv w:val="1"/>
      <w:marLeft w:val="0"/>
      <w:marRight w:val="0"/>
      <w:marTop w:val="0"/>
      <w:marBottom w:val="0"/>
      <w:divBdr>
        <w:top w:val="none" w:sz="0" w:space="0" w:color="auto"/>
        <w:left w:val="none" w:sz="0" w:space="0" w:color="auto"/>
        <w:bottom w:val="none" w:sz="0" w:space="0" w:color="auto"/>
        <w:right w:val="none" w:sz="0" w:space="0" w:color="auto"/>
      </w:divBdr>
    </w:div>
    <w:div w:id="747582381">
      <w:bodyDiv w:val="1"/>
      <w:marLeft w:val="0"/>
      <w:marRight w:val="0"/>
      <w:marTop w:val="0"/>
      <w:marBottom w:val="0"/>
      <w:divBdr>
        <w:top w:val="none" w:sz="0" w:space="0" w:color="auto"/>
        <w:left w:val="none" w:sz="0" w:space="0" w:color="auto"/>
        <w:bottom w:val="none" w:sz="0" w:space="0" w:color="auto"/>
        <w:right w:val="none" w:sz="0" w:space="0" w:color="auto"/>
      </w:divBdr>
    </w:div>
    <w:div w:id="748308169">
      <w:bodyDiv w:val="1"/>
      <w:marLeft w:val="0"/>
      <w:marRight w:val="0"/>
      <w:marTop w:val="0"/>
      <w:marBottom w:val="0"/>
      <w:divBdr>
        <w:top w:val="none" w:sz="0" w:space="0" w:color="auto"/>
        <w:left w:val="none" w:sz="0" w:space="0" w:color="auto"/>
        <w:bottom w:val="none" w:sz="0" w:space="0" w:color="auto"/>
        <w:right w:val="none" w:sz="0" w:space="0" w:color="auto"/>
      </w:divBdr>
    </w:div>
    <w:div w:id="749423709">
      <w:bodyDiv w:val="1"/>
      <w:marLeft w:val="0"/>
      <w:marRight w:val="0"/>
      <w:marTop w:val="0"/>
      <w:marBottom w:val="0"/>
      <w:divBdr>
        <w:top w:val="none" w:sz="0" w:space="0" w:color="auto"/>
        <w:left w:val="none" w:sz="0" w:space="0" w:color="auto"/>
        <w:bottom w:val="none" w:sz="0" w:space="0" w:color="auto"/>
        <w:right w:val="none" w:sz="0" w:space="0" w:color="auto"/>
      </w:divBdr>
    </w:div>
    <w:div w:id="749618233">
      <w:bodyDiv w:val="1"/>
      <w:marLeft w:val="0"/>
      <w:marRight w:val="0"/>
      <w:marTop w:val="0"/>
      <w:marBottom w:val="0"/>
      <w:divBdr>
        <w:top w:val="none" w:sz="0" w:space="0" w:color="auto"/>
        <w:left w:val="none" w:sz="0" w:space="0" w:color="auto"/>
        <w:bottom w:val="none" w:sz="0" w:space="0" w:color="auto"/>
        <w:right w:val="none" w:sz="0" w:space="0" w:color="auto"/>
      </w:divBdr>
    </w:div>
    <w:div w:id="749695199">
      <w:bodyDiv w:val="1"/>
      <w:marLeft w:val="0"/>
      <w:marRight w:val="0"/>
      <w:marTop w:val="0"/>
      <w:marBottom w:val="0"/>
      <w:divBdr>
        <w:top w:val="none" w:sz="0" w:space="0" w:color="auto"/>
        <w:left w:val="none" w:sz="0" w:space="0" w:color="auto"/>
        <w:bottom w:val="none" w:sz="0" w:space="0" w:color="auto"/>
        <w:right w:val="none" w:sz="0" w:space="0" w:color="auto"/>
      </w:divBdr>
    </w:div>
    <w:div w:id="750662846">
      <w:bodyDiv w:val="1"/>
      <w:marLeft w:val="0"/>
      <w:marRight w:val="0"/>
      <w:marTop w:val="0"/>
      <w:marBottom w:val="0"/>
      <w:divBdr>
        <w:top w:val="none" w:sz="0" w:space="0" w:color="auto"/>
        <w:left w:val="none" w:sz="0" w:space="0" w:color="auto"/>
        <w:bottom w:val="none" w:sz="0" w:space="0" w:color="auto"/>
        <w:right w:val="none" w:sz="0" w:space="0" w:color="auto"/>
      </w:divBdr>
    </w:div>
    <w:div w:id="751006132">
      <w:bodyDiv w:val="1"/>
      <w:marLeft w:val="0"/>
      <w:marRight w:val="0"/>
      <w:marTop w:val="0"/>
      <w:marBottom w:val="0"/>
      <w:divBdr>
        <w:top w:val="none" w:sz="0" w:space="0" w:color="auto"/>
        <w:left w:val="none" w:sz="0" w:space="0" w:color="auto"/>
        <w:bottom w:val="none" w:sz="0" w:space="0" w:color="auto"/>
        <w:right w:val="none" w:sz="0" w:space="0" w:color="auto"/>
      </w:divBdr>
    </w:div>
    <w:div w:id="751245016">
      <w:bodyDiv w:val="1"/>
      <w:marLeft w:val="0"/>
      <w:marRight w:val="0"/>
      <w:marTop w:val="0"/>
      <w:marBottom w:val="0"/>
      <w:divBdr>
        <w:top w:val="none" w:sz="0" w:space="0" w:color="auto"/>
        <w:left w:val="none" w:sz="0" w:space="0" w:color="auto"/>
        <w:bottom w:val="none" w:sz="0" w:space="0" w:color="auto"/>
        <w:right w:val="none" w:sz="0" w:space="0" w:color="auto"/>
      </w:divBdr>
    </w:div>
    <w:div w:id="751588436">
      <w:bodyDiv w:val="1"/>
      <w:marLeft w:val="0"/>
      <w:marRight w:val="0"/>
      <w:marTop w:val="0"/>
      <w:marBottom w:val="0"/>
      <w:divBdr>
        <w:top w:val="none" w:sz="0" w:space="0" w:color="auto"/>
        <w:left w:val="none" w:sz="0" w:space="0" w:color="auto"/>
        <w:bottom w:val="none" w:sz="0" w:space="0" w:color="auto"/>
        <w:right w:val="none" w:sz="0" w:space="0" w:color="auto"/>
      </w:divBdr>
    </w:div>
    <w:div w:id="753017604">
      <w:bodyDiv w:val="1"/>
      <w:marLeft w:val="0"/>
      <w:marRight w:val="0"/>
      <w:marTop w:val="0"/>
      <w:marBottom w:val="0"/>
      <w:divBdr>
        <w:top w:val="none" w:sz="0" w:space="0" w:color="auto"/>
        <w:left w:val="none" w:sz="0" w:space="0" w:color="auto"/>
        <w:bottom w:val="none" w:sz="0" w:space="0" w:color="auto"/>
        <w:right w:val="none" w:sz="0" w:space="0" w:color="auto"/>
      </w:divBdr>
    </w:div>
    <w:div w:id="753665581">
      <w:bodyDiv w:val="1"/>
      <w:marLeft w:val="0"/>
      <w:marRight w:val="0"/>
      <w:marTop w:val="0"/>
      <w:marBottom w:val="0"/>
      <w:divBdr>
        <w:top w:val="none" w:sz="0" w:space="0" w:color="auto"/>
        <w:left w:val="none" w:sz="0" w:space="0" w:color="auto"/>
        <w:bottom w:val="none" w:sz="0" w:space="0" w:color="auto"/>
        <w:right w:val="none" w:sz="0" w:space="0" w:color="auto"/>
      </w:divBdr>
    </w:div>
    <w:div w:id="754016162">
      <w:bodyDiv w:val="1"/>
      <w:marLeft w:val="0"/>
      <w:marRight w:val="0"/>
      <w:marTop w:val="0"/>
      <w:marBottom w:val="0"/>
      <w:divBdr>
        <w:top w:val="none" w:sz="0" w:space="0" w:color="auto"/>
        <w:left w:val="none" w:sz="0" w:space="0" w:color="auto"/>
        <w:bottom w:val="none" w:sz="0" w:space="0" w:color="auto"/>
        <w:right w:val="none" w:sz="0" w:space="0" w:color="auto"/>
      </w:divBdr>
    </w:div>
    <w:div w:id="754670505">
      <w:bodyDiv w:val="1"/>
      <w:marLeft w:val="0"/>
      <w:marRight w:val="0"/>
      <w:marTop w:val="0"/>
      <w:marBottom w:val="0"/>
      <w:divBdr>
        <w:top w:val="none" w:sz="0" w:space="0" w:color="auto"/>
        <w:left w:val="none" w:sz="0" w:space="0" w:color="auto"/>
        <w:bottom w:val="none" w:sz="0" w:space="0" w:color="auto"/>
        <w:right w:val="none" w:sz="0" w:space="0" w:color="auto"/>
      </w:divBdr>
    </w:div>
    <w:div w:id="755638543">
      <w:bodyDiv w:val="1"/>
      <w:marLeft w:val="0"/>
      <w:marRight w:val="0"/>
      <w:marTop w:val="0"/>
      <w:marBottom w:val="0"/>
      <w:divBdr>
        <w:top w:val="none" w:sz="0" w:space="0" w:color="auto"/>
        <w:left w:val="none" w:sz="0" w:space="0" w:color="auto"/>
        <w:bottom w:val="none" w:sz="0" w:space="0" w:color="auto"/>
        <w:right w:val="none" w:sz="0" w:space="0" w:color="auto"/>
      </w:divBdr>
    </w:div>
    <w:div w:id="755857661">
      <w:bodyDiv w:val="1"/>
      <w:marLeft w:val="0"/>
      <w:marRight w:val="0"/>
      <w:marTop w:val="0"/>
      <w:marBottom w:val="0"/>
      <w:divBdr>
        <w:top w:val="none" w:sz="0" w:space="0" w:color="auto"/>
        <w:left w:val="none" w:sz="0" w:space="0" w:color="auto"/>
        <w:bottom w:val="none" w:sz="0" w:space="0" w:color="auto"/>
        <w:right w:val="none" w:sz="0" w:space="0" w:color="auto"/>
      </w:divBdr>
    </w:div>
    <w:div w:id="756483134">
      <w:bodyDiv w:val="1"/>
      <w:marLeft w:val="0"/>
      <w:marRight w:val="0"/>
      <w:marTop w:val="0"/>
      <w:marBottom w:val="0"/>
      <w:divBdr>
        <w:top w:val="none" w:sz="0" w:space="0" w:color="auto"/>
        <w:left w:val="none" w:sz="0" w:space="0" w:color="auto"/>
        <w:bottom w:val="none" w:sz="0" w:space="0" w:color="auto"/>
        <w:right w:val="none" w:sz="0" w:space="0" w:color="auto"/>
      </w:divBdr>
    </w:div>
    <w:div w:id="757336993">
      <w:bodyDiv w:val="1"/>
      <w:marLeft w:val="0"/>
      <w:marRight w:val="0"/>
      <w:marTop w:val="0"/>
      <w:marBottom w:val="0"/>
      <w:divBdr>
        <w:top w:val="none" w:sz="0" w:space="0" w:color="auto"/>
        <w:left w:val="none" w:sz="0" w:space="0" w:color="auto"/>
        <w:bottom w:val="none" w:sz="0" w:space="0" w:color="auto"/>
        <w:right w:val="none" w:sz="0" w:space="0" w:color="auto"/>
      </w:divBdr>
    </w:div>
    <w:div w:id="758718824">
      <w:bodyDiv w:val="1"/>
      <w:marLeft w:val="0"/>
      <w:marRight w:val="0"/>
      <w:marTop w:val="0"/>
      <w:marBottom w:val="0"/>
      <w:divBdr>
        <w:top w:val="none" w:sz="0" w:space="0" w:color="auto"/>
        <w:left w:val="none" w:sz="0" w:space="0" w:color="auto"/>
        <w:bottom w:val="none" w:sz="0" w:space="0" w:color="auto"/>
        <w:right w:val="none" w:sz="0" w:space="0" w:color="auto"/>
      </w:divBdr>
    </w:div>
    <w:div w:id="758911508">
      <w:bodyDiv w:val="1"/>
      <w:marLeft w:val="0"/>
      <w:marRight w:val="0"/>
      <w:marTop w:val="0"/>
      <w:marBottom w:val="0"/>
      <w:divBdr>
        <w:top w:val="none" w:sz="0" w:space="0" w:color="auto"/>
        <w:left w:val="none" w:sz="0" w:space="0" w:color="auto"/>
        <w:bottom w:val="none" w:sz="0" w:space="0" w:color="auto"/>
        <w:right w:val="none" w:sz="0" w:space="0" w:color="auto"/>
      </w:divBdr>
    </w:div>
    <w:div w:id="759175538">
      <w:bodyDiv w:val="1"/>
      <w:marLeft w:val="0"/>
      <w:marRight w:val="0"/>
      <w:marTop w:val="0"/>
      <w:marBottom w:val="0"/>
      <w:divBdr>
        <w:top w:val="none" w:sz="0" w:space="0" w:color="auto"/>
        <w:left w:val="none" w:sz="0" w:space="0" w:color="auto"/>
        <w:bottom w:val="none" w:sz="0" w:space="0" w:color="auto"/>
        <w:right w:val="none" w:sz="0" w:space="0" w:color="auto"/>
      </w:divBdr>
    </w:div>
    <w:div w:id="759259242">
      <w:bodyDiv w:val="1"/>
      <w:marLeft w:val="0"/>
      <w:marRight w:val="0"/>
      <w:marTop w:val="0"/>
      <w:marBottom w:val="0"/>
      <w:divBdr>
        <w:top w:val="none" w:sz="0" w:space="0" w:color="auto"/>
        <w:left w:val="none" w:sz="0" w:space="0" w:color="auto"/>
        <w:bottom w:val="none" w:sz="0" w:space="0" w:color="auto"/>
        <w:right w:val="none" w:sz="0" w:space="0" w:color="auto"/>
      </w:divBdr>
    </w:div>
    <w:div w:id="760417274">
      <w:bodyDiv w:val="1"/>
      <w:marLeft w:val="0"/>
      <w:marRight w:val="0"/>
      <w:marTop w:val="0"/>
      <w:marBottom w:val="0"/>
      <w:divBdr>
        <w:top w:val="none" w:sz="0" w:space="0" w:color="auto"/>
        <w:left w:val="none" w:sz="0" w:space="0" w:color="auto"/>
        <w:bottom w:val="none" w:sz="0" w:space="0" w:color="auto"/>
        <w:right w:val="none" w:sz="0" w:space="0" w:color="auto"/>
      </w:divBdr>
    </w:div>
    <w:div w:id="764880278">
      <w:bodyDiv w:val="1"/>
      <w:marLeft w:val="0"/>
      <w:marRight w:val="0"/>
      <w:marTop w:val="0"/>
      <w:marBottom w:val="0"/>
      <w:divBdr>
        <w:top w:val="none" w:sz="0" w:space="0" w:color="auto"/>
        <w:left w:val="none" w:sz="0" w:space="0" w:color="auto"/>
        <w:bottom w:val="none" w:sz="0" w:space="0" w:color="auto"/>
        <w:right w:val="none" w:sz="0" w:space="0" w:color="auto"/>
      </w:divBdr>
    </w:div>
    <w:div w:id="765266227">
      <w:bodyDiv w:val="1"/>
      <w:marLeft w:val="0"/>
      <w:marRight w:val="0"/>
      <w:marTop w:val="0"/>
      <w:marBottom w:val="0"/>
      <w:divBdr>
        <w:top w:val="none" w:sz="0" w:space="0" w:color="auto"/>
        <w:left w:val="none" w:sz="0" w:space="0" w:color="auto"/>
        <w:bottom w:val="none" w:sz="0" w:space="0" w:color="auto"/>
        <w:right w:val="none" w:sz="0" w:space="0" w:color="auto"/>
      </w:divBdr>
    </w:div>
    <w:div w:id="766778946">
      <w:bodyDiv w:val="1"/>
      <w:marLeft w:val="0"/>
      <w:marRight w:val="0"/>
      <w:marTop w:val="0"/>
      <w:marBottom w:val="0"/>
      <w:divBdr>
        <w:top w:val="none" w:sz="0" w:space="0" w:color="auto"/>
        <w:left w:val="none" w:sz="0" w:space="0" w:color="auto"/>
        <w:bottom w:val="none" w:sz="0" w:space="0" w:color="auto"/>
        <w:right w:val="none" w:sz="0" w:space="0" w:color="auto"/>
      </w:divBdr>
    </w:div>
    <w:div w:id="767234560">
      <w:bodyDiv w:val="1"/>
      <w:marLeft w:val="0"/>
      <w:marRight w:val="0"/>
      <w:marTop w:val="0"/>
      <w:marBottom w:val="0"/>
      <w:divBdr>
        <w:top w:val="none" w:sz="0" w:space="0" w:color="auto"/>
        <w:left w:val="none" w:sz="0" w:space="0" w:color="auto"/>
        <w:bottom w:val="none" w:sz="0" w:space="0" w:color="auto"/>
        <w:right w:val="none" w:sz="0" w:space="0" w:color="auto"/>
      </w:divBdr>
    </w:div>
    <w:div w:id="767504457">
      <w:bodyDiv w:val="1"/>
      <w:marLeft w:val="0"/>
      <w:marRight w:val="0"/>
      <w:marTop w:val="0"/>
      <w:marBottom w:val="0"/>
      <w:divBdr>
        <w:top w:val="none" w:sz="0" w:space="0" w:color="auto"/>
        <w:left w:val="none" w:sz="0" w:space="0" w:color="auto"/>
        <w:bottom w:val="none" w:sz="0" w:space="0" w:color="auto"/>
        <w:right w:val="none" w:sz="0" w:space="0" w:color="auto"/>
      </w:divBdr>
    </w:div>
    <w:div w:id="768547961">
      <w:bodyDiv w:val="1"/>
      <w:marLeft w:val="0"/>
      <w:marRight w:val="0"/>
      <w:marTop w:val="0"/>
      <w:marBottom w:val="0"/>
      <w:divBdr>
        <w:top w:val="none" w:sz="0" w:space="0" w:color="auto"/>
        <w:left w:val="none" w:sz="0" w:space="0" w:color="auto"/>
        <w:bottom w:val="none" w:sz="0" w:space="0" w:color="auto"/>
        <w:right w:val="none" w:sz="0" w:space="0" w:color="auto"/>
      </w:divBdr>
    </w:div>
    <w:div w:id="769357460">
      <w:bodyDiv w:val="1"/>
      <w:marLeft w:val="0"/>
      <w:marRight w:val="0"/>
      <w:marTop w:val="0"/>
      <w:marBottom w:val="0"/>
      <w:divBdr>
        <w:top w:val="none" w:sz="0" w:space="0" w:color="auto"/>
        <w:left w:val="none" w:sz="0" w:space="0" w:color="auto"/>
        <w:bottom w:val="none" w:sz="0" w:space="0" w:color="auto"/>
        <w:right w:val="none" w:sz="0" w:space="0" w:color="auto"/>
      </w:divBdr>
    </w:div>
    <w:div w:id="769929086">
      <w:bodyDiv w:val="1"/>
      <w:marLeft w:val="0"/>
      <w:marRight w:val="0"/>
      <w:marTop w:val="0"/>
      <w:marBottom w:val="0"/>
      <w:divBdr>
        <w:top w:val="none" w:sz="0" w:space="0" w:color="auto"/>
        <w:left w:val="none" w:sz="0" w:space="0" w:color="auto"/>
        <w:bottom w:val="none" w:sz="0" w:space="0" w:color="auto"/>
        <w:right w:val="none" w:sz="0" w:space="0" w:color="auto"/>
      </w:divBdr>
    </w:div>
    <w:div w:id="770396536">
      <w:bodyDiv w:val="1"/>
      <w:marLeft w:val="0"/>
      <w:marRight w:val="0"/>
      <w:marTop w:val="0"/>
      <w:marBottom w:val="0"/>
      <w:divBdr>
        <w:top w:val="none" w:sz="0" w:space="0" w:color="auto"/>
        <w:left w:val="none" w:sz="0" w:space="0" w:color="auto"/>
        <w:bottom w:val="none" w:sz="0" w:space="0" w:color="auto"/>
        <w:right w:val="none" w:sz="0" w:space="0" w:color="auto"/>
      </w:divBdr>
    </w:div>
    <w:div w:id="772474415">
      <w:bodyDiv w:val="1"/>
      <w:marLeft w:val="0"/>
      <w:marRight w:val="0"/>
      <w:marTop w:val="0"/>
      <w:marBottom w:val="0"/>
      <w:divBdr>
        <w:top w:val="none" w:sz="0" w:space="0" w:color="auto"/>
        <w:left w:val="none" w:sz="0" w:space="0" w:color="auto"/>
        <w:bottom w:val="none" w:sz="0" w:space="0" w:color="auto"/>
        <w:right w:val="none" w:sz="0" w:space="0" w:color="auto"/>
      </w:divBdr>
    </w:div>
    <w:div w:id="773522532">
      <w:bodyDiv w:val="1"/>
      <w:marLeft w:val="0"/>
      <w:marRight w:val="0"/>
      <w:marTop w:val="0"/>
      <w:marBottom w:val="0"/>
      <w:divBdr>
        <w:top w:val="none" w:sz="0" w:space="0" w:color="auto"/>
        <w:left w:val="none" w:sz="0" w:space="0" w:color="auto"/>
        <w:bottom w:val="none" w:sz="0" w:space="0" w:color="auto"/>
        <w:right w:val="none" w:sz="0" w:space="0" w:color="auto"/>
      </w:divBdr>
    </w:div>
    <w:div w:id="773718323">
      <w:bodyDiv w:val="1"/>
      <w:marLeft w:val="0"/>
      <w:marRight w:val="0"/>
      <w:marTop w:val="0"/>
      <w:marBottom w:val="0"/>
      <w:divBdr>
        <w:top w:val="none" w:sz="0" w:space="0" w:color="auto"/>
        <w:left w:val="none" w:sz="0" w:space="0" w:color="auto"/>
        <w:bottom w:val="none" w:sz="0" w:space="0" w:color="auto"/>
        <w:right w:val="none" w:sz="0" w:space="0" w:color="auto"/>
      </w:divBdr>
    </w:div>
    <w:div w:id="773792220">
      <w:bodyDiv w:val="1"/>
      <w:marLeft w:val="0"/>
      <w:marRight w:val="0"/>
      <w:marTop w:val="0"/>
      <w:marBottom w:val="0"/>
      <w:divBdr>
        <w:top w:val="none" w:sz="0" w:space="0" w:color="auto"/>
        <w:left w:val="none" w:sz="0" w:space="0" w:color="auto"/>
        <w:bottom w:val="none" w:sz="0" w:space="0" w:color="auto"/>
        <w:right w:val="none" w:sz="0" w:space="0" w:color="auto"/>
      </w:divBdr>
    </w:div>
    <w:div w:id="774642506">
      <w:bodyDiv w:val="1"/>
      <w:marLeft w:val="0"/>
      <w:marRight w:val="0"/>
      <w:marTop w:val="0"/>
      <w:marBottom w:val="0"/>
      <w:divBdr>
        <w:top w:val="none" w:sz="0" w:space="0" w:color="auto"/>
        <w:left w:val="none" w:sz="0" w:space="0" w:color="auto"/>
        <w:bottom w:val="none" w:sz="0" w:space="0" w:color="auto"/>
        <w:right w:val="none" w:sz="0" w:space="0" w:color="auto"/>
      </w:divBdr>
    </w:div>
    <w:div w:id="775103342">
      <w:bodyDiv w:val="1"/>
      <w:marLeft w:val="0"/>
      <w:marRight w:val="0"/>
      <w:marTop w:val="0"/>
      <w:marBottom w:val="0"/>
      <w:divBdr>
        <w:top w:val="none" w:sz="0" w:space="0" w:color="auto"/>
        <w:left w:val="none" w:sz="0" w:space="0" w:color="auto"/>
        <w:bottom w:val="none" w:sz="0" w:space="0" w:color="auto"/>
        <w:right w:val="none" w:sz="0" w:space="0" w:color="auto"/>
      </w:divBdr>
    </w:div>
    <w:div w:id="775295660">
      <w:bodyDiv w:val="1"/>
      <w:marLeft w:val="0"/>
      <w:marRight w:val="0"/>
      <w:marTop w:val="0"/>
      <w:marBottom w:val="0"/>
      <w:divBdr>
        <w:top w:val="none" w:sz="0" w:space="0" w:color="auto"/>
        <w:left w:val="none" w:sz="0" w:space="0" w:color="auto"/>
        <w:bottom w:val="none" w:sz="0" w:space="0" w:color="auto"/>
        <w:right w:val="none" w:sz="0" w:space="0" w:color="auto"/>
      </w:divBdr>
    </w:div>
    <w:div w:id="775443192">
      <w:bodyDiv w:val="1"/>
      <w:marLeft w:val="0"/>
      <w:marRight w:val="0"/>
      <w:marTop w:val="0"/>
      <w:marBottom w:val="0"/>
      <w:divBdr>
        <w:top w:val="none" w:sz="0" w:space="0" w:color="auto"/>
        <w:left w:val="none" w:sz="0" w:space="0" w:color="auto"/>
        <w:bottom w:val="none" w:sz="0" w:space="0" w:color="auto"/>
        <w:right w:val="none" w:sz="0" w:space="0" w:color="auto"/>
      </w:divBdr>
    </w:div>
    <w:div w:id="775907207">
      <w:bodyDiv w:val="1"/>
      <w:marLeft w:val="0"/>
      <w:marRight w:val="0"/>
      <w:marTop w:val="0"/>
      <w:marBottom w:val="0"/>
      <w:divBdr>
        <w:top w:val="none" w:sz="0" w:space="0" w:color="auto"/>
        <w:left w:val="none" w:sz="0" w:space="0" w:color="auto"/>
        <w:bottom w:val="none" w:sz="0" w:space="0" w:color="auto"/>
        <w:right w:val="none" w:sz="0" w:space="0" w:color="auto"/>
      </w:divBdr>
    </w:div>
    <w:div w:id="776369747">
      <w:bodyDiv w:val="1"/>
      <w:marLeft w:val="0"/>
      <w:marRight w:val="0"/>
      <w:marTop w:val="0"/>
      <w:marBottom w:val="0"/>
      <w:divBdr>
        <w:top w:val="none" w:sz="0" w:space="0" w:color="auto"/>
        <w:left w:val="none" w:sz="0" w:space="0" w:color="auto"/>
        <w:bottom w:val="none" w:sz="0" w:space="0" w:color="auto"/>
        <w:right w:val="none" w:sz="0" w:space="0" w:color="auto"/>
      </w:divBdr>
    </w:div>
    <w:div w:id="777215826">
      <w:bodyDiv w:val="1"/>
      <w:marLeft w:val="0"/>
      <w:marRight w:val="0"/>
      <w:marTop w:val="0"/>
      <w:marBottom w:val="0"/>
      <w:divBdr>
        <w:top w:val="none" w:sz="0" w:space="0" w:color="auto"/>
        <w:left w:val="none" w:sz="0" w:space="0" w:color="auto"/>
        <w:bottom w:val="none" w:sz="0" w:space="0" w:color="auto"/>
        <w:right w:val="none" w:sz="0" w:space="0" w:color="auto"/>
      </w:divBdr>
    </w:div>
    <w:div w:id="777257973">
      <w:bodyDiv w:val="1"/>
      <w:marLeft w:val="0"/>
      <w:marRight w:val="0"/>
      <w:marTop w:val="0"/>
      <w:marBottom w:val="0"/>
      <w:divBdr>
        <w:top w:val="none" w:sz="0" w:space="0" w:color="auto"/>
        <w:left w:val="none" w:sz="0" w:space="0" w:color="auto"/>
        <w:bottom w:val="none" w:sz="0" w:space="0" w:color="auto"/>
        <w:right w:val="none" w:sz="0" w:space="0" w:color="auto"/>
      </w:divBdr>
    </w:div>
    <w:div w:id="777414370">
      <w:bodyDiv w:val="1"/>
      <w:marLeft w:val="0"/>
      <w:marRight w:val="0"/>
      <w:marTop w:val="0"/>
      <w:marBottom w:val="0"/>
      <w:divBdr>
        <w:top w:val="none" w:sz="0" w:space="0" w:color="auto"/>
        <w:left w:val="none" w:sz="0" w:space="0" w:color="auto"/>
        <w:bottom w:val="none" w:sz="0" w:space="0" w:color="auto"/>
        <w:right w:val="none" w:sz="0" w:space="0" w:color="auto"/>
      </w:divBdr>
    </w:div>
    <w:div w:id="777602806">
      <w:bodyDiv w:val="1"/>
      <w:marLeft w:val="0"/>
      <w:marRight w:val="0"/>
      <w:marTop w:val="0"/>
      <w:marBottom w:val="0"/>
      <w:divBdr>
        <w:top w:val="none" w:sz="0" w:space="0" w:color="auto"/>
        <w:left w:val="none" w:sz="0" w:space="0" w:color="auto"/>
        <w:bottom w:val="none" w:sz="0" w:space="0" w:color="auto"/>
        <w:right w:val="none" w:sz="0" w:space="0" w:color="auto"/>
      </w:divBdr>
    </w:div>
    <w:div w:id="777678399">
      <w:bodyDiv w:val="1"/>
      <w:marLeft w:val="0"/>
      <w:marRight w:val="0"/>
      <w:marTop w:val="0"/>
      <w:marBottom w:val="0"/>
      <w:divBdr>
        <w:top w:val="none" w:sz="0" w:space="0" w:color="auto"/>
        <w:left w:val="none" w:sz="0" w:space="0" w:color="auto"/>
        <w:bottom w:val="none" w:sz="0" w:space="0" w:color="auto"/>
        <w:right w:val="none" w:sz="0" w:space="0" w:color="auto"/>
      </w:divBdr>
    </w:div>
    <w:div w:id="777725887">
      <w:bodyDiv w:val="1"/>
      <w:marLeft w:val="0"/>
      <w:marRight w:val="0"/>
      <w:marTop w:val="0"/>
      <w:marBottom w:val="0"/>
      <w:divBdr>
        <w:top w:val="none" w:sz="0" w:space="0" w:color="auto"/>
        <w:left w:val="none" w:sz="0" w:space="0" w:color="auto"/>
        <w:bottom w:val="none" w:sz="0" w:space="0" w:color="auto"/>
        <w:right w:val="none" w:sz="0" w:space="0" w:color="auto"/>
      </w:divBdr>
    </w:div>
    <w:div w:id="778453197">
      <w:bodyDiv w:val="1"/>
      <w:marLeft w:val="0"/>
      <w:marRight w:val="0"/>
      <w:marTop w:val="0"/>
      <w:marBottom w:val="0"/>
      <w:divBdr>
        <w:top w:val="none" w:sz="0" w:space="0" w:color="auto"/>
        <w:left w:val="none" w:sz="0" w:space="0" w:color="auto"/>
        <w:bottom w:val="none" w:sz="0" w:space="0" w:color="auto"/>
        <w:right w:val="none" w:sz="0" w:space="0" w:color="auto"/>
      </w:divBdr>
    </w:div>
    <w:div w:id="779106084">
      <w:bodyDiv w:val="1"/>
      <w:marLeft w:val="0"/>
      <w:marRight w:val="0"/>
      <w:marTop w:val="0"/>
      <w:marBottom w:val="0"/>
      <w:divBdr>
        <w:top w:val="none" w:sz="0" w:space="0" w:color="auto"/>
        <w:left w:val="none" w:sz="0" w:space="0" w:color="auto"/>
        <w:bottom w:val="none" w:sz="0" w:space="0" w:color="auto"/>
        <w:right w:val="none" w:sz="0" w:space="0" w:color="auto"/>
      </w:divBdr>
    </w:div>
    <w:div w:id="779647857">
      <w:bodyDiv w:val="1"/>
      <w:marLeft w:val="0"/>
      <w:marRight w:val="0"/>
      <w:marTop w:val="0"/>
      <w:marBottom w:val="0"/>
      <w:divBdr>
        <w:top w:val="none" w:sz="0" w:space="0" w:color="auto"/>
        <w:left w:val="none" w:sz="0" w:space="0" w:color="auto"/>
        <w:bottom w:val="none" w:sz="0" w:space="0" w:color="auto"/>
        <w:right w:val="none" w:sz="0" w:space="0" w:color="auto"/>
      </w:divBdr>
    </w:div>
    <w:div w:id="780297527">
      <w:bodyDiv w:val="1"/>
      <w:marLeft w:val="0"/>
      <w:marRight w:val="0"/>
      <w:marTop w:val="0"/>
      <w:marBottom w:val="0"/>
      <w:divBdr>
        <w:top w:val="none" w:sz="0" w:space="0" w:color="auto"/>
        <w:left w:val="none" w:sz="0" w:space="0" w:color="auto"/>
        <w:bottom w:val="none" w:sz="0" w:space="0" w:color="auto"/>
        <w:right w:val="none" w:sz="0" w:space="0" w:color="auto"/>
      </w:divBdr>
    </w:div>
    <w:div w:id="780299985">
      <w:bodyDiv w:val="1"/>
      <w:marLeft w:val="0"/>
      <w:marRight w:val="0"/>
      <w:marTop w:val="0"/>
      <w:marBottom w:val="0"/>
      <w:divBdr>
        <w:top w:val="none" w:sz="0" w:space="0" w:color="auto"/>
        <w:left w:val="none" w:sz="0" w:space="0" w:color="auto"/>
        <w:bottom w:val="none" w:sz="0" w:space="0" w:color="auto"/>
        <w:right w:val="none" w:sz="0" w:space="0" w:color="auto"/>
      </w:divBdr>
    </w:div>
    <w:div w:id="780803070">
      <w:bodyDiv w:val="1"/>
      <w:marLeft w:val="0"/>
      <w:marRight w:val="0"/>
      <w:marTop w:val="0"/>
      <w:marBottom w:val="0"/>
      <w:divBdr>
        <w:top w:val="none" w:sz="0" w:space="0" w:color="auto"/>
        <w:left w:val="none" w:sz="0" w:space="0" w:color="auto"/>
        <w:bottom w:val="none" w:sz="0" w:space="0" w:color="auto"/>
        <w:right w:val="none" w:sz="0" w:space="0" w:color="auto"/>
      </w:divBdr>
    </w:div>
    <w:div w:id="781926134">
      <w:bodyDiv w:val="1"/>
      <w:marLeft w:val="0"/>
      <w:marRight w:val="0"/>
      <w:marTop w:val="0"/>
      <w:marBottom w:val="0"/>
      <w:divBdr>
        <w:top w:val="none" w:sz="0" w:space="0" w:color="auto"/>
        <w:left w:val="none" w:sz="0" w:space="0" w:color="auto"/>
        <w:bottom w:val="none" w:sz="0" w:space="0" w:color="auto"/>
        <w:right w:val="none" w:sz="0" w:space="0" w:color="auto"/>
      </w:divBdr>
    </w:div>
    <w:div w:id="782270198">
      <w:bodyDiv w:val="1"/>
      <w:marLeft w:val="0"/>
      <w:marRight w:val="0"/>
      <w:marTop w:val="0"/>
      <w:marBottom w:val="0"/>
      <w:divBdr>
        <w:top w:val="none" w:sz="0" w:space="0" w:color="auto"/>
        <w:left w:val="none" w:sz="0" w:space="0" w:color="auto"/>
        <w:bottom w:val="none" w:sz="0" w:space="0" w:color="auto"/>
        <w:right w:val="none" w:sz="0" w:space="0" w:color="auto"/>
      </w:divBdr>
    </w:div>
    <w:div w:id="782379216">
      <w:bodyDiv w:val="1"/>
      <w:marLeft w:val="0"/>
      <w:marRight w:val="0"/>
      <w:marTop w:val="0"/>
      <w:marBottom w:val="0"/>
      <w:divBdr>
        <w:top w:val="none" w:sz="0" w:space="0" w:color="auto"/>
        <w:left w:val="none" w:sz="0" w:space="0" w:color="auto"/>
        <w:bottom w:val="none" w:sz="0" w:space="0" w:color="auto"/>
        <w:right w:val="none" w:sz="0" w:space="0" w:color="auto"/>
      </w:divBdr>
    </w:div>
    <w:div w:id="782383327">
      <w:bodyDiv w:val="1"/>
      <w:marLeft w:val="0"/>
      <w:marRight w:val="0"/>
      <w:marTop w:val="0"/>
      <w:marBottom w:val="0"/>
      <w:divBdr>
        <w:top w:val="none" w:sz="0" w:space="0" w:color="auto"/>
        <w:left w:val="none" w:sz="0" w:space="0" w:color="auto"/>
        <w:bottom w:val="none" w:sz="0" w:space="0" w:color="auto"/>
        <w:right w:val="none" w:sz="0" w:space="0" w:color="auto"/>
      </w:divBdr>
    </w:div>
    <w:div w:id="784155042">
      <w:bodyDiv w:val="1"/>
      <w:marLeft w:val="0"/>
      <w:marRight w:val="0"/>
      <w:marTop w:val="0"/>
      <w:marBottom w:val="0"/>
      <w:divBdr>
        <w:top w:val="none" w:sz="0" w:space="0" w:color="auto"/>
        <w:left w:val="none" w:sz="0" w:space="0" w:color="auto"/>
        <w:bottom w:val="none" w:sz="0" w:space="0" w:color="auto"/>
        <w:right w:val="none" w:sz="0" w:space="0" w:color="auto"/>
      </w:divBdr>
    </w:div>
    <w:div w:id="784731778">
      <w:bodyDiv w:val="1"/>
      <w:marLeft w:val="0"/>
      <w:marRight w:val="0"/>
      <w:marTop w:val="0"/>
      <w:marBottom w:val="0"/>
      <w:divBdr>
        <w:top w:val="none" w:sz="0" w:space="0" w:color="auto"/>
        <w:left w:val="none" w:sz="0" w:space="0" w:color="auto"/>
        <w:bottom w:val="none" w:sz="0" w:space="0" w:color="auto"/>
        <w:right w:val="none" w:sz="0" w:space="0" w:color="auto"/>
      </w:divBdr>
    </w:div>
    <w:div w:id="787965887">
      <w:bodyDiv w:val="1"/>
      <w:marLeft w:val="0"/>
      <w:marRight w:val="0"/>
      <w:marTop w:val="0"/>
      <w:marBottom w:val="0"/>
      <w:divBdr>
        <w:top w:val="none" w:sz="0" w:space="0" w:color="auto"/>
        <w:left w:val="none" w:sz="0" w:space="0" w:color="auto"/>
        <w:bottom w:val="none" w:sz="0" w:space="0" w:color="auto"/>
        <w:right w:val="none" w:sz="0" w:space="0" w:color="auto"/>
      </w:divBdr>
    </w:div>
    <w:div w:id="788276277">
      <w:bodyDiv w:val="1"/>
      <w:marLeft w:val="0"/>
      <w:marRight w:val="0"/>
      <w:marTop w:val="0"/>
      <w:marBottom w:val="0"/>
      <w:divBdr>
        <w:top w:val="none" w:sz="0" w:space="0" w:color="auto"/>
        <w:left w:val="none" w:sz="0" w:space="0" w:color="auto"/>
        <w:bottom w:val="none" w:sz="0" w:space="0" w:color="auto"/>
        <w:right w:val="none" w:sz="0" w:space="0" w:color="auto"/>
      </w:divBdr>
    </w:div>
    <w:div w:id="788626169">
      <w:bodyDiv w:val="1"/>
      <w:marLeft w:val="0"/>
      <w:marRight w:val="0"/>
      <w:marTop w:val="0"/>
      <w:marBottom w:val="0"/>
      <w:divBdr>
        <w:top w:val="none" w:sz="0" w:space="0" w:color="auto"/>
        <w:left w:val="none" w:sz="0" w:space="0" w:color="auto"/>
        <w:bottom w:val="none" w:sz="0" w:space="0" w:color="auto"/>
        <w:right w:val="none" w:sz="0" w:space="0" w:color="auto"/>
      </w:divBdr>
    </w:div>
    <w:div w:id="791632216">
      <w:bodyDiv w:val="1"/>
      <w:marLeft w:val="0"/>
      <w:marRight w:val="0"/>
      <w:marTop w:val="0"/>
      <w:marBottom w:val="0"/>
      <w:divBdr>
        <w:top w:val="none" w:sz="0" w:space="0" w:color="auto"/>
        <w:left w:val="none" w:sz="0" w:space="0" w:color="auto"/>
        <w:bottom w:val="none" w:sz="0" w:space="0" w:color="auto"/>
        <w:right w:val="none" w:sz="0" w:space="0" w:color="auto"/>
      </w:divBdr>
    </w:div>
    <w:div w:id="792752964">
      <w:bodyDiv w:val="1"/>
      <w:marLeft w:val="0"/>
      <w:marRight w:val="0"/>
      <w:marTop w:val="0"/>
      <w:marBottom w:val="0"/>
      <w:divBdr>
        <w:top w:val="none" w:sz="0" w:space="0" w:color="auto"/>
        <w:left w:val="none" w:sz="0" w:space="0" w:color="auto"/>
        <w:bottom w:val="none" w:sz="0" w:space="0" w:color="auto"/>
        <w:right w:val="none" w:sz="0" w:space="0" w:color="auto"/>
      </w:divBdr>
    </w:div>
    <w:div w:id="792870535">
      <w:bodyDiv w:val="1"/>
      <w:marLeft w:val="0"/>
      <w:marRight w:val="0"/>
      <w:marTop w:val="0"/>
      <w:marBottom w:val="0"/>
      <w:divBdr>
        <w:top w:val="none" w:sz="0" w:space="0" w:color="auto"/>
        <w:left w:val="none" w:sz="0" w:space="0" w:color="auto"/>
        <w:bottom w:val="none" w:sz="0" w:space="0" w:color="auto"/>
        <w:right w:val="none" w:sz="0" w:space="0" w:color="auto"/>
      </w:divBdr>
    </w:div>
    <w:div w:id="793449393">
      <w:bodyDiv w:val="1"/>
      <w:marLeft w:val="0"/>
      <w:marRight w:val="0"/>
      <w:marTop w:val="0"/>
      <w:marBottom w:val="0"/>
      <w:divBdr>
        <w:top w:val="none" w:sz="0" w:space="0" w:color="auto"/>
        <w:left w:val="none" w:sz="0" w:space="0" w:color="auto"/>
        <w:bottom w:val="none" w:sz="0" w:space="0" w:color="auto"/>
        <w:right w:val="none" w:sz="0" w:space="0" w:color="auto"/>
      </w:divBdr>
    </w:div>
    <w:div w:id="794326794">
      <w:bodyDiv w:val="1"/>
      <w:marLeft w:val="0"/>
      <w:marRight w:val="0"/>
      <w:marTop w:val="0"/>
      <w:marBottom w:val="0"/>
      <w:divBdr>
        <w:top w:val="none" w:sz="0" w:space="0" w:color="auto"/>
        <w:left w:val="none" w:sz="0" w:space="0" w:color="auto"/>
        <w:bottom w:val="none" w:sz="0" w:space="0" w:color="auto"/>
        <w:right w:val="none" w:sz="0" w:space="0" w:color="auto"/>
      </w:divBdr>
    </w:div>
    <w:div w:id="794560163">
      <w:bodyDiv w:val="1"/>
      <w:marLeft w:val="0"/>
      <w:marRight w:val="0"/>
      <w:marTop w:val="0"/>
      <w:marBottom w:val="0"/>
      <w:divBdr>
        <w:top w:val="none" w:sz="0" w:space="0" w:color="auto"/>
        <w:left w:val="none" w:sz="0" w:space="0" w:color="auto"/>
        <w:bottom w:val="none" w:sz="0" w:space="0" w:color="auto"/>
        <w:right w:val="none" w:sz="0" w:space="0" w:color="auto"/>
      </w:divBdr>
    </w:div>
    <w:div w:id="795874695">
      <w:bodyDiv w:val="1"/>
      <w:marLeft w:val="0"/>
      <w:marRight w:val="0"/>
      <w:marTop w:val="0"/>
      <w:marBottom w:val="0"/>
      <w:divBdr>
        <w:top w:val="none" w:sz="0" w:space="0" w:color="auto"/>
        <w:left w:val="none" w:sz="0" w:space="0" w:color="auto"/>
        <w:bottom w:val="none" w:sz="0" w:space="0" w:color="auto"/>
        <w:right w:val="none" w:sz="0" w:space="0" w:color="auto"/>
      </w:divBdr>
    </w:div>
    <w:div w:id="796266827">
      <w:bodyDiv w:val="1"/>
      <w:marLeft w:val="0"/>
      <w:marRight w:val="0"/>
      <w:marTop w:val="0"/>
      <w:marBottom w:val="0"/>
      <w:divBdr>
        <w:top w:val="none" w:sz="0" w:space="0" w:color="auto"/>
        <w:left w:val="none" w:sz="0" w:space="0" w:color="auto"/>
        <w:bottom w:val="none" w:sz="0" w:space="0" w:color="auto"/>
        <w:right w:val="none" w:sz="0" w:space="0" w:color="auto"/>
      </w:divBdr>
    </w:div>
    <w:div w:id="797452200">
      <w:bodyDiv w:val="1"/>
      <w:marLeft w:val="0"/>
      <w:marRight w:val="0"/>
      <w:marTop w:val="0"/>
      <w:marBottom w:val="0"/>
      <w:divBdr>
        <w:top w:val="none" w:sz="0" w:space="0" w:color="auto"/>
        <w:left w:val="none" w:sz="0" w:space="0" w:color="auto"/>
        <w:bottom w:val="none" w:sz="0" w:space="0" w:color="auto"/>
        <w:right w:val="none" w:sz="0" w:space="0" w:color="auto"/>
      </w:divBdr>
    </w:div>
    <w:div w:id="798305282">
      <w:bodyDiv w:val="1"/>
      <w:marLeft w:val="0"/>
      <w:marRight w:val="0"/>
      <w:marTop w:val="0"/>
      <w:marBottom w:val="0"/>
      <w:divBdr>
        <w:top w:val="none" w:sz="0" w:space="0" w:color="auto"/>
        <w:left w:val="none" w:sz="0" w:space="0" w:color="auto"/>
        <w:bottom w:val="none" w:sz="0" w:space="0" w:color="auto"/>
        <w:right w:val="none" w:sz="0" w:space="0" w:color="auto"/>
      </w:divBdr>
    </w:div>
    <w:div w:id="800536308">
      <w:bodyDiv w:val="1"/>
      <w:marLeft w:val="0"/>
      <w:marRight w:val="0"/>
      <w:marTop w:val="0"/>
      <w:marBottom w:val="0"/>
      <w:divBdr>
        <w:top w:val="none" w:sz="0" w:space="0" w:color="auto"/>
        <w:left w:val="none" w:sz="0" w:space="0" w:color="auto"/>
        <w:bottom w:val="none" w:sz="0" w:space="0" w:color="auto"/>
        <w:right w:val="none" w:sz="0" w:space="0" w:color="auto"/>
      </w:divBdr>
    </w:div>
    <w:div w:id="801078139">
      <w:bodyDiv w:val="1"/>
      <w:marLeft w:val="0"/>
      <w:marRight w:val="0"/>
      <w:marTop w:val="0"/>
      <w:marBottom w:val="0"/>
      <w:divBdr>
        <w:top w:val="none" w:sz="0" w:space="0" w:color="auto"/>
        <w:left w:val="none" w:sz="0" w:space="0" w:color="auto"/>
        <w:bottom w:val="none" w:sz="0" w:space="0" w:color="auto"/>
        <w:right w:val="none" w:sz="0" w:space="0" w:color="auto"/>
      </w:divBdr>
    </w:div>
    <w:div w:id="801387572">
      <w:bodyDiv w:val="1"/>
      <w:marLeft w:val="0"/>
      <w:marRight w:val="0"/>
      <w:marTop w:val="0"/>
      <w:marBottom w:val="0"/>
      <w:divBdr>
        <w:top w:val="none" w:sz="0" w:space="0" w:color="auto"/>
        <w:left w:val="none" w:sz="0" w:space="0" w:color="auto"/>
        <w:bottom w:val="none" w:sz="0" w:space="0" w:color="auto"/>
        <w:right w:val="none" w:sz="0" w:space="0" w:color="auto"/>
      </w:divBdr>
    </w:div>
    <w:div w:id="801969161">
      <w:bodyDiv w:val="1"/>
      <w:marLeft w:val="0"/>
      <w:marRight w:val="0"/>
      <w:marTop w:val="0"/>
      <w:marBottom w:val="0"/>
      <w:divBdr>
        <w:top w:val="none" w:sz="0" w:space="0" w:color="auto"/>
        <w:left w:val="none" w:sz="0" w:space="0" w:color="auto"/>
        <w:bottom w:val="none" w:sz="0" w:space="0" w:color="auto"/>
        <w:right w:val="none" w:sz="0" w:space="0" w:color="auto"/>
      </w:divBdr>
    </w:div>
    <w:div w:id="802380988">
      <w:bodyDiv w:val="1"/>
      <w:marLeft w:val="0"/>
      <w:marRight w:val="0"/>
      <w:marTop w:val="0"/>
      <w:marBottom w:val="0"/>
      <w:divBdr>
        <w:top w:val="none" w:sz="0" w:space="0" w:color="auto"/>
        <w:left w:val="none" w:sz="0" w:space="0" w:color="auto"/>
        <w:bottom w:val="none" w:sz="0" w:space="0" w:color="auto"/>
        <w:right w:val="none" w:sz="0" w:space="0" w:color="auto"/>
      </w:divBdr>
    </w:div>
    <w:div w:id="802388920">
      <w:bodyDiv w:val="1"/>
      <w:marLeft w:val="0"/>
      <w:marRight w:val="0"/>
      <w:marTop w:val="0"/>
      <w:marBottom w:val="0"/>
      <w:divBdr>
        <w:top w:val="none" w:sz="0" w:space="0" w:color="auto"/>
        <w:left w:val="none" w:sz="0" w:space="0" w:color="auto"/>
        <w:bottom w:val="none" w:sz="0" w:space="0" w:color="auto"/>
        <w:right w:val="none" w:sz="0" w:space="0" w:color="auto"/>
      </w:divBdr>
    </w:div>
    <w:div w:id="803276141">
      <w:bodyDiv w:val="1"/>
      <w:marLeft w:val="0"/>
      <w:marRight w:val="0"/>
      <w:marTop w:val="0"/>
      <w:marBottom w:val="0"/>
      <w:divBdr>
        <w:top w:val="none" w:sz="0" w:space="0" w:color="auto"/>
        <w:left w:val="none" w:sz="0" w:space="0" w:color="auto"/>
        <w:bottom w:val="none" w:sz="0" w:space="0" w:color="auto"/>
        <w:right w:val="none" w:sz="0" w:space="0" w:color="auto"/>
      </w:divBdr>
    </w:div>
    <w:div w:id="804396866">
      <w:bodyDiv w:val="1"/>
      <w:marLeft w:val="0"/>
      <w:marRight w:val="0"/>
      <w:marTop w:val="0"/>
      <w:marBottom w:val="0"/>
      <w:divBdr>
        <w:top w:val="none" w:sz="0" w:space="0" w:color="auto"/>
        <w:left w:val="none" w:sz="0" w:space="0" w:color="auto"/>
        <w:bottom w:val="none" w:sz="0" w:space="0" w:color="auto"/>
        <w:right w:val="none" w:sz="0" w:space="0" w:color="auto"/>
      </w:divBdr>
    </w:div>
    <w:div w:id="804615687">
      <w:bodyDiv w:val="1"/>
      <w:marLeft w:val="0"/>
      <w:marRight w:val="0"/>
      <w:marTop w:val="0"/>
      <w:marBottom w:val="0"/>
      <w:divBdr>
        <w:top w:val="none" w:sz="0" w:space="0" w:color="auto"/>
        <w:left w:val="none" w:sz="0" w:space="0" w:color="auto"/>
        <w:bottom w:val="none" w:sz="0" w:space="0" w:color="auto"/>
        <w:right w:val="none" w:sz="0" w:space="0" w:color="auto"/>
      </w:divBdr>
    </w:div>
    <w:div w:id="805466003">
      <w:bodyDiv w:val="1"/>
      <w:marLeft w:val="0"/>
      <w:marRight w:val="0"/>
      <w:marTop w:val="0"/>
      <w:marBottom w:val="0"/>
      <w:divBdr>
        <w:top w:val="none" w:sz="0" w:space="0" w:color="auto"/>
        <w:left w:val="none" w:sz="0" w:space="0" w:color="auto"/>
        <w:bottom w:val="none" w:sz="0" w:space="0" w:color="auto"/>
        <w:right w:val="none" w:sz="0" w:space="0" w:color="auto"/>
      </w:divBdr>
    </w:div>
    <w:div w:id="805590093">
      <w:bodyDiv w:val="1"/>
      <w:marLeft w:val="0"/>
      <w:marRight w:val="0"/>
      <w:marTop w:val="0"/>
      <w:marBottom w:val="0"/>
      <w:divBdr>
        <w:top w:val="none" w:sz="0" w:space="0" w:color="auto"/>
        <w:left w:val="none" w:sz="0" w:space="0" w:color="auto"/>
        <w:bottom w:val="none" w:sz="0" w:space="0" w:color="auto"/>
        <w:right w:val="none" w:sz="0" w:space="0" w:color="auto"/>
      </w:divBdr>
    </w:div>
    <w:div w:id="805852749">
      <w:bodyDiv w:val="1"/>
      <w:marLeft w:val="0"/>
      <w:marRight w:val="0"/>
      <w:marTop w:val="0"/>
      <w:marBottom w:val="0"/>
      <w:divBdr>
        <w:top w:val="none" w:sz="0" w:space="0" w:color="auto"/>
        <w:left w:val="none" w:sz="0" w:space="0" w:color="auto"/>
        <w:bottom w:val="none" w:sz="0" w:space="0" w:color="auto"/>
        <w:right w:val="none" w:sz="0" w:space="0" w:color="auto"/>
      </w:divBdr>
    </w:div>
    <w:div w:id="806358000">
      <w:bodyDiv w:val="1"/>
      <w:marLeft w:val="0"/>
      <w:marRight w:val="0"/>
      <w:marTop w:val="0"/>
      <w:marBottom w:val="0"/>
      <w:divBdr>
        <w:top w:val="none" w:sz="0" w:space="0" w:color="auto"/>
        <w:left w:val="none" w:sz="0" w:space="0" w:color="auto"/>
        <w:bottom w:val="none" w:sz="0" w:space="0" w:color="auto"/>
        <w:right w:val="none" w:sz="0" w:space="0" w:color="auto"/>
      </w:divBdr>
    </w:div>
    <w:div w:id="809174244">
      <w:bodyDiv w:val="1"/>
      <w:marLeft w:val="0"/>
      <w:marRight w:val="0"/>
      <w:marTop w:val="0"/>
      <w:marBottom w:val="0"/>
      <w:divBdr>
        <w:top w:val="none" w:sz="0" w:space="0" w:color="auto"/>
        <w:left w:val="none" w:sz="0" w:space="0" w:color="auto"/>
        <w:bottom w:val="none" w:sz="0" w:space="0" w:color="auto"/>
        <w:right w:val="none" w:sz="0" w:space="0" w:color="auto"/>
      </w:divBdr>
    </w:div>
    <w:div w:id="809254100">
      <w:bodyDiv w:val="1"/>
      <w:marLeft w:val="0"/>
      <w:marRight w:val="0"/>
      <w:marTop w:val="0"/>
      <w:marBottom w:val="0"/>
      <w:divBdr>
        <w:top w:val="none" w:sz="0" w:space="0" w:color="auto"/>
        <w:left w:val="none" w:sz="0" w:space="0" w:color="auto"/>
        <w:bottom w:val="none" w:sz="0" w:space="0" w:color="auto"/>
        <w:right w:val="none" w:sz="0" w:space="0" w:color="auto"/>
      </w:divBdr>
    </w:div>
    <w:div w:id="810706084">
      <w:bodyDiv w:val="1"/>
      <w:marLeft w:val="0"/>
      <w:marRight w:val="0"/>
      <w:marTop w:val="0"/>
      <w:marBottom w:val="0"/>
      <w:divBdr>
        <w:top w:val="none" w:sz="0" w:space="0" w:color="auto"/>
        <w:left w:val="none" w:sz="0" w:space="0" w:color="auto"/>
        <w:bottom w:val="none" w:sz="0" w:space="0" w:color="auto"/>
        <w:right w:val="none" w:sz="0" w:space="0" w:color="auto"/>
      </w:divBdr>
    </w:div>
    <w:div w:id="810947647">
      <w:bodyDiv w:val="1"/>
      <w:marLeft w:val="0"/>
      <w:marRight w:val="0"/>
      <w:marTop w:val="0"/>
      <w:marBottom w:val="0"/>
      <w:divBdr>
        <w:top w:val="none" w:sz="0" w:space="0" w:color="auto"/>
        <w:left w:val="none" w:sz="0" w:space="0" w:color="auto"/>
        <w:bottom w:val="none" w:sz="0" w:space="0" w:color="auto"/>
        <w:right w:val="none" w:sz="0" w:space="0" w:color="auto"/>
      </w:divBdr>
    </w:div>
    <w:div w:id="811679237">
      <w:bodyDiv w:val="1"/>
      <w:marLeft w:val="0"/>
      <w:marRight w:val="0"/>
      <w:marTop w:val="0"/>
      <w:marBottom w:val="0"/>
      <w:divBdr>
        <w:top w:val="none" w:sz="0" w:space="0" w:color="auto"/>
        <w:left w:val="none" w:sz="0" w:space="0" w:color="auto"/>
        <w:bottom w:val="none" w:sz="0" w:space="0" w:color="auto"/>
        <w:right w:val="none" w:sz="0" w:space="0" w:color="auto"/>
      </w:divBdr>
    </w:div>
    <w:div w:id="815146161">
      <w:bodyDiv w:val="1"/>
      <w:marLeft w:val="0"/>
      <w:marRight w:val="0"/>
      <w:marTop w:val="0"/>
      <w:marBottom w:val="0"/>
      <w:divBdr>
        <w:top w:val="none" w:sz="0" w:space="0" w:color="auto"/>
        <w:left w:val="none" w:sz="0" w:space="0" w:color="auto"/>
        <w:bottom w:val="none" w:sz="0" w:space="0" w:color="auto"/>
        <w:right w:val="none" w:sz="0" w:space="0" w:color="auto"/>
      </w:divBdr>
    </w:div>
    <w:div w:id="815877863">
      <w:bodyDiv w:val="1"/>
      <w:marLeft w:val="0"/>
      <w:marRight w:val="0"/>
      <w:marTop w:val="0"/>
      <w:marBottom w:val="0"/>
      <w:divBdr>
        <w:top w:val="none" w:sz="0" w:space="0" w:color="auto"/>
        <w:left w:val="none" w:sz="0" w:space="0" w:color="auto"/>
        <w:bottom w:val="none" w:sz="0" w:space="0" w:color="auto"/>
        <w:right w:val="none" w:sz="0" w:space="0" w:color="auto"/>
      </w:divBdr>
    </w:div>
    <w:div w:id="816147324">
      <w:bodyDiv w:val="1"/>
      <w:marLeft w:val="0"/>
      <w:marRight w:val="0"/>
      <w:marTop w:val="0"/>
      <w:marBottom w:val="0"/>
      <w:divBdr>
        <w:top w:val="none" w:sz="0" w:space="0" w:color="auto"/>
        <w:left w:val="none" w:sz="0" w:space="0" w:color="auto"/>
        <w:bottom w:val="none" w:sz="0" w:space="0" w:color="auto"/>
        <w:right w:val="none" w:sz="0" w:space="0" w:color="auto"/>
      </w:divBdr>
    </w:div>
    <w:div w:id="816187226">
      <w:bodyDiv w:val="1"/>
      <w:marLeft w:val="0"/>
      <w:marRight w:val="0"/>
      <w:marTop w:val="0"/>
      <w:marBottom w:val="0"/>
      <w:divBdr>
        <w:top w:val="none" w:sz="0" w:space="0" w:color="auto"/>
        <w:left w:val="none" w:sz="0" w:space="0" w:color="auto"/>
        <w:bottom w:val="none" w:sz="0" w:space="0" w:color="auto"/>
        <w:right w:val="none" w:sz="0" w:space="0" w:color="auto"/>
      </w:divBdr>
    </w:div>
    <w:div w:id="816537234">
      <w:bodyDiv w:val="1"/>
      <w:marLeft w:val="0"/>
      <w:marRight w:val="0"/>
      <w:marTop w:val="0"/>
      <w:marBottom w:val="0"/>
      <w:divBdr>
        <w:top w:val="none" w:sz="0" w:space="0" w:color="auto"/>
        <w:left w:val="none" w:sz="0" w:space="0" w:color="auto"/>
        <w:bottom w:val="none" w:sz="0" w:space="0" w:color="auto"/>
        <w:right w:val="none" w:sz="0" w:space="0" w:color="auto"/>
      </w:divBdr>
    </w:div>
    <w:div w:id="816916762">
      <w:bodyDiv w:val="1"/>
      <w:marLeft w:val="0"/>
      <w:marRight w:val="0"/>
      <w:marTop w:val="0"/>
      <w:marBottom w:val="0"/>
      <w:divBdr>
        <w:top w:val="none" w:sz="0" w:space="0" w:color="auto"/>
        <w:left w:val="none" w:sz="0" w:space="0" w:color="auto"/>
        <w:bottom w:val="none" w:sz="0" w:space="0" w:color="auto"/>
        <w:right w:val="none" w:sz="0" w:space="0" w:color="auto"/>
      </w:divBdr>
    </w:div>
    <w:div w:id="817383637">
      <w:bodyDiv w:val="1"/>
      <w:marLeft w:val="0"/>
      <w:marRight w:val="0"/>
      <w:marTop w:val="0"/>
      <w:marBottom w:val="0"/>
      <w:divBdr>
        <w:top w:val="none" w:sz="0" w:space="0" w:color="auto"/>
        <w:left w:val="none" w:sz="0" w:space="0" w:color="auto"/>
        <w:bottom w:val="none" w:sz="0" w:space="0" w:color="auto"/>
        <w:right w:val="none" w:sz="0" w:space="0" w:color="auto"/>
      </w:divBdr>
    </w:div>
    <w:div w:id="817645424">
      <w:bodyDiv w:val="1"/>
      <w:marLeft w:val="0"/>
      <w:marRight w:val="0"/>
      <w:marTop w:val="0"/>
      <w:marBottom w:val="0"/>
      <w:divBdr>
        <w:top w:val="none" w:sz="0" w:space="0" w:color="auto"/>
        <w:left w:val="none" w:sz="0" w:space="0" w:color="auto"/>
        <w:bottom w:val="none" w:sz="0" w:space="0" w:color="auto"/>
        <w:right w:val="none" w:sz="0" w:space="0" w:color="auto"/>
      </w:divBdr>
    </w:div>
    <w:div w:id="818348895">
      <w:bodyDiv w:val="1"/>
      <w:marLeft w:val="0"/>
      <w:marRight w:val="0"/>
      <w:marTop w:val="0"/>
      <w:marBottom w:val="0"/>
      <w:divBdr>
        <w:top w:val="none" w:sz="0" w:space="0" w:color="auto"/>
        <w:left w:val="none" w:sz="0" w:space="0" w:color="auto"/>
        <w:bottom w:val="none" w:sz="0" w:space="0" w:color="auto"/>
        <w:right w:val="none" w:sz="0" w:space="0" w:color="auto"/>
      </w:divBdr>
    </w:div>
    <w:div w:id="818573492">
      <w:bodyDiv w:val="1"/>
      <w:marLeft w:val="0"/>
      <w:marRight w:val="0"/>
      <w:marTop w:val="0"/>
      <w:marBottom w:val="0"/>
      <w:divBdr>
        <w:top w:val="none" w:sz="0" w:space="0" w:color="auto"/>
        <w:left w:val="none" w:sz="0" w:space="0" w:color="auto"/>
        <w:bottom w:val="none" w:sz="0" w:space="0" w:color="auto"/>
        <w:right w:val="none" w:sz="0" w:space="0" w:color="auto"/>
      </w:divBdr>
    </w:div>
    <w:div w:id="820081367">
      <w:bodyDiv w:val="1"/>
      <w:marLeft w:val="0"/>
      <w:marRight w:val="0"/>
      <w:marTop w:val="0"/>
      <w:marBottom w:val="0"/>
      <w:divBdr>
        <w:top w:val="none" w:sz="0" w:space="0" w:color="auto"/>
        <w:left w:val="none" w:sz="0" w:space="0" w:color="auto"/>
        <w:bottom w:val="none" w:sz="0" w:space="0" w:color="auto"/>
        <w:right w:val="none" w:sz="0" w:space="0" w:color="auto"/>
      </w:divBdr>
    </w:div>
    <w:div w:id="820803487">
      <w:bodyDiv w:val="1"/>
      <w:marLeft w:val="0"/>
      <w:marRight w:val="0"/>
      <w:marTop w:val="0"/>
      <w:marBottom w:val="0"/>
      <w:divBdr>
        <w:top w:val="none" w:sz="0" w:space="0" w:color="auto"/>
        <w:left w:val="none" w:sz="0" w:space="0" w:color="auto"/>
        <w:bottom w:val="none" w:sz="0" w:space="0" w:color="auto"/>
        <w:right w:val="none" w:sz="0" w:space="0" w:color="auto"/>
      </w:divBdr>
    </w:div>
    <w:div w:id="821240000">
      <w:bodyDiv w:val="1"/>
      <w:marLeft w:val="0"/>
      <w:marRight w:val="0"/>
      <w:marTop w:val="0"/>
      <w:marBottom w:val="0"/>
      <w:divBdr>
        <w:top w:val="none" w:sz="0" w:space="0" w:color="auto"/>
        <w:left w:val="none" w:sz="0" w:space="0" w:color="auto"/>
        <w:bottom w:val="none" w:sz="0" w:space="0" w:color="auto"/>
        <w:right w:val="none" w:sz="0" w:space="0" w:color="auto"/>
      </w:divBdr>
    </w:div>
    <w:div w:id="821388412">
      <w:bodyDiv w:val="1"/>
      <w:marLeft w:val="0"/>
      <w:marRight w:val="0"/>
      <w:marTop w:val="0"/>
      <w:marBottom w:val="0"/>
      <w:divBdr>
        <w:top w:val="none" w:sz="0" w:space="0" w:color="auto"/>
        <w:left w:val="none" w:sz="0" w:space="0" w:color="auto"/>
        <w:bottom w:val="none" w:sz="0" w:space="0" w:color="auto"/>
        <w:right w:val="none" w:sz="0" w:space="0" w:color="auto"/>
      </w:divBdr>
    </w:div>
    <w:div w:id="821585926">
      <w:bodyDiv w:val="1"/>
      <w:marLeft w:val="0"/>
      <w:marRight w:val="0"/>
      <w:marTop w:val="0"/>
      <w:marBottom w:val="0"/>
      <w:divBdr>
        <w:top w:val="none" w:sz="0" w:space="0" w:color="auto"/>
        <w:left w:val="none" w:sz="0" w:space="0" w:color="auto"/>
        <w:bottom w:val="none" w:sz="0" w:space="0" w:color="auto"/>
        <w:right w:val="none" w:sz="0" w:space="0" w:color="auto"/>
      </w:divBdr>
    </w:div>
    <w:div w:id="822431003">
      <w:bodyDiv w:val="1"/>
      <w:marLeft w:val="0"/>
      <w:marRight w:val="0"/>
      <w:marTop w:val="0"/>
      <w:marBottom w:val="0"/>
      <w:divBdr>
        <w:top w:val="none" w:sz="0" w:space="0" w:color="auto"/>
        <w:left w:val="none" w:sz="0" w:space="0" w:color="auto"/>
        <w:bottom w:val="none" w:sz="0" w:space="0" w:color="auto"/>
        <w:right w:val="none" w:sz="0" w:space="0" w:color="auto"/>
      </w:divBdr>
    </w:div>
    <w:div w:id="823859632">
      <w:bodyDiv w:val="1"/>
      <w:marLeft w:val="0"/>
      <w:marRight w:val="0"/>
      <w:marTop w:val="0"/>
      <w:marBottom w:val="0"/>
      <w:divBdr>
        <w:top w:val="none" w:sz="0" w:space="0" w:color="auto"/>
        <w:left w:val="none" w:sz="0" w:space="0" w:color="auto"/>
        <w:bottom w:val="none" w:sz="0" w:space="0" w:color="auto"/>
        <w:right w:val="none" w:sz="0" w:space="0" w:color="auto"/>
      </w:divBdr>
    </w:div>
    <w:div w:id="824055076">
      <w:bodyDiv w:val="1"/>
      <w:marLeft w:val="0"/>
      <w:marRight w:val="0"/>
      <w:marTop w:val="0"/>
      <w:marBottom w:val="0"/>
      <w:divBdr>
        <w:top w:val="none" w:sz="0" w:space="0" w:color="auto"/>
        <w:left w:val="none" w:sz="0" w:space="0" w:color="auto"/>
        <w:bottom w:val="none" w:sz="0" w:space="0" w:color="auto"/>
        <w:right w:val="none" w:sz="0" w:space="0" w:color="auto"/>
      </w:divBdr>
    </w:div>
    <w:div w:id="824977233">
      <w:bodyDiv w:val="1"/>
      <w:marLeft w:val="0"/>
      <w:marRight w:val="0"/>
      <w:marTop w:val="0"/>
      <w:marBottom w:val="0"/>
      <w:divBdr>
        <w:top w:val="none" w:sz="0" w:space="0" w:color="auto"/>
        <w:left w:val="none" w:sz="0" w:space="0" w:color="auto"/>
        <w:bottom w:val="none" w:sz="0" w:space="0" w:color="auto"/>
        <w:right w:val="none" w:sz="0" w:space="0" w:color="auto"/>
      </w:divBdr>
    </w:div>
    <w:div w:id="825635417">
      <w:bodyDiv w:val="1"/>
      <w:marLeft w:val="0"/>
      <w:marRight w:val="0"/>
      <w:marTop w:val="0"/>
      <w:marBottom w:val="0"/>
      <w:divBdr>
        <w:top w:val="none" w:sz="0" w:space="0" w:color="auto"/>
        <w:left w:val="none" w:sz="0" w:space="0" w:color="auto"/>
        <w:bottom w:val="none" w:sz="0" w:space="0" w:color="auto"/>
        <w:right w:val="none" w:sz="0" w:space="0" w:color="auto"/>
      </w:divBdr>
    </w:div>
    <w:div w:id="825974229">
      <w:bodyDiv w:val="1"/>
      <w:marLeft w:val="0"/>
      <w:marRight w:val="0"/>
      <w:marTop w:val="0"/>
      <w:marBottom w:val="0"/>
      <w:divBdr>
        <w:top w:val="none" w:sz="0" w:space="0" w:color="auto"/>
        <w:left w:val="none" w:sz="0" w:space="0" w:color="auto"/>
        <w:bottom w:val="none" w:sz="0" w:space="0" w:color="auto"/>
        <w:right w:val="none" w:sz="0" w:space="0" w:color="auto"/>
      </w:divBdr>
    </w:div>
    <w:div w:id="826746184">
      <w:bodyDiv w:val="1"/>
      <w:marLeft w:val="0"/>
      <w:marRight w:val="0"/>
      <w:marTop w:val="0"/>
      <w:marBottom w:val="0"/>
      <w:divBdr>
        <w:top w:val="none" w:sz="0" w:space="0" w:color="auto"/>
        <w:left w:val="none" w:sz="0" w:space="0" w:color="auto"/>
        <w:bottom w:val="none" w:sz="0" w:space="0" w:color="auto"/>
        <w:right w:val="none" w:sz="0" w:space="0" w:color="auto"/>
      </w:divBdr>
    </w:div>
    <w:div w:id="828323004">
      <w:bodyDiv w:val="1"/>
      <w:marLeft w:val="0"/>
      <w:marRight w:val="0"/>
      <w:marTop w:val="0"/>
      <w:marBottom w:val="0"/>
      <w:divBdr>
        <w:top w:val="none" w:sz="0" w:space="0" w:color="auto"/>
        <w:left w:val="none" w:sz="0" w:space="0" w:color="auto"/>
        <w:bottom w:val="none" w:sz="0" w:space="0" w:color="auto"/>
        <w:right w:val="none" w:sz="0" w:space="0" w:color="auto"/>
      </w:divBdr>
    </w:div>
    <w:div w:id="828668967">
      <w:bodyDiv w:val="1"/>
      <w:marLeft w:val="0"/>
      <w:marRight w:val="0"/>
      <w:marTop w:val="0"/>
      <w:marBottom w:val="0"/>
      <w:divBdr>
        <w:top w:val="none" w:sz="0" w:space="0" w:color="auto"/>
        <w:left w:val="none" w:sz="0" w:space="0" w:color="auto"/>
        <w:bottom w:val="none" w:sz="0" w:space="0" w:color="auto"/>
        <w:right w:val="none" w:sz="0" w:space="0" w:color="auto"/>
      </w:divBdr>
    </w:div>
    <w:div w:id="829364851">
      <w:bodyDiv w:val="1"/>
      <w:marLeft w:val="0"/>
      <w:marRight w:val="0"/>
      <w:marTop w:val="0"/>
      <w:marBottom w:val="0"/>
      <w:divBdr>
        <w:top w:val="none" w:sz="0" w:space="0" w:color="auto"/>
        <w:left w:val="none" w:sz="0" w:space="0" w:color="auto"/>
        <w:bottom w:val="none" w:sz="0" w:space="0" w:color="auto"/>
        <w:right w:val="none" w:sz="0" w:space="0" w:color="auto"/>
      </w:divBdr>
    </w:div>
    <w:div w:id="829564615">
      <w:bodyDiv w:val="1"/>
      <w:marLeft w:val="0"/>
      <w:marRight w:val="0"/>
      <w:marTop w:val="0"/>
      <w:marBottom w:val="0"/>
      <w:divBdr>
        <w:top w:val="none" w:sz="0" w:space="0" w:color="auto"/>
        <w:left w:val="none" w:sz="0" w:space="0" w:color="auto"/>
        <w:bottom w:val="none" w:sz="0" w:space="0" w:color="auto"/>
        <w:right w:val="none" w:sz="0" w:space="0" w:color="auto"/>
      </w:divBdr>
    </w:div>
    <w:div w:id="829711851">
      <w:bodyDiv w:val="1"/>
      <w:marLeft w:val="0"/>
      <w:marRight w:val="0"/>
      <w:marTop w:val="0"/>
      <w:marBottom w:val="0"/>
      <w:divBdr>
        <w:top w:val="none" w:sz="0" w:space="0" w:color="auto"/>
        <w:left w:val="none" w:sz="0" w:space="0" w:color="auto"/>
        <w:bottom w:val="none" w:sz="0" w:space="0" w:color="auto"/>
        <w:right w:val="none" w:sz="0" w:space="0" w:color="auto"/>
      </w:divBdr>
    </w:div>
    <w:div w:id="829757340">
      <w:bodyDiv w:val="1"/>
      <w:marLeft w:val="0"/>
      <w:marRight w:val="0"/>
      <w:marTop w:val="0"/>
      <w:marBottom w:val="0"/>
      <w:divBdr>
        <w:top w:val="none" w:sz="0" w:space="0" w:color="auto"/>
        <w:left w:val="none" w:sz="0" w:space="0" w:color="auto"/>
        <w:bottom w:val="none" w:sz="0" w:space="0" w:color="auto"/>
        <w:right w:val="none" w:sz="0" w:space="0" w:color="auto"/>
      </w:divBdr>
    </w:div>
    <w:div w:id="830293384">
      <w:bodyDiv w:val="1"/>
      <w:marLeft w:val="0"/>
      <w:marRight w:val="0"/>
      <w:marTop w:val="0"/>
      <w:marBottom w:val="0"/>
      <w:divBdr>
        <w:top w:val="none" w:sz="0" w:space="0" w:color="auto"/>
        <w:left w:val="none" w:sz="0" w:space="0" w:color="auto"/>
        <w:bottom w:val="none" w:sz="0" w:space="0" w:color="auto"/>
        <w:right w:val="none" w:sz="0" w:space="0" w:color="auto"/>
      </w:divBdr>
    </w:div>
    <w:div w:id="830829451">
      <w:bodyDiv w:val="1"/>
      <w:marLeft w:val="0"/>
      <w:marRight w:val="0"/>
      <w:marTop w:val="0"/>
      <w:marBottom w:val="0"/>
      <w:divBdr>
        <w:top w:val="none" w:sz="0" w:space="0" w:color="auto"/>
        <w:left w:val="none" w:sz="0" w:space="0" w:color="auto"/>
        <w:bottom w:val="none" w:sz="0" w:space="0" w:color="auto"/>
        <w:right w:val="none" w:sz="0" w:space="0" w:color="auto"/>
      </w:divBdr>
    </w:div>
    <w:div w:id="831943189">
      <w:bodyDiv w:val="1"/>
      <w:marLeft w:val="0"/>
      <w:marRight w:val="0"/>
      <w:marTop w:val="0"/>
      <w:marBottom w:val="0"/>
      <w:divBdr>
        <w:top w:val="none" w:sz="0" w:space="0" w:color="auto"/>
        <w:left w:val="none" w:sz="0" w:space="0" w:color="auto"/>
        <w:bottom w:val="none" w:sz="0" w:space="0" w:color="auto"/>
        <w:right w:val="none" w:sz="0" w:space="0" w:color="auto"/>
      </w:divBdr>
    </w:div>
    <w:div w:id="832797476">
      <w:bodyDiv w:val="1"/>
      <w:marLeft w:val="0"/>
      <w:marRight w:val="0"/>
      <w:marTop w:val="0"/>
      <w:marBottom w:val="0"/>
      <w:divBdr>
        <w:top w:val="none" w:sz="0" w:space="0" w:color="auto"/>
        <w:left w:val="none" w:sz="0" w:space="0" w:color="auto"/>
        <w:bottom w:val="none" w:sz="0" w:space="0" w:color="auto"/>
        <w:right w:val="none" w:sz="0" w:space="0" w:color="auto"/>
      </w:divBdr>
    </w:div>
    <w:div w:id="832912256">
      <w:bodyDiv w:val="1"/>
      <w:marLeft w:val="0"/>
      <w:marRight w:val="0"/>
      <w:marTop w:val="0"/>
      <w:marBottom w:val="0"/>
      <w:divBdr>
        <w:top w:val="none" w:sz="0" w:space="0" w:color="auto"/>
        <w:left w:val="none" w:sz="0" w:space="0" w:color="auto"/>
        <w:bottom w:val="none" w:sz="0" w:space="0" w:color="auto"/>
        <w:right w:val="none" w:sz="0" w:space="0" w:color="auto"/>
      </w:divBdr>
    </w:div>
    <w:div w:id="833447512">
      <w:bodyDiv w:val="1"/>
      <w:marLeft w:val="0"/>
      <w:marRight w:val="0"/>
      <w:marTop w:val="0"/>
      <w:marBottom w:val="0"/>
      <w:divBdr>
        <w:top w:val="none" w:sz="0" w:space="0" w:color="auto"/>
        <w:left w:val="none" w:sz="0" w:space="0" w:color="auto"/>
        <w:bottom w:val="none" w:sz="0" w:space="0" w:color="auto"/>
        <w:right w:val="none" w:sz="0" w:space="0" w:color="auto"/>
      </w:divBdr>
    </w:div>
    <w:div w:id="835071641">
      <w:bodyDiv w:val="1"/>
      <w:marLeft w:val="0"/>
      <w:marRight w:val="0"/>
      <w:marTop w:val="0"/>
      <w:marBottom w:val="0"/>
      <w:divBdr>
        <w:top w:val="none" w:sz="0" w:space="0" w:color="auto"/>
        <w:left w:val="none" w:sz="0" w:space="0" w:color="auto"/>
        <w:bottom w:val="none" w:sz="0" w:space="0" w:color="auto"/>
        <w:right w:val="none" w:sz="0" w:space="0" w:color="auto"/>
      </w:divBdr>
    </w:div>
    <w:div w:id="836264622">
      <w:bodyDiv w:val="1"/>
      <w:marLeft w:val="0"/>
      <w:marRight w:val="0"/>
      <w:marTop w:val="0"/>
      <w:marBottom w:val="0"/>
      <w:divBdr>
        <w:top w:val="none" w:sz="0" w:space="0" w:color="auto"/>
        <w:left w:val="none" w:sz="0" w:space="0" w:color="auto"/>
        <w:bottom w:val="none" w:sz="0" w:space="0" w:color="auto"/>
        <w:right w:val="none" w:sz="0" w:space="0" w:color="auto"/>
      </w:divBdr>
    </w:div>
    <w:div w:id="837426866">
      <w:bodyDiv w:val="1"/>
      <w:marLeft w:val="0"/>
      <w:marRight w:val="0"/>
      <w:marTop w:val="0"/>
      <w:marBottom w:val="0"/>
      <w:divBdr>
        <w:top w:val="none" w:sz="0" w:space="0" w:color="auto"/>
        <w:left w:val="none" w:sz="0" w:space="0" w:color="auto"/>
        <w:bottom w:val="none" w:sz="0" w:space="0" w:color="auto"/>
        <w:right w:val="none" w:sz="0" w:space="0" w:color="auto"/>
      </w:divBdr>
    </w:div>
    <w:div w:id="838236001">
      <w:bodyDiv w:val="1"/>
      <w:marLeft w:val="0"/>
      <w:marRight w:val="0"/>
      <w:marTop w:val="0"/>
      <w:marBottom w:val="0"/>
      <w:divBdr>
        <w:top w:val="none" w:sz="0" w:space="0" w:color="auto"/>
        <w:left w:val="none" w:sz="0" w:space="0" w:color="auto"/>
        <w:bottom w:val="none" w:sz="0" w:space="0" w:color="auto"/>
        <w:right w:val="none" w:sz="0" w:space="0" w:color="auto"/>
      </w:divBdr>
    </w:div>
    <w:div w:id="838271645">
      <w:bodyDiv w:val="1"/>
      <w:marLeft w:val="0"/>
      <w:marRight w:val="0"/>
      <w:marTop w:val="0"/>
      <w:marBottom w:val="0"/>
      <w:divBdr>
        <w:top w:val="none" w:sz="0" w:space="0" w:color="auto"/>
        <w:left w:val="none" w:sz="0" w:space="0" w:color="auto"/>
        <w:bottom w:val="none" w:sz="0" w:space="0" w:color="auto"/>
        <w:right w:val="none" w:sz="0" w:space="0" w:color="auto"/>
      </w:divBdr>
    </w:div>
    <w:div w:id="838353577">
      <w:bodyDiv w:val="1"/>
      <w:marLeft w:val="0"/>
      <w:marRight w:val="0"/>
      <w:marTop w:val="0"/>
      <w:marBottom w:val="0"/>
      <w:divBdr>
        <w:top w:val="none" w:sz="0" w:space="0" w:color="auto"/>
        <w:left w:val="none" w:sz="0" w:space="0" w:color="auto"/>
        <w:bottom w:val="none" w:sz="0" w:space="0" w:color="auto"/>
        <w:right w:val="none" w:sz="0" w:space="0" w:color="auto"/>
      </w:divBdr>
    </w:div>
    <w:div w:id="838425267">
      <w:bodyDiv w:val="1"/>
      <w:marLeft w:val="0"/>
      <w:marRight w:val="0"/>
      <w:marTop w:val="0"/>
      <w:marBottom w:val="0"/>
      <w:divBdr>
        <w:top w:val="none" w:sz="0" w:space="0" w:color="auto"/>
        <w:left w:val="none" w:sz="0" w:space="0" w:color="auto"/>
        <w:bottom w:val="none" w:sz="0" w:space="0" w:color="auto"/>
        <w:right w:val="none" w:sz="0" w:space="0" w:color="auto"/>
      </w:divBdr>
    </w:div>
    <w:div w:id="838734674">
      <w:bodyDiv w:val="1"/>
      <w:marLeft w:val="0"/>
      <w:marRight w:val="0"/>
      <w:marTop w:val="0"/>
      <w:marBottom w:val="0"/>
      <w:divBdr>
        <w:top w:val="none" w:sz="0" w:space="0" w:color="auto"/>
        <w:left w:val="none" w:sz="0" w:space="0" w:color="auto"/>
        <w:bottom w:val="none" w:sz="0" w:space="0" w:color="auto"/>
        <w:right w:val="none" w:sz="0" w:space="0" w:color="auto"/>
      </w:divBdr>
    </w:div>
    <w:div w:id="838931927">
      <w:bodyDiv w:val="1"/>
      <w:marLeft w:val="0"/>
      <w:marRight w:val="0"/>
      <w:marTop w:val="0"/>
      <w:marBottom w:val="0"/>
      <w:divBdr>
        <w:top w:val="none" w:sz="0" w:space="0" w:color="auto"/>
        <w:left w:val="none" w:sz="0" w:space="0" w:color="auto"/>
        <w:bottom w:val="none" w:sz="0" w:space="0" w:color="auto"/>
        <w:right w:val="none" w:sz="0" w:space="0" w:color="auto"/>
      </w:divBdr>
    </w:div>
    <w:div w:id="839657118">
      <w:bodyDiv w:val="1"/>
      <w:marLeft w:val="0"/>
      <w:marRight w:val="0"/>
      <w:marTop w:val="0"/>
      <w:marBottom w:val="0"/>
      <w:divBdr>
        <w:top w:val="none" w:sz="0" w:space="0" w:color="auto"/>
        <w:left w:val="none" w:sz="0" w:space="0" w:color="auto"/>
        <w:bottom w:val="none" w:sz="0" w:space="0" w:color="auto"/>
        <w:right w:val="none" w:sz="0" w:space="0" w:color="auto"/>
      </w:divBdr>
    </w:div>
    <w:div w:id="841312778">
      <w:bodyDiv w:val="1"/>
      <w:marLeft w:val="0"/>
      <w:marRight w:val="0"/>
      <w:marTop w:val="0"/>
      <w:marBottom w:val="0"/>
      <w:divBdr>
        <w:top w:val="none" w:sz="0" w:space="0" w:color="auto"/>
        <w:left w:val="none" w:sz="0" w:space="0" w:color="auto"/>
        <w:bottom w:val="none" w:sz="0" w:space="0" w:color="auto"/>
        <w:right w:val="none" w:sz="0" w:space="0" w:color="auto"/>
      </w:divBdr>
    </w:div>
    <w:div w:id="841899577">
      <w:bodyDiv w:val="1"/>
      <w:marLeft w:val="0"/>
      <w:marRight w:val="0"/>
      <w:marTop w:val="0"/>
      <w:marBottom w:val="0"/>
      <w:divBdr>
        <w:top w:val="none" w:sz="0" w:space="0" w:color="auto"/>
        <w:left w:val="none" w:sz="0" w:space="0" w:color="auto"/>
        <w:bottom w:val="none" w:sz="0" w:space="0" w:color="auto"/>
        <w:right w:val="none" w:sz="0" w:space="0" w:color="auto"/>
      </w:divBdr>
    </w:div>
    <w:div w:id="842359079">
      <w:bodyDiv w:val="1"/>
      <w:marLeft w:val="0"/>
      <w:marRight w:val="0"/>
      <w:marTop w:val="0"/>
      <w:marBottom w:val="0"/>
      <w:divBdr>
        <w:top w:val="none" w:sz="0" w:space="0" w:color="auto"/>
        <w:left w:val="none" w:sz="0" w:space="0" w:color="auto"/>
        <w:bottom w:val="none" w:sz="0" w:space="0" w:color="auto"/>
        <w:right w:val="none" w:sz="0" w:space="0" w:color="auto"/>
      </w:divBdr>
    </w:div>
    <w:div w:id="843126668">
      <w:bodyDiv w:val="1"/>
      <w:marLeft w:val="0"/>
      <w:marRight w:val="0"/>
      <w:marTop w:val="0"/>
      <w:marBottom w:val="0"/>
      <w:divBdr>
        <w:top w:val="none" w:sz="0" w:space="0" w:color="auto"/>
        <w:left w:val="none" w:sz="0" w:space="0" w:color="auto"/>
        <w:bottom w:val="none" w:sz="0" w:space="0" w:color="auto"/>
        <w:right w:val="none" w:sz="0" w:space="0" w:color="auto"/>
      </w:divBdr>
    </w:div>
    <w:div w:id="843786795">
      <w:bodyDiv w:val="1"/>
      <w:marLeft w:val="0"/>
      <w:marRight w:val="0"/>
      <w:marTop w:val="0"/>
      <w:marBottom w:val="0"/>
      <w:divBdr>
        <w:top w:val="none" w:sz="0" w:space="0" w:color="auto"/>
        <w:left w:val="none" w:sz="0" w:space="0" w:color="auto"/>
        <w:bottom w:val="none" w:sz="0" w:space="0" w:color="auto"/>
        <w:right w:val="none" w:sz="0" w:space="0" w:color="auto"/>
      </w:divBdr>
    </w:div>
    <w:div w:id="844710348">
      <w:bodyDiv w:val="1"/>
      <w:marLeft w:val="0"/>
      <w:marRight w:val="0"/>
      <w:marTop w:val="0"/>
      <w:marBottom w:val="0"/>
      <w:divBdr>
        <w:top w:val="none" w:sz="0" w:space="0" w:color="auto"/>
        <w:left w:val="none" w:sz="0" w:space="0" w:color="auto"/>
        <w:bottom w:val="none" w:sz="0" w:space="0" w:color="auto"/>
        <w:right w:val="none" w:sz="0" w:space="0" w:color="auto"/>
      </w:divBdr>
    </w:div>
    <w:div w:id="845171238">
      <w:bodyDiv w:val="1"/>
      <w:marLeft w:val="0"/>
      <w:marRight w:val="0"/>
      <w:marTop w:val="0"/>
      <w:marBottom w:val="0"/>
      <w:divBdr>
        <w:top w:val="none" w:sz="0" w:space="0" w:color="auto"/>
        <w:left w:val="none" w:sz="0" w:space="0" w:color="auto"/>
        <w:bottom w:val="none" w:sz="0" w:space="0" w:color="auto"/>
        <w:right w:val="none" w:sz="0" w:space="0" w:color="auto"/>
      </w:divBdr>
    </w:div>
    <w:div w:id="847914895">
      <w:bodyDiv w:val="1"/>
      <w:marLeft w:val="0"/>
      <w:marRight w:val="0"/>
      <w:marTop w:val="0"/>
      <w:marBottom w:val="0"/>
      <w:divBdr>
        <w:top w:val="none" w:sz="0" w:space="0" w:color="auto"/>
        <w:left w:val="none" w:sz="0" w:space="0" w:color="auto"/>
        <w:bottom w:val="none" w:sz="0" w:space="0" w:color="auto"/>
        <w:right w:val="none" w:sz="0" w:space="0" w:color="auto"/>
      </w:divBdr>
    </w:div>
    <w:div w:id="848065517">
      <w:bodyDiv w:val="1"/>
      <w:marLeft w:val="0"/>
      <w:marRight w:val="0"/>
      <w:marTop w:val="0"/>
      <w:marBottom w:val="0"/>
      <w:divBdr>
        <w:top w:val="none" w:sz="0" w:space="0" w:color="auto"/>
        <w:left w:val="none" w:sz="0" w:space="0" w:color="auto"/>
        <w:bottom w:val="none" w:sz="0" w:space="0" w:color="auto"/>
        <w:right w:val="none" w:sz="0" w:space="0" w:color="auto"/>
      </w:divBdr>
    </w:div>
    <w:div w:id="848904739">
      <w:bodyDiv w:val="1"/>
      <w:marLeft w:val="0"/>
      <w:marRight w:val="0"/>
      <w:marTop w:val="0"/>
      <w:marBottom w:val="0"/>
      <w:divBdr>
        <w:top w:val="none" w:sz="0" w:space="0" w:color="auto"/>
        <w:left w:val="none" w:sz="0" w:space="0" w:color="auto"/>
        <w:bottom w:val="none" w:sz="0" w:space="0" w:color="auto"/>
        <w:right w:val="none" w:sz="0" w:space="0" w:color="auto"/>
      </w:divBdr>
    </w:div>
    <w:div w:id="848985089">
      <w:bodyDiv w:val="1"/>
      <w:marLeft w:val="0"/>
      <w:marRight w:val="0"/>
      <w:marTop w:val="0"/>
      <w:marBottom w:val="0"/>
      <w:divBdr>
        <w:top w:val="none" w:sz="0" w:space="0" w:color="auto"/>
        <w:left w:val="none" w:sz="0" w:space="0" w:color="auto"/>
        <w:bottom w:val="none" w:sz="0" w:space="0" w:color="auto"/>
        <w:right w:val="none" w:sz="0" w:space="0" w:color="auto"/>
      </w:divBdr>
    </w:div>
    <w:div w:id="849563414">
      <w:bodyDiv w:val="1"/>
      <w:marLeft w:val="0"/>
      <w:marRight w:val="0"/>
      <w:marTop w:val="0"/>
      <w:marBottom w:val="0"/>
      <w:divBdr>
        <w:top w:val="none" w:sz="0" w:space="0" w:color="auto"/>
        <w:left w:val="none" w:sz="0" w:space="0" w:color="auto"/>
        <w:bottom w:val="none" w:sz="0" w:space="0" w:color="auto"/>
        <w:right w:val="none" w:sz="0" w:space="0" w:color="auto"/>
      </w:divBdr>
    </w:div>
    <w:div w:id="850296384">
      <w:bodyDiv w:val="1"/>
      <w:marLeft w:val="0"/>
      <w:marRight w:val="0"/>
      <w:marTop w:val="0"/>
      <w:marBottom w:val="0"/>
      <w:divBdr>
        <w:top w:val="none" w:sz="0" w:space="0" w:color="auto"/>
        <w:left w:val="none" w:sz="0" w:space="0" w:color="auto"/>
        <w:bottom w:val="none" w:sz="0" w:space="0" w:color="auto"/>
        <w:right w:val="none" w:sz="0" w:space="0" w:color="auto"/>
      </w:divBdr>
    </w:div>
    <w:div w:id="851645000">
      <w:bodyDiv w:val="1"/>
      <w:marLeft w:val="0"/>
      <w:marRight w:val="0"/>
      <w:marTop w:val="0"/>
      <w:marBottom w:val="0"/>
      <w:divBdr>
        <w:top w:val="none" w:sz="0" w:space="0" w:color="auto"/>
        <w:left w:val="none" w:sz="0" w:space="0" w:color="auto"/>
        <w:bottom w:val="none" w:sz="0" w:space="0" w:color="auto"/>
        <w:right w:val="none" w:sz="0" w:space="0" w:color="auto"/>
      </w:divBdr>
    </w:div>
    <w:div w:id="853036461">
      <w:bodyDiv w:val="1"/>
      <w:marLeft w:val="0"/>
      <w:marRight w:val="0"/>
      <w:marTop w:val="0"/>
      <w:marBottom w:val="0"/>
      <w:divBdr>
        <w:top w:val="none" w:sz="0" w:space="0" w:color="auto"/>
        <w:left w:val="none" w:sz="0" w:space="0" w:color="auto"/>
        <w:bottom w:val="none" w:sz="0" w:space="0" w:color="auto"/>
        <w:right w:val="none" w:sz="0" w:space="0" w:color="auto"/>
      </w:divBdr>
    </w:div>
    <w:div w:id="853501048">
      <w:bodyDiv w:val="1"/>
      <w:marLeft w:val="0"/>
      <w:marRight w:val="0"/>
      <w:marTop w:val="0"/>
      <w:marBottom w:val="0"/>
      <w:divBdr>
        <w:top w:val="none" w:sz="0" w:space="0" w:color="auto"/>
        <w:left w:val="none" w:sz="0" w:space="0" w:color="auto"/>
        <w:bottom w:val="none" w:sz="0" w:space="0" w:color="auto"/>
        <w:right w:val="none" w:sz="0" w:space="0" w:color="auto"/>
      </w:divBdr>
    </w:div>
    <w:div w:id="853616185">
      <w:bodyDiv w:val="1"/>
      <w:marLeft w:val="0"/>
      <w:marRight w:val="0"/>
      <w:marTop w:val="0"/>
      <w:marBottom w:val="0"/>
      <w:divBdr>
        <w:top w:val="none" w:sz="0" w:space="0" w:color="auto"/>
        <w:left w:val="none" w:sz="0" w:space="0" w:color="auto"/>
        <w:bottom w:val="none" w:sz="0" w:space="0" w:color="auto"/>
        <w:right w:val="none" w:sz="0" w:space="0" w:color="auto"/>
      </w:divBdr>
    </w:div>
    <w:div w:id="856892100">
      <w:bodyDiv w:val="1"/>
      <w:marLeft w:val="0"/>
      <w:marRight w:val="0"/>
      <w:marTop w:val="0"/>
      <w:marBottom w:val="0"/>
      <w:divBdr>
        <w:top w:val="none" w:sz="0" w:space="0" w:color="auto"/>
        <w:left w:val="none" w:sz="0" w:space="0" w:color="auto"/>
        <w:bottom w:val="none" w:sz="0" w:space="0" w:color="auto"/>
        <w:right w:val="none" w:sz="0" w:space="0" w:color="auto"/>
      </w:divBdr>
    </w:div>
    <w:div w:id="858272212">
      <w:bodyDiv w:val="1"/>
      <w:marLeft w:val="0"/>
      <w:marRight w:val="0"/>
      <w:marTop w:val="0"/>
      <w:marBottom w:val="0"/>
      <w:divBdr>
        <w:top w:val="none" w:sz="0" w:space="0" w:color="auto"/>
        <w:left w:val="none" w:sz="0" w:space="0" w:color="auto"/>
        <w:bottom w:val="none" w:sz="0" w:space="0" w:color="auto"/>
        <w:right w:val="none" w:sz="0" w:space="0" w:color="auto"/>
      </w:divBdr>
    </w:div>
    <w:div w:id="858663276">
      <w:bodyDiv w:val="1"/>
      <w:marLeft w:val="0"/>
      <w:marRight w:val="0"/>
      <w:marTop w:val="0"/>
      <w:marBottom w:val="0"/>
      <w:divBdr>
        <w:top w:val="none" w:sz="0" w:space="0" w:color="auto"/>
        <w:left w:val="none" w:sz="0" w:space="0" w:color="auto"/>
        <w:bottom w:val="none" w:sz="0" w:space="0" w:color="auto"/>
        <w:right w:val="none" w:sz="0" w:space="0" w:color="auto"/>
      </w:divBdr>
    </w:div>
    <w:div w:id="859395628">
      <w:bodyDiv w:val="1"/>
      <w:marLeft w:val="0"/>
      <w:marRight w:val="0"/>
      <w:marTop w:val="0"/>
      <w:marBottom w:val="0"/>
      <w:divBdr>
        <w:top w:val="none" w:sz="0" w:space="0" w:color="auto"/>
        <w:left w:val="none" w:sz="0" w:space="0" w:color="auto"/>
        <w:bottom w:val="none" w:sz="0" w:space="0" w:color="auto"/>
        <w:right w:val="none" w:sz="0" w:space="0" w:color="auto"/>
      </w:divBdr>
    </w:div>
    <w:div w:id="860823274">
      <w:bodyDiv w:val="1"/>
      <w:marLeft w:val="0"/>
      <w:marRight w:val="0"/>
      <w:marTop w:val="0"/>
      <w:marBottom w:val="0"/>
      <w:divBdr>
        <w:top w:val="none" w:sz="0" w:space="0" w:color="auto"/>
        <w:left w:val="none" w:sz="0" w:space="0" w:color="auto"/>
        <w:bottom w:val="none" w:sz="0" w:space="0" w:color="auto"/>
        <w:right w:val="none" w:sz="0" w:space="0" w:color="auto"/>
      </w:divBdr>
    </w:div>
    <w:div w:id="861239402">
      <w:bodyDiv w:val="1"/>
      <w:marLeft w:val="0"/>
      <w:marRight w:val="0"/>
      <w:marTop w:val="0"/>
      <w:marBottom w:val="0"/>
      <w:divBdr>
        <w:top w:val="none" w:sz="0" w:space="0" w:color="auto"/>
        <w:left w:val="none" w:sz="0" w:space="0" w:color="auto"/>
        <w:bottom w:val="none" w:sz="0" w:space="0" w:color="auto"/>
        <w:right w:val="none" w:sz="0" w:space="0" w:color="auto"/>
      </w:divBdr>
    </w:div>
    <w:div w:id="863322481">
      <w:bodyDiv w:val="1"/>
      <w:marLeft w:val="0"/>
      <w:marRight w:val="0"/>
      <w:marTop w:val="0"/>
      <w:marBottom w:val="0"/>
      <w:divBdr>
        <w:top w:val="none" w:sz="0" w:space="0" w:color="auto"/>
        <w:left w:val="none" w:sz="0" w:space="0" w:color="auto"/>
        <w:bottom w:val="none" w:sz="0" w:space="0" w:color="auto"/>
        <w:right w:val="none" w:sz="0" w:space="0" w:color="auto"/>
      </w:divBdr>
    </w:div>
    <w:div w:id="863397235">
      <w:bodyDiv w:val="1"/>
      <w:marLeft w:val="0"/>
      <w:marRight w:val="0"/>
      <w:marTop w:val="0"/>
      <w:marBottom w:val="0"/>
      <w:divBdr>
        <w:top w:val="none" w:sz="0" w:space="0" w:color="auto"/>
        <w:left w:val="none" w:sz="0" w:space="0" w:color="auto"/>
        <w:bottom w:val="none" w:sz="0" w:space="0" w:color="auto"/>
        <w:right w:val="none" w:sz="0" w:space="0" w:color="auto"/>
      </w:divBdr>
    </w:div>
    <w:div w:id="863635424">
      <w:bodyDiv w:val="1"/>
      <w:marLeft w:val="0"/>
      <w:marRight w:val="0"/>
      <w:marTop w:val="0"/>
      <w:marBottom w:val="0"/>
      <w:divBdr>
        <w:top w:val="none" w:sz="0" w:space="0" w:color="auto"/>
        <w:left w:val="none" w:sz="0" w:space="0" w:color="auto"/>
        <w:bottom w:val="none" w:sz="0" w:space="0" w:color="auto"/>
        <w:right w:val="none" w:sz="0" w:space="0" w:color="auto"/>
      </w:divBdr>
    </w:div>
    <w:div w:id="864293377">
      <w:bodyDiv w:val="1"/>
      <w:marLeft w:val="0"/>
      <w:marRight w:val="0"/>
      <w:marTop w:val="0"/>
      <w:marBottom w:val="0"/>
      <w:divBdr>
        <w:top w:val="none" w:sz="0" w:space="0" w:color="auto"/>
        <w:left w:val="none" w:sz="0" w:space="0" w:color="auto"/>
        <w:bottom w:val="none" w:sz="0" w:space="0" w:color="auto"/>
        <w:right w:val="none" w:sz="0" w:space="0" w:color="auto"/>
      </w:divBdr>
    </w:div>
    <w:div w:id="864487318">
      <w:bodyDiv w:val="1"/>
      <w:marLeft w:val="0"/>
      <w:marRight w:val="0"/>
      <w:marTop w:val="0"/>
      <w:marBottom w:val="0"/>
      <w:divBdr>
        <w:top w:val="none" w:sz="0" w:space="0" w:color="auto"/>
        <w:left w:val="none" w:sz="0" w:space="0" w:color="auto"/>
        <w:bottom w:val="none" w:sz="0" w:space="0" w:color="auto"/>
        <w:right w:val="none" w:sz="0" w:space="0" w:color="auto"/>
      </w:divBdr>
    </w:div>
    <w:div w:id="867067309">
      <w:bodyDiv w:val="1"/>
      <w:marLeft w:val="0"/>
      <w:marRight w:val="0"/>
      <w:marTop w:val="0"/>
      <w:marBottom w:val="0"/>
      <w:divBdr>
        <w:top w:val="none" w:sz="0" w:space="0" w:color="auto"/>
        <w:left w:val="none" w:sz="0" w:space="0" w:color="auto"/>
        <w:bottom w:val="none" w:sz="0" w:space="0" w:color="auto"/>
        <w:right w:val="none" w:sz="0" w:space="0" w:color="auto"/>
      </w:divBdr>
    </w:div>
    <w:div w:id="868950941">
      <w:bodyDiv w:val="1"/>
      <w:marLeft w:val="0"/>
      <w:marRight w:val="0"/>
      <w:marTop w:val="0"/>
      <w:marBottom w:val="0"/>
      <w:divBdr>
        <w:top w:val="none" w:sz="0" w:space="0" w:color="auto"/>
        <w:left w:val="none" w:sz="0" w:space="0" w:color="auto"/>
        <w:bottom w:val="none" w:sz="0" w:space="0" w:color="auto"/>
        <w:right w:val="none" w:sz="0" w:space="0" w:color="auto"/>
      </w:divBdr>
    </w:div>
    <w:div w:id="869298575">
      <w:bodyDiv w:val="1"/>
      <w:marLeft w:val="0"/>
      <w:marRight w:val="0"/>
      <w:marTop w:val="0"/>
      <w:marBottom w:val="0"/>
      <w:divBdr>
        <w:top w:val="none" w:sz="0" w:space="0" w:color="auto"/>
        <w:left w:val="none" w:sz="0" w:space="0" w:color="auto"/>
        <w:bottom w:val="none" w:sz="0" w:space="0" w:color="auto"/>
        <w:right w:val="none" w:sz="0" w:space="0" w:color="auto"/>
      </w:divBdr>
    </w:div>
    <w:div w:id="869993120">
      <w:bodyDiv w:val="1"/>
      <w:marLeft w:val="0"/>
      <w:marRight w:val="0"/>
      <w:marTop w:val="0"/>
      <w:marBottom w:val="0"/>
      <w:divBdr>
        <w:top w:val="none" w:sz="0" w:space="0" w:color="auto"/>
        <w:left w:val="none" w:sz="0" w:space="0" w:color="auto"/>
        <w:bottom w:val="none" w:sz="0" w:space="0" w:color="auto"/>
        <w:right w:val="none" w:sz="0" w:space="0" w:color="auto"/>
      </w:divBdr>
    </w:div>
    <w:div w:id="870536410">
      <w:bodyDiv w:val="1"/>
      <w:marLeft w:val="0"/>
      <w:marRight w:val="0"/>
      <w:marTop w:val="0"/>
      <w:marBottom w:val="0"/>
      <w:divBdr>
        <w:top w:val="none" w:sz="0" w:space="0" w:color="auto"/>
        <w:left w:val="none" w:sz="0" w:space="0" w:color="auto"/>
        <w:bottom w:val="none" w:sz="0" w:space="0" w:color="auto"/>
        <w:right w:val="none" w:sz="0" w:space="0" w:color="auto"/>
      </w:divBdr>
    </w:div>
    <w:div w:id="870610207">
      <w:bodyDiv w:val="1"/>
      <w:marLeft w:val="0"/>
      <w:marRight w:val="0"/>
      <w:marTop w:val="0"/>
      <w:marBottom w:val="0"/>
      <w:divBdr>
        <w:top w:val="none" w:sz="0" w:space="0" w:color="auto"/>
        <w:left w:val="none" w:sz="0" w:space="0" w:color="auto"/>
        <w:bottom w:val="none" w:sz="0" w:space="0" w:color="auto"/>
        <w:right w:val="none" w:sz="0" w:space="0" w:color="auto"/>
      </w:divBdr>
    </w:div>
    <w:div w:id="871190741">
      <w:bodyDiv w:val="1"/>
      <w:marLeft w:val="0"/>
      <w:marRight w:val="0"/>
      <w:marTop w:val="0"/>
      <w:marBottom w:val="0"/>
      <w:divBdr>
        <w:top w:val="none" w:sz="0" w:space="0" w:color="auto"/>
        <w:left w:val="none" w:sz="0" w:space="0" w:color="auto"/>
        <w:bottom w:val="none" w:sz="0" w:space="0" w:color="auto"/>
        <w:right w:val="none" w:sz="0" w:space="0" w:color="auto"/>
      </w:divBdr>
    </w:div>
    <w:div w:id="871528284">
      <w:bodyDiv w:val="1"/>
      <w:marLeft w:val="0"/>
      <w:marRight w:val="0"/>
      <w:marTop w:val="0"/>
      <w:marBottom w:val="0"/>
      <w:divBdr>
        <w:top w:val="none" w:sz="0" w:space="0" w:color="auto"/>
        <w:left w:val="none" w:sz="0" w:space="0" w:color="auto"/>
        <w:bottom w:val="none" w:sz="0" w:space="0" w:color="auto"/>
        <w:right w:val="none" w:sz="0" w:space="0" w:color="auto"/>
      </w:divBdr>
    </w:div>
    <w:div w:id="871767286">
      <w:bodyDiv w:val="1"/>
      <w:marLeft w:val="0"/>
      <w:marRight w:val="0"/>
      <w:marTop w:val="0"/>
      <w:marBottom w:val="0"/>
      <w:divBdr>
        <w:top w:val="none" w:sz="0" w:space="0" w:color="auto"/>
        <w:left w:val="none" w:sz="0" w:space="0" w:color="auto"/>
        <w:bottom w:val="none" w:sz="0" w:space="0" w:color="auto"/>
        <w:right w:val="none" w:sz="0" w:space="0" w:color="auto"/>
      </w:divBdr>
    </w:div>
    <w:div w:id="872110460">
      <w:bodyDiv w:val="1"/>
      <w:marLeft w:val="0"/>
      <w:marRight w:val="0"/>
      <w:marTop w:val="0"/>
      <w:marBottom w:val="0"/>
      <w:divBdr>
        <w:top w:val="none" w:sz="0" w:space="0" w:color="auto"/>
        <w:left w:val="none" w:sz="0" w:space="0" w:color="auto"/>
        <w:bottom w:val="none" w:sz="0" w:space="0" w:color="auto"/>
        <w:right w:val="none" w:sz="0" w:space="0" w:color="auto"/>
      </w:divBdr>
    </w:div>
    <w:div w:id="872691331">
      <w:bodyDiv w:val="1"/>
      <w:marLeft w:val="0"/>
      <w:marRight w:val="0"/>
      <w:marTop w:val="0"/>
      <w:marBottom w:val="0"/>
      <w:divBdr>
        <w:top w:val="none" w:sz="0" w:space="0" w:color="auto"/>
        <w:left w:val="none" w:sz="0" w:space="0" w:color="auto"/>
        <w:bottom w:val="none" w:sz="0" w:space="0" w:color="auto"/>
        <w:right w:val="none" w:sz="0" w:space="0" w:color="auto"/>
      </w:divBdr>
    </w:div>
    <w:div w:id="873806469">
      <w:bodyDiv w:val="1"/>
      <w:marLeft w:val="0"/>
      <w:marRight w:val="0"/>
      <w:marTop w:val="0"/>
      <w:marBottom w:val="0"/>
      <w:divBdr>
        <w:top w:val="none" w:sz="0" w:space="0" w:color="auto"/>
        <w:left w:val="none" w:sz="0" w:space="0" w:color="auto"/>
        <w:bottom w:val="none" w:sz="0" w:space="0" w:color="auto"/>
        <w:right w:val="none" w:sz="0" w:space="0" w:color="auto"/>
      </w:divBdr>
    </w:div>
    <w:div w:id="874465356">
      <w:bodyDiv w:val="1"/>
      <w:marLeft w:val="0"/>
      <w:marRight w:val="0"/>
      <w:marTop w:val="0"/>
      <w:marBottom w:val="0"/>
      <w:divBdr>
        <w:top w:val="none" w:sz="0" w:space="0" w:color="auto"/>
        <w:left w:val="none" w:sz="0" w:space="0" w:color="auto"/>
        <w:bottom w:val="none" w:sz="0" w:space="0" w:color="auto"/>
        <w:right w:val="none" w:sz="0" w:space="0" w:color="auto"/>
      </w:divBdr>
    </w:div>
    <w:div w:id="874847130">
      <w:bodyDiv w:val="1"/>
      <w:marLeft w:val="0"/>
      <w:marRight w:val="0"/>
      <w:marTop w:val="0"/>
      <w:marBottom w:val="0"/>
      <w:divBdr>
        <w:top w:val="none" w:sz="0" w:space="0" w:color="auto"/>
        <w:left w:val="none" w:sz="0" w:space="0" w:color="auto"/>
        <w:bottom w:val="none" w:sz="0" w:space="0" w:color="auto"/>
        <w:right w:val="none" w:sz="0" w:space="0" w:color="auto"/>
      </w:divBdr>
    </w:div>
    <w:div w:id="875775495">
      <w:bodyDiv w:val="1"/>
      <w:marLeft w:val="0"/>
      <w:marRight w:val="0"/>
      <w:marTop w:val="0"/>
      <w:marBottom w:val="0"/>
      <w:divBdr>
        <w:top w:val="none" w:sz="0" w:space="0" w:color="auto"/>
        <w:left w:val="none" w:sz="0" w:space="0" w:color="auto"/>
        <w:bottom w:val="none" w:sz="0" w:space="0" w:color="auto"/>
        <w:right w:val="none" w:sz="0" w:space="0" w:color="auto"/>
      </w:divBdr>
    </w:div>
    <w:div w:id="877398146">
      <w:bodyDiv w:val="1"/>
      <w:marLeft w:val="0"/>
      <w:marRight w:val="0"/>
      <w:marTop w:val="0"/>
      <w:marBottom w:val="0"/>
      <w:divBdr>
        <w:top w:val="none" w:sz="0" w:space="0" w:color="auto"/>
        <w:left w:val="none" w:sz="0" w:space="0" w:color="auto"/>
        <w:bottom w:val="none" w:sz="0" w:space="0" w:color="auto"/>
        <w:right w:val="none" w:sz="0" w:space="0" w:color="auto"/>
      </w:divBdr>
    </w:div>
    <w:div w:id="877816274">
      <w:bodyDiv w:val="1"/>
      <w:marLeft w:val="0"/>
      <w:marRight w:val="0"/>
      <w:marTop w:val="0"/>
      <w:marBottom w:val="0"/>
      <w:divBdr>
        <w:top w:val="none" w:sz="0" w:space="0" w:color="auto"/>
        <w:left w:val="none" w:sz="0" w:space="0" w:color="auto"/>
        <w:bottom w:val="none" w:sz="0" w:space="0" w:color="auto"/>
        <w:right w:val="none" w:sz="0" w:space="0" w:color="auto"/>
      </w:divBdr>
    </w:div>
    <w:div w:id="878660899">
      <w:bodyDiv w:val="1"/>
      <w:marLeft w:val="0"/>
      <w:marRight w:val="0"/>
      <w:marTop w:val="0"/>
      <w:marBottom w:val="0"/>
      <w:divBdr>
        <w:top w:val="none" w:sz="0" w:space="0" w:color="auto"/>
        <w:left w:val="none" w:sz="0" w:space="0" w:color="auto"/>
        <w:bottom w:val="none" w:sz="0" w:space="0" w:color="auto"/>
        <w:right w:val="none" w:sz="0" w:space="0" w:color="auto"/>
      </w:divBdr>
    </w:div>
    <w:div w:id="878711429">
      <w:bodyDiv w:val="1"/>
      <w:marLeft w:val="0"/>
      <w:marRight w:val="0"/>
      <w:marTop w:val="0"/>
      <w:marBottom w:val="0"/>
      <w:divBdr>
        <w:top w:val="none" w:sz="0" w:space="0" w:color="auto"/>
        <w:left w:val="none" w:sz="0" w:space="0" w:color="auto"/>
        <w:bottom w:val="none" w:sz="0" w:space="0" w:color="auto"/>
        <w:right w:val="none" w:sz="0" w:space="0" w:color="auto"/>
      </w:divBdr>
    </w:div>
    <w:div w:id="879442134">
      <w:bodyDiv w:val="1"/>
      <w:marLeft w:val="0"/>
      <w:marRight w:val="0"/>
      <w:marTop w:val="0"/>
      <w:marBottom w:val="0"/>
      <w:divBdr>
        <w:top w:val="none" w:sz="0" w:space="0" w:color="auto"/>
        <w:left w:val="none" w:sz="0" w:space="0" w:color="auto"/>
        <w:bottom w:val="none" w:sz="0" w:space="0" w:color="auto"/>
        <w:right w:val="none" w:sz="0" w:space="0" w:color="auto"/>
      </w:divBdr>
    </w:div>
    <w:div w:id="879442384">
      <w:bodyDiv w:val="1"/>
      <w:marLeft w:val="0"/>
      <w:marRight w:val="0"/>
      <w:marTop w:val="0"/>
      <w:marBottom w:val="0"/>
      <w:divBdr>
        <w:top w:val="none" w:sz="0" w:space="0" w:color="auto"/>
        <w:left w:val="none" w:sz="0" w:space="0" w:color="auto"/>
        <w:bottom w:val="none" w:sz="0" w:space="0" w:color="auto"/>
        <w:right w:val="none" w:sz="0" w:space="0" w:color="auto"/>
      </w:divBdr>
    </w:div>
    <w:div w:id="879782100">
      <w:bodyDiv w:val="1"/>
      <w:marLeft w:val="0"/>
      <w:marRight w:val="0"/>
      <w:marTop w:val="0"/>
      <w:marBottom w:val="0"/>
      <w:divBdr>
        <w:top w:val="none" w:sz="0" w:space="0" w:color="auto"/>
        <w:left w:val="none" w:sz="0" w:space="0" w:color="auto"/>
        <w:bottom w:val="none" w:sz="0" w:space="0" w:color="auto"/>
        <w:right w:val="none" w:sz="0" w:space="0" w:color="auto"/>
      </w:divBdr>
    </w:div>
    <w:div w:id="881288261">
      <w:bodyDiv w:val="1"/>
      <w:marLeft w:val="0"/>
      <w:marRight w:val="0"/>
      <w:marTop w:val="0"/>
      <w:marBottom w:val="0"/>
      <w:divBdr>
        <w:top w:val="none" w:sz="0" w:space="0" w:color="auto"/>
        <w:left w:val="none" w:sz="0" w:space="0" w:color="auto"/>
        <w:bottom w:val="none" w:sz="0" w:space="0" w:color="auto"/>
        <w:right w:val="none" w:sz="0" w:space="0" w:color="auto"/>
      </w:divBdr>
    </w:div>
    <w:div w:id="882400795">
      <w:bodyDiv w:val="1"/>
      <w:marLeft w:val="0"/>
      <w:marRight w:val="0"/>
      <w:marTop w:val="0"/>
      <w:marBottom w:val="0"/>
      <w:divBdr>
        <w:top w:val="none" w:sz="0" w:space="0" w:color="auto"/>
        <w:left w:val="none" w:sz="0" w:space="0" w:color="auto"/>
        <w:bottom w:val="none" w:sz="0" w:space="0" w:color="auto"/>
        <w:right w:val="none" w:sz="0" w:space="0" w:color="auto"/>
      </w:divBdr>
    </w:div>
    <w:div w:id="886338939">
      <w:bodyDiv w:val="1"/>
      <w:marLeft w:val="0"/>
      <w:marRight w:val="0"/>
      <w:marTop w:val="0"/>
      <w:marBottom w:val="0"/>
      <w:divBdr>
        <w:top w:val="none" w:sz="0" w:space="0" w:color="auto"/>
        <w:left w:val="none" w:sz="0" w:space="0" w:color="auto"/>
        <w:bottom w:val="none" w:sz="0" w:space="0" w:color="auto"/>
        <w:right w:val="none" w:sz="0" w:space="0" w:color="auto"/>
      </w:divBdr>
    </w:div>
    <w:div w:id="886794055">
      <w:bodyDiv w:val="1"/>
      <w:marLeft w:val="0"/>
      <w:marRight w:val="0"/>
      <w:marTop w:val="0"/>
      <w:marBottom w:val="0"/>
      <w:divBdr>
        <w:top w:val="none" w:sz="0" w:space="0" w:color="auto"/>
        <w:left w:val="none" w:sz="0" w:space="0" w:color="auto"/>
        <w:bottom w:val="none" w:sz="0" w:space="0" w:color="auto"/>
        <w:right w:val="none" w:sz="0" w:space="0" w:color="auto"/>
      </w:divBdr>
    </w:div>
    <w:div w:id="887111361">
      <w:bodyDiv w:val="1"/>
      <w:marLeft w:val="0"/>
      <w:marRight w:val="0"/>
      <w:marTop w:val="0"/>
      <w:marBottom w:val="0"/>
      <w:divBdr>
        <w:top w:val="none" w:sz="0" w:space="0" w:color="auto"/>
        <w:left w:val="none" w:sz="0" w:space="0" w:color="auto"/>
        <w:bottom w:val="none" w:sz="0" w:space="0" w:color="auto"/>
        <w:right w:val="none" w:sz="0" w:space="0" w:color="auto"/>
      </w:divBdr>
    </w:div>
    <w:div w:id="887187109">
      <w:bodyDiv w:val="1"/>
      <w:marLeft w:val="0"/>
      <w:marRight w:val="0"/>
      <w:marTop w:val="0"/>
      <w:marBottom w:val="0"/>
      <w:divBdr>
        <w:top w:val="none" w:sz="0" w:space="0" w:color="auto"/>
        <w:left w:val="none" w:sz="0" w:space="0" w:color="auto"/>
        <w:bottom w:val="none" w:sz="0" w:space="0" w:color="auto"/>
        <w:right w:val="none" w:sz="0" w:space="0" w:color="auto"/>
      </w:divBdr>
    </w:div>
    <w:div w:id="887377300">
      <w:bodyDiv w:val="1"/>
      <w:marLeft w:val="0"/>
      <w:marRight w:val="0"/>
      <w:marTop w:val="0"/>
      <w:marBottom w:val="0"/>
      <w:divBdr>
        <w:top w:val="none" w:sz="0" w:space="0" w:color="auto"/>
        <w:left w:val="none" w:sz="0" w:space="0" w:color="auto"/>
        <w:bottom w:val="none" w:sz="0" w:space="0" w:color="auto"/>
        <w:right w:val="none" w:sz="0" w:space="0" w:color="auto"/>
      </w:divBdr>
    </w:div>
    <w:div w:id="887646443">
      <w:bodyDiv w:val="1"/>
      <w:marLeft w:val="0"/>
      <w:marRight w:val="0"/>
      <w:marTop w:val="0"/>
      <w:marBottom w:val="0"/>
      <w:divBdr>
        <w:top w:val="none" w:sz="0" w:space="0" w:color="auto"/>
        <w:left w:val="none" w:sz="0" w:space="0" w:color="auto"/>
        <w:bottom w:val="none" w:sz="0" w:space="0" w:color="auto"/>
        <w:right w:val="none" w:sz="0" w:space="0" w:color="auto"/>
      </w:divBdr>
    </w:div>
    <w:div w:id="888302688">
      <w:bodyDiv w:val="1"/>
      <w:marLeft w:val="0"/>
      <w:marRight w:val="0"/>
      <w:marTop w:val="0"/>
      <w:marBottom w:val="0"/>
      <w:divBdr>
        <w:top w:val="none" w:sz="0" w:space="0" w:color="auto"/>
        <w:left w:val="none" w:sz="0" w:space="0" w:color="auto"/>
        <w:bottom w:val="none" w:sz="0" w:space="0" w:color="auto"/>
        <w:right w:val="none" w:sz="0" w:space="0" w:color="auto"/>
      </w:divBdr>
    </w:div>
    <w:div w:id="889540844">
      <w:bodyDiv w:val="1"/>
      <w:marLeft w:val="0"/>
      <w:marRight w:val="0"/>
      <w:marTop w:val="0"/>
      <w:marBottom w:val="0"/>
      <w:divBdr>
        <w:top w:val="none" w:sz="0" w:space="0" w:color="auto"/>
        <w:left w:val="none" w:sz="0" w:space="0" w:color="auto"/>
        <w:bottom w:val="none" w:sz="0" w:space="0" w:color="auto"/>
        <w:right w:val="none" w:sz="0" w:space="0" w:color="auto"/>
      </w:divBdr>
    </w:div>
    <w:div w:id="890389032">
      <w:bodyDiv w:val="1"/>
      <w:marLeft w:val="0"/>
      <w:marRight w:val="0"/>
      <w:marTop w:val="0"/>
      <w:marBottom w:val="0"/>
      <w:divBdr>
        <w:top w:val="none" w:sz="0" w:space="0" w:color="auto"/>
        <w:left w:val="none" w:sz="0" w:space="0" w:color="auto"/>
        <w:bottom w:val="none" w:sz="0" w:space="0" w:color="auto"/>
        <w:right w:val="none" w:sz="0" w:space="0" w:color="auto"/>
      </w:divBdr>
    </w:div>
    <w:div w:id="890654063">
      <w:bodyDiv w:val="1"/>
      <w:marLeft w:val="0"/>
      <w:marRight w:val="0"/>
      <w:marTop w:val="0"/>
      <w:marBottom w:val="0"/>
      <w:divBdr>
        <w:top w:val="none" w:sz="0" w:space="0" w:color="auto"/>
        <w:left w:val="none" w:sz="0" w:space="0" w:color="auto"/>
        <w:bottom w:val="none" w:sz="0" w:space="0" w:color="auto"/>
        <w:right w:val="none" w:sz="0" w:space="0" w:color="auto"/>
      </w:divBdr>
    </w:div>
    <w:div w:id="892884075">
      <w:bodyDiv w:val="1"/>
      <w:marLeft w:val="0"/>
      <w:marRight w:val="0"/>
      <w:marTop w:val="0"/>
      <w:marBottom w:val="0"/>
      <w:divBdr>
        <w:top w:val="none" w:sz="0" w:space="0" w:color="auto"/>
        <w:left w:val="none" w:sz="0" w:space="0" w:color="auto"/>
        <w:bottom w:val="none" w:sz="0" w:space="0" w:color="auto"/>
        <w:right w:val="none" w:sz="0" w:space="0" w:color="auto"/>
      </w:divBdr>
    </w:div>
    <w:div w:id="893076629">
      <w:bodyDiv w:val="1"/>
      <w:marLeft w:val="0"/>
      <w:marRight w:val="0"/>
      <w:marTop w:val="0"/>
      <w:marBottom w:val="0"/>
      <w:divBdr>
        <w:top w:val="none" w:sz="0" w:space="0" w:color="auto"/>
        <w:left w:val="none" w:sz="0" w:space="0" w:color="auto"/>
        <w:bottom w:val="none" w:sz="0" w:space="0" w:color="auto"/>
        <w:right w:val="none" w:sz="0" w:space="0" w:color="auto"/>
      </w:divBdr>
    </w:div>
    <w:div w:id="893393533">
      <w:bodyDiv w:val="1"/>
      <w:marLeft w:val="0"/>
      <w:marRight w:val="0"/>
      <w:marTop w:val="0"/>
      <w:marBottom w:val="0"/>
      <w:divBdr>
        <w:top w:val="none" w:sz="0" w:space="0" w:color="auto"/>
        <w:left w:val="none" w:sz="0" w:space="0" w:color="auto"/>
        <w:bottom w:val="none" w:sz="0" w:space="0" w:color="auto"/>
        <w:right w:val="none" w:sz="0" w:space="0" w:color="auto"/>
      </w:divBdr>
    </w:div>
    <w:div w:id="894506485">
      <w:bodyDiv w:val="1"/>
      <w:marLeft w:val="0"/>
      <w:marRight w:val="0"/>
      <w:marTop w:val="0"/>
      <w:marBottom w:val="0"/>
      <w:divBdr>
        <w:top w:val="none" w:sz="0" w:space="0" w:color="auto"/>
        <w:left w:val="none" w:sz="0" w:space="0" w:color="auto"/>
        <w:bottom w:val="none" w:sz="0" w:space="0" w:color="auto"/>
        <w:right w:val="none" w:sz="0" w:space="0" w:color="auto"/>
      </w:divBdr>
    </w:div>
    <w:div w:id="894588259">
      <w:bodyDiv w:val="1"/>
      <w:marLeft w:val="0"/>
      <w:marRight w:val="0"/>
      <w:marTop w:val="0"/>
      <w:marBottom w:val="0"/>
      <w:divBdr>
        <w:top w:val="none" w:sz="0" w:space="0" w:color="auto"/>
        <w:left w:val="none" w:sz="0" w:space="0" w:color="auto"/>
        <w:bottom w:val="none" w:sz="0" w:space="0" w:color="auto"/>
        <w:right w:val="none" w:sz="0" w:space="0" w:color="auto"/>
      </w:divBdr>
    </w:div>
    <w:div w:id="894775036">
      <w:bodyDiv w:val="1"/>
      <w:marLeft w:val="0"/>
      <w:marRight w:val="0"/>
      <w:marTop w:val="0"/>
      <w:marBottom w:val="0"/>
      <w:divBdr>
        <w:top w:val="none" w:sz="0" w:space="0" w:color="auto"/>
        <w:left w:val="none" w:sz="0" w:space="0" w:color="auto"/>
        <w:bottom w:val="none" w:sz="0" w:space="0" w:color="auto"/>
        <w:right w:val="none" w:sz="0" w:space="0" w:color="auto"/>
      </w:divBdr>
    </w:div>
    <w:div w:id="894973287">
      <w:bodyDiv w:val="1"/>
      <w:marLeft w:val="0"/>
      <w:marRight w:val="0"/>
      <w:marTop w:val="0"/>
      <w:marBottom w:val="0"/>
      <w:divBdr>
        <w:top w:val="none" w:sz="0" w:space="0" w:color="auto"/>
        <w:left w:val="none" w:sz="0" w:space="0" w:color="auto"/>
        <w:bottom w:val="none" w:sz="0" w:space="0" w:color="auto"/>
        <w:right w:val="none" w:sz="0" w:space="0" w:color="auto"/>
      </w:divBdr>
    </w:div>
    <w:div w:id="895702091">
      <w:bodyDiv w:val="1"/>
      <w:marLeft w:val="0"/>
      <w:marRight w:val="0"/>
      <w:marTop w:val="0"/>
      <w:marBottom w:val="0"/>
      <w:divBdr>
        <w:top w:val="none" w:sz="0" w:space="0" w:color="auto"/>
        <w:left w:val="none" w:sz="0" w:space="0" w:color="auto"/>
        <w:bottom w:val="none" w:sz="0" w:space="0" w:color="auto"/>
        <w:right w:val="none" w:sz="0" w:space="0" w:color="auto"/>
      </w:divBdr>
    </w:div>
    <w:div w:id="896284587">
      <w:bodyDiv w:val="1"/>
      <w:marLeft w:val="0"/>
      <w:marRight w:val="0"/>
      <w:marTop w:val="0"/>
      <w:marBottom w:val="0"/>
      <w:divBdr>
        <w:top w:val="none" w:sz="0" w:space="0" w:color="auto"/>
        <w:left w:val="none" w:sz="0" w:space="0" w:color="auto"/>
        <w:bottom w:val="none" w:sz="0" w:space="0" w:color="auto"/>
        <w:right w:val="none" w:sz="0" w:space="0" w:color="auto"/>
      </w:divBdr>
    </w:div>
    <w:div w:id="896552736">
      <w:bodyDiv w:val="1"/>
      <w:marLeft w:val="0"/>
      <w:marRight w:val="0"/>
      <w:marTop w:val="0"/>
      <w:marBottom w:val="0"/>
      <w:divBdr>
        <w:top w:val="none" w:sz="0" w:space="0" w:color="auto"/>
        <w:left w:val="none" w:sz="0" w:space="0" w:color="auto"/>
        <w:bottom w:val="none" w:sz="0" w:space="0" w:color="auto"/>
        <w:right w:val="none" w:sz="0" w:space="0" w:color="auto"/>
      </w:divBdr>
    </w:div>
    <w:div w:id="897399768">
      <w:bodyDiv w:val="1"/>
      <w:marLeft w:val="0"/>
      <w:marRight w:val="0"/>
      <w:marTop w:val="0"/>
      <w:marBottom w:val="0"/>
      <w:divBdr>
        <w:top w:val="none" w:sz="0" w:space="0" w:color="auto"/>
        <w:left w:val="none" w:sz="0" w:space="0" w:color="auto"/>
        <w:bottom w:val="none" w:sz="0" w:space="0" w:color="auto"/>
        <w:right w:val="none" w:sz="0" w:space="0" w:color="auto"/>
      </w:divBdr>
    </w:div>
    <w:div w:id="897475444">
      <w:bodyDiv w:val="1"/>
      <w:marLeft w:val="0"/>
      <w:marRight w:val="0"/>
      <w:marTop w:val="0"/>
      <w:marBottom w:val="0"/>
      <w:divBdr>
        <w:top w:val="none" w:sz="0" w:space="0" w:color="auto"/>
        <w:left w:val="none" w:sz="0" w:space="0" w:color="auto"/>
        <w:bottom w:val="none" w:sz="0" w:space="0" w:color="auto"/>
        <w:right w:val="none" w:sz="0" w:space="0" w:color="auto"/>
      </w:divBdr>
    </w:div>
    <w:div w:id="897517145">
      <w:bodyDiv w:val="1"/>
      <w:marLeft w:val="0"/>
      <w:marRight w:val="0"/>
      <w:marTop w:val="0"/>
      <w:marBottom w:val="0"/>
      <w:divBdr>
        <w:top w:val="none" w:sz="0" w:space="0" w:color="auto"/>
        <w:left w:val="none" w:sz="0" w:space="0" w:color="auto"/>
        <w:bottom w:val="none" w:sz="0" w:space="0" w:color="auto"/>
        <w:right w:val="none" w:sz="0" w:space="0" w:color="auto"/>
      </w:divBdr>
    </w:div>
    <w:div w:id="897588081">
      <w:bodyDiv w:val="1"/>
      <w:marLeft w:val="0"/>
      <w:marRight w:val="0"/>
      <w:marTop w:val="0"/>
      <w:marBottom w:val="0"/>
      <w:divBdr>
        <w:top w:val="none" w:sz="0" w:space="0" w:color="auto"/>
        <w:left w:val="none" w:sz="0" w:space="0" w:color="auto"/>
        <w:bottom w:val="none" w:sz="0" w:space="0" w:color="auto"/>
        <w:right w:val="none" w:sz="0" w:space="0" w:color="auto"/>
      </w:divBdr>
    </w:div>
    <w:div w:id="897934857">
      <w:bodyDiv w:val="1"/>
      <w:marLeft w:val="0"/>
      <w:marRight w:val="0"/>
      <w:marTop w:val="0"/>
      <w:marBottom w:val="0"/>
      <w:divBdr>
        <w:top w:val="none" w:sz="0" w:space="0" w:color="auto"/>
        <w:left w:val="none" w:sz="0" w:space="0" w:color="auto"/>
        <w:bottom w:val="none" w:sz="0" w:space="0" w:color="auto"/>
        <w:right w:val="none" w:sz="0" w:space="0" w:color="auto"/>
      </w:divBdr>
    </w:div>
    <w:div w:id="898590206">
      <w:bodyDiv w:val="1"/>
      <w:marLeft w:val="0"/>
      <w:marRight w:val="0"/>
      <w:marTop w:val="0"/>
      <w:marBottom w:val="0"/>
      <w:divBdr>
        <w:top w:val="none" w:sz="0" w:space="0" w:color="auto"/>
        <w:left w:val="none" w:sz="0" w:space="0" w:color="auto"/>
        <w:bottom w:val="none" w:sz="0" w:space="0" w:color="auto"/>
        <w:right w:val="none" w:sz="0" w:space="0" w:color="auto"/>
      </w:divBdr>
    </w:div>
    <w:div w:id="900287213">
      <w:bodyDiv w:val="1"/>
      <w:marLeft w:val="0"/>
      <w:marRight w:val="0"/>
      <w:marTop w:val="0"/>
      <w:marBottom w:val="0"/>
      <w:divBdr>
        <w:top w:val="none" w:sz="0" w:space="0" w:color="auto"/>
        <w:left w:val="none" w:sz="0" w:space="0" w:color="auto"/>
        <w:bottom w:val="none" w:sz="0" w:space="0" w:color="auto"/>
        <w:right w:val="none" w:sz="0" w:space="0" w:color="auto"/>
      </w:divBdr>
    </w:div>
    <w:div w:id="901217929">
      <w:bodyDiv w:val="1"/>
      <w:marLeft w:val="0"/>
      <w:marRight w:val="0"/>
      <w:marTop w:val="0"/>
      <w:marBottom w:val="0"/>
      <w:divBdr>
        <w:top w:val="none" w:sz="0" w:space="0" w:color="auto"/>
        <w:left w:val="none" w:sz="0" w:space="0" w:color="auto"/>
        <w:bottom w:val="none" w:sz="0" w:space="0" w:color="auto"/>
        <w:right w:val="none" w:sz="0" w:space="0" w:color="auto"/>
      </w:divBdr>
    </w:div>
    <w:div w:id="902759440">
      <w:bodyDiv w:val="1"/>
      <w:marLeft w:val="0"/>
      <w:marRight w:val="0"/>
      <w:marTop w:val="0"/>
      <w:marBottom w:val="0"/>
      <w:divBdr>
        <w:top w:val="none" w:sz="0" w:space="0" w:color="auto"/>
        <w:left w:val="none" w:sz="0" w:space="0" w:color="auto"/>
        <w:bottom w:val="none" w:sz="0" w:space="0" w:color="auto"/>
        <w:right w:val="none" w:sz="0" w:space="0" w:color="auto"/>
      </w:divBdr>
    </w:div>
    <w:div w:id="903374545">
      <w:bodyDiv w:val="1"/>
      <w:marLeft w:val="0"/>
      <w:marRight w:val="0"/>
      <w:marTop w:val="0"/>
      <w:marBottom w:val="0"/>
      <w:divBdr>
        <w:top w:val="none" w:sz="0" w:space="0" w:color="auto"/>
        <w:left w:val="none" w:sz="0" w:space="0" w:color="auto"/>
        <w:bottom w:val="none" w:sz="0" w:space="0" w:color="auto"/>
        <w:right w:val="none" w:sz="0" w:space="0" w:color="auto"/>
      </w:divBdr>
    </w:div>
    <w:div w:id="904491123">
      <w:bodyDiv w:val="1"/>
      <w:marLeft w:val="0"/>
      <w:marRight w:val="0"/>
      <w:marTop w:val="0"/>
      <w:marBottom w:val="0"/>
      <w:divBdr>
        <w:top w:val="none" w:sz="0" w:space="0" w:color="auto"/>
        <w:left w:val="none" w:sz="0" w:space="0" w:color="auto"/>
        <w:bottom w:val="none" w:sz="0" w:space="0" w:color="auto"/>
        <w:right w:val="none" w:sz="0" w:space="0" w:color="auto"/>
      </w:divBdr>
    </w:div>
    <w:div w:id="904683238">
      <w:bodyDiv w:val="1"/>
      <w:marLeft w:val="0"/>
      <w:marRight w:val="0"/>
      <w:marTop w:val="0"/>
      <w:marBottom w:val="0"/>
      <w:divBdr>
        <w:top w:val="none" w:sz="0" w:space="0" w:color="auto"/>
        <w:left w:val="none" w:sz="0" w:space="0" w:color="auto"/>
        <w:bottom w:val="none" w:sz="0" w:space="0" w:color="auto"/>
        <w:right w:val="none" w:sz="0" w:space="0" w:color="auto"/>
      </w:divBdr>
    </w:div>
    <w:div w:id="905921785">
      <w:bodyDiv w:val="1"/>
      <w:marLeft w:val="0"/>
      <w:marRight w:val="0"/>
      <w:marTop w:val="0"/>
      <w:marBottom w:val="0"/>
      <w:divBdr>
        <w:top w:val="none" w:sz="0" w:space="0" w:color="auto"/>
        <w:left w:val="none" w:sz="0" w:space="0" w:color="auto"/>
        <w:bottom w:val="none" w:sz="0" w:space="0" w:color="auto"/>
        <w:right w:val="none" w:sz="0" w:space="0" w:color="auto"/>
      </w:divBdr>
    </w:div>
    <w:div w:id="906036962">
      <w:bodyDiv w:val="1"/>
      <w:marLeft w:val="0"/>
      <w:marRight w:val="0"/>
      <w:marTop w:val="0"/>
      <w:marBottom w:val="0"/>
      <w:divBdr>
        <w:top w:val="none" w:sz="0" w:space="0" w:color="auto"/>
        <w:left w:val="none" w:sz="0" w:space="0" w:color="auto"/>
        <w:bottom w:val="none" w:sz="0" w:space="0" w:color="auto"/>
        <w:right w:val="none" w:sz="0" w:space="0" w:color="auto"/>
      </w:divBdr>
    </w:div>
    <w:div w:id="906384687">
      <w:bodyDiv w:val="1"/>
      <w:marLeft w:val="0"/>
      <w:marRight w:val="0"/>
      <w:marTop w:val="0"/>
      <w:marBottom w:val="0"/>
      <w:divBdr>
        <w:top w:val="none" w:sz="0" w:space="0" w:color="auto"/>
        <w:left w:val="none" w:sz="0" w:space="0" w:color="auto"/>
        <w:bottom w:val="none" w:sz="0" w:space="0" w:color="auto"/>
        <w:right w:val="none" w:sz="0" w:space="0" w:color="auto"/>
      </w:divBdr>
    </w:div>
    <w:div w:id="907181823">
      <w:bodyDiv w:val="1"/>
      <w:marLeft w:val="0"/>
      <w:marRight w:val="0"/>
      <w:marTop w:val="0"/>
      <w:marBottom w:val="0"/>
      <w:divBdr>
        <w:top w:val="none" w:sz="0" w:space="0" w:color="auto"/>
        <w:left w:val="none" w:sz="0" w:space="0" w:color="auto"/>
        <w:bottom w:val="none" w:sz="0" w:space="0" w:color="auto"/>
        <w:right w:val="none" w:sz="0" w:space="0" w:color="auto"/>
      </w:divBdr>
    </w:div>
    <w:div w:id="907886402">
      <w:bodyDiv w:val="1"/>
      <w:marLeft w:val="0"/>
      <w:marRight w:val="0"/>
      <w:marTop w:val="0"/>
      <w:marBottom w:val="0"/>
      <w:divBdr>
        <w:top w:val="none" w:sz="0" w:space="0" w:color="auto"/>
        <w:left w:val="none" w:sz="0" w:space="0" w:color="auto"/>
        <w:bottom w:val="none" w:sz="0" w:space="0" w:color="auto"/>
        <w:right w:val="none" w:sz="0" w:space="0" w:color="auto"/>
      </w:divBdr>
    </w:div>
    <w:div w:id="908072286">
      <w:bodyDiv w:val="1"/>
      <w:marLeft w:val="0"/>
      <w:marRight w:val="0"/>
      <w:marTop w:val="0"/>
      <w:marBottom w:val="0"/>
      <w:divBdr>
        <w:top w:val="none" w:sz="0" w:space="0" w:color="auto"/>
        <w:left w:val="none" w:sz="0" w:space="0" w:color="auto"/>
        <w:bottom w:val="none" w:sz="0" w:space="0" w:color="auto"/>
        <w:right w:val="none" w:sz="0" w:space="0" w:color="auto"/>
      </w:divBdr>
    </w:div>
    <w:div w:id="908266432">
      <w:bodyDiv w:val="1"/>
      <w:marLeft w:val="0"/>
      <w:marRight w:val="0"/>
      <w:marTop w:val="0"/>
      <w:marBottom w:val="0"/>
      <w:divBdr>
        <w:top w:val="none" w:sz="0" w:space="0" w:color="auto"/>
        <w:left w:val="none" w:sz="0" w:space="0" w:color="auto"/>
        <w:bottom w:val="none" w:sz="0" w:space="0" w:color="auto"/>
        <w:right w:val="none" w:sz="0" w:space="0" w:color="auto"/>
      </w:divBdr>
    </w:div>
    <w:div w:id="908540472">
      <w:bodyDiv w:val="1"/>
      <w:marLeft w:val="0"/>
      <w:marRight w:val="0"/>
      <w:marTop w:val="0"/>
      <w:marBottom w:val="0"/>
      <w:divBdr>
        <w:top w:val="none" w:sz="0" w:space="0" w:color="auto"/>
        <w:left w:val="none" w:sz="0" w:space="0" w:color="auto"/>
        <w:bottom w:val="none" w:sz="0" w:space="0" w:color="auto"/>
        <w:right w:val="none" w:sz="0" w:space="0" w:color="auto"/>
      </w:divBdr>
    </w:div>
    <w:div w:id="908732462">
      <w:bodyDiv w:val="1"/>
      <w:marLeft w:val="0"/>
      <w:marRight w:val="0"/>
      <w:marTop w:val="0"/>
      <w:marBottom w:val="0"/>
      <w:divBdr>
        <w:top w:val="none" w:sz="0" w:space="0" w:color="auto"/>
        <w:left w:val="none" w:sz="0" w:space="0" w:color="auto"/>
        <w:bottom w:val="none" w:sz="0" w:space="0" w:color="auto"/>
        <w:right w:val="none" w:sz="0" w:space="0" w:color="auto"/>
      </w:divBdr>
    </w:div>
    <w:div w:id="909312953">
      <w:bodyDiv w:val="1"/>
      <w:marLeft w:val="0"/>
      <w:marRight w:val="0"/>
      <w:marTop w:val="0"/>
      <w:marBottom w:val="0"/>
      <w:divBdr>
        <w:top w:val="none" w:sz="0" w:space="0" w:color="auto"/>
        <w:left w:val="none" w:sz="0" w:space="0" w:color="auto"/>
        <w:bottom w:val="none" w:sz="0" w:space="0" w:color="auto"/>
        <w:right w:val="none" w:sz="0" w:space="0" w:color="auto"/>
      </w:divBdr>
    </w:div>
    <w:div w:id="909734647">
      <w:bodyDiv w:val="1"/>
      <w:marLeft w:val="0"/>
      <w:marRight w:val="0"/>
      <w:marTop w:val="0"/>
      <w:marBottom w:val="0"/>
      <w:divBdr>
        <w:top w:val="none" w:sz="0" w:space="0" w:color="auto"/>
        <w:left w:val="none" w:sz="0" w:space="0" w:color="auto"/>
        <w:bottom w:val="none" w:sz="0" w:space="0" w:color="auto"/>
        <w:right w:val="none" w:sz="0" w:space="0" w:color="auto"/>
      </w:divBdr>
    </w:div>
    <w:div w:id="911499850">
      <w:bodyDiv w:val="1"/>
      <w:marLeft w:val="0"/>
      <w:marRight w:val="0"/>
      <w:marTop w:val="0"/>
      <w:marBottom w:val="0"/>
      <w:divBdr>
        <w:top w:val="none" w:sz="0" w:space="0" w:color="auto"/>
        <w:left w:val="none" w:sz="0" w:space="0" w:color="auto"/>
        <w:bottom w:val="none" w:sz="0" w:space="0" w:color="auto"/>
        <w:right w:val="none" w:sz="0" w:space="0" w:color="auto"/>
      </w:divBdr>
    </w:div>
    <w:div w:id="911813386">
      <w:bodyDiv w:val="1"/>
      <w:marLeft w:val="0"/>
      <w:marRight w:val="0"/>
      <w:marTop w:val="0"/>
      <w:marBottom w:val="0"/>
      <w:divBdr>
        <w:top w:val="none" w:sz="0" w:space="0" w:color="auto"/>
        <w:left w:val="none" w:sz="0" w:space="0" w:color="auto"/>
        <w:bottom w:val="none" w:sz="0" w:space="0" w:color="auto"/>
        <w:right w:val="none" w:sz="0" w:space="0" w:color="auto"/>
      </w:divBdr>
    </w:div>
    <w:div w:id="911893303">
      <w:bodyDiv w:val="1"/>
      <w:marLeft w:val="0"/>
      <w:marRight w:val="0"/>
      <w:marTop w:val="0"/>
      <w:marBottom w:val="0"/>
      <w:divBdr>
        <w:top w:val="none" w:sz="0" w:space="0" w:color="auto"/>
        <w:left w:val="none" w:sz="0" w:space="0" w:color="auto"/>
        <w:bottom w:val="none" w:sz="0" w:space="0" w:color="auto"/>
        <w:right w:val="none" w:sz="0" w:space="0" w:color="auto"/>
      </w:divBdr>
    </w:div>
    <w:div w:id="912161152">
      <w:bodyDiv w:val="1"/>
      <w:marLeft w:val="0"/>
      <w:marRight w:val="0"/>
      <w:marTop w:val="0"/>
      <w:marBottom w:val="0"/>
      <w:divBdr>
        <w:top w:val="none" w:sz="0" w:space="0" w:color="auto"/>
        <w:left w:val="none" w:sz="0" w:space="0" w:color="auto"/>
        <w:bottom w:val="none" w:sz="0" w:space="0" w:color="auto"/>
        <w:right w:val="none" w:sz="0" w:space="0" w:color="auto"/>
      </w:divBdr>
    </w:div>
    <w:div w:id="913125360">
      <w:bodyDiv w:val="1"/>
      <w:marLeft w:val="0"/>
      <w:marRight w:val="0"/>
      <w:marTop w:val="0"/>
      <w:marBottom w:val="0"/>
      <w:divBdr>
        <w:top w:val="none" w:sz="0" w:space="0" w:color="auto"/>
        <w:left w:val="none" w:sz="0" w:space="0" w:color="auto"/>
        <w:bottom w:val="none" w:sz="0" w:space="0" w:color="auto"/>
        <w:right w:val="none" w:sz="0" w:space="0" w:color="auto"/>
      </w:divBdr>
    </w:div>
    <w:div w:id="913126061">
      <w:bodyDiv w:val="1"/>
      <w:marLeft w:val="0"/>
      <w:marRight w:val="0"/>
      <w:marTop w:val="0"/>
      <w:marBottom w:val="0"/>
      <w:divBdr>
        <w:top w:val="none" w:sz="0" w:space="0" w:color="auto"/>
        <w:left w:val="none" w:sz="0" w:space="0" w:color="auto"/>
        <w:bottom w:val="none" w:sz="0" w:space="0" w:color="auto"/>
        <w:right w:val="none" w:sz="0" w:space="0" w:color="auto"/>
      </w:divBdr>
    </w:div>
    <w:div w:id="913392011">
      <w:bodyDiv w:val="1"/>
      <w:marLeft w:val="0"/>
      <w:marRight w:val="0"/>
      <w:marTop w:val="0"/>
      <w:marBottom w:val="0"/>
      <w:divBdr>
        <w:top w:val="none" w:sz="0" w:space="0" w:color="auto"/>
        <w:left w:val="none" w:sz="0" w:space="0" w:color="auto"/>
        <w:bottom w:val="none" w:sz="0" w:space="0" w:color="auto"/>
        <w:right w:val="none" w:sz="0" w:space="0" w:color="auto"/>
      </w:divBdr>
    </w:div>
    <w:div w:id="913658768">
      <w:bodyDiv w:val="1"/>
      <w:marLeft w:val="0"/>
      <w:marRight w:val="0"/>
      <w:marTop w:val="0"/>
      <w:marBottom w:val="0"/>
      <w:divBdr>
        <w:top w:val="none" w:sz="0" w:space="0" w:color="auto"/>
        <w:left w:val="none" w:sz="0" w:space="0" w:color="auto"/>
        <w:bottom w:val="none" w:sz="0" w:space="0" w:color="auto"/>
        <w:right w:val="none" w:sz="0" w:space="0" w:color="auto"/>
      </w:divBdr>
    </w:div>
    <w:div w:id="914435982">
      <w:bodyDiv w:val="1"/>
      <w:marLeft w:val="0"/>
      <w:marRight w:val="0"/>
      <w:marTop w:val="0"/>
      <w:marBottom w:val="0"/>
      <w:divBdr>
        <w:top w:val="none" w:sz="0" w:space="0" w:color="auto"/>
        <w:left w:val="none" w:sz="0" w:space="0" w:color="auto"/>
        <w:bottom w:val="none" w:sz="0" w:space="0" w:color="auto"/>
        <w:right w:val="none" w:sz="0" w:space="0" w:color="auto"/>
      </w:divBdr>
    </w:div>
    <w:div w:id="916012304">
      <w:bodyDiv w:val="1"/>
      <w:marLeft w:val="0"/>
      <w:marRight w:val="0"/>
      <w:marTop w:val="0"/>
      <w:marBottom w:val="0"/>
      <w:divBdr>
        <w:top w:val="none" w:sz="0" w:space="0" w:color="auto"/>
        <w:left w:val="none" w:sz="0" w:space="0" w:color="auto"/>
        <w:bottom w:val="none" w:sz="0" w:space="0" w:color="auto"/>
        <w:right w:val="none" w:sz="0" w:space="0" w:color="auto"/>
      </w:divBdr>
    </w:div>
    <w:div w:id="917792698">
      <w:bodyDiv w:val="1"/>
      <w:marLeft w:val="0"/>
      <w:marRight w:val="0"/>
      <w:marTop w:val="0"/>
      <w:marBottom w:val="0"/>
      <w:divBdr>
        <w:top w:val="none" w:sz="0" w:space="0" w:color="auto"/>
        <w:left w:val="none" w:sz="0" w:space="0" w:color="auto"/>
        <w:bottom w:val="none" w:sz="0" w:space="0" w:color="auto"/>
        <w:right w:val="none" w:sz="0" w:space="0" w:color="auto"/>
      </w:divBdr>
    </w:div>
    <w:div w:id="918444872">
      <w:bodyDiv w:val="1"/>
      <w:marLeft w:val="0"/>
      <w:marRight w:val="0"/>
      <w:marTop w:val="0"/>
      <w:marBottom w:val="0"/>
      <w:divBdr>
        <w:top w:val="none" w:sz="0" w:space="0" w:color="auto"/>
        <w:left w:val="none" w:sz="0" w:space="0" w:color="auto"/>
        <w:bottom w:val="none" w:sz="0" w:space="0" w:color="auto"/>
        <w:right w:val="none" w:sz="0" w:space="0" w:color="auto"/>
      </w:divBdr>
    </w:div>
    <w:div w:id="918713339">
      <w:bodyDiv w:val="1"/>
      <w:marLeft w:val="0"/>
      <w:marRight w:val="0"/>
      <w:marTop w:val="0"/>
      <w:marBottom w:val="0"/>
      <w:divBdr>
        <w:top w:val="none" w:sz="0" w:space="0" w:color="auto"/>
        <w:left w:val="none" w:sz="0" w:space="0" w:color="auto"/>
        <w:bottom w:val="none" w:sz="0" w:space="0" w:color="auto"/>
        <w:right w:val="none" w:sz="0" w:space="0" w:color="auto"/>
      </w:divBdr>
    </w:div>
    <w:div w:id="919019555">
      <w:bodyDiv w:val="1"/>
      <w:marLeft w:val="0"/>
      <w:marRight w:val="0"/>
      <w:marTop w:val="0"/>
      <w:marBottom w:val="0"/>
      <w:divBdr>
        <w:top w:val="none" w:sz="0" w:space="0" w:color="auto"/>
        <w:left w:val="none" w:sz="0" w:space="0" w:color="auto"/>
        <w:bottom w:val="none" w:sz="0" w:space="0" w:color="auto"/>
        <w:right w:val="none" w:sz="0" w:space="0" w:color="auto"/>
      </w:divBdr>
    </w:div>
    <w:div w:id="919603753">
      <w:bodyDiv w:val="1"/>
      <w:marLeft w:val="0"/>
      <w:marRight w:val="0"/>
      <w:marTop w:val="0"/>
      <w:marBottom w:val="0"/>
      <w:divBdr>
        <w:top w:val="none" w:sz="0" w:space="0" w:color="auto"/>
        <w:left w:val="none" w:sz="0" w:space="0" w:color="auto"/>
        <w:bottom w:val="none" w:sz="0" w:space="0" w:color="auto"/>
        <w:right w:val="none" w:sz="0" w:space="0" w:color="auto"/>
      </w:divBdr>
    </w:div>
    <w:div w:id="919994568">
      <w:bodyDiv w:val="1"/>
      <w:marLeft w:val="0"/>
      <w:marRight w:val="0"/>
      <w:marTop w:val="0"/>
      <w:marBottom w:val="0"/>
      <w:divBdr>
        <w:top w:val="none" w:sz="0" w:space="0" w:color="auto"/>
        <w:left w:val="none" w:sz="0" w:space="0" w:color="auto"/>
        <w:bottom w:val="none" w:sz="0" w:space="0" w:color="auto"/>
        <w:right w:val="none" w:sz="0" w:space="0" w:color="auto"/>
      </w:divBdr>
    </w:div>
    <w:div w:id="920141191">
      <w:bodyDiv w:val="1"/>
      <w:marLeft w:val="0"/>
      <w:marRight w:val="0"/>
      <w:marTop w:val="0"/>
      <w:marBottom w:val="0"/>
      <w:divBdr>
        <w:top w:val="none" w:sz="0" w:space="0" w:color="auto"/>
        <w:left w:val="none" w:sz="0" w:space="0" w:color="auto"/>
        <w:bottom w:val="none" w:sz="0" w:space="0" w:color="auto"/>
        <w:right w:val="none" w:sz="0" w:space="0" w:color="auto"/>
      </w:divBdr>
    </w:div>
    <w:div w:id="922228622">
      <w:bodyDiv w:val="1"/>
      <w:marLeft w:val="0"/>
      <w:marRight w:val="0"/>
      <w:marTop w:val="0"/>
      <w:marBottom w:val="0"/>
      <w:divBdr>
        <w:top w:val="none" w:sz="0" w:space="0" w:color="auto"/>
        <w:left w:val="none" w:sz="0" w:space="0" w:color="auto"/>
        <w:bottom w:val="none" w:sz="0" w:space="0" w:color="auto"/>
        <w:right w:val="none" w:sz="0" w:space="0" w:color="auto"/>
      </w:divBdr>
    </w:div>
    <w:div w:id="922639843">
      <w:bodyDiv w:val="1"/>
      <w:marLeft w:val="0"/>
      <w:marRight w:val="0"/>
      <w:marTop w:val="0"/>
      <w:marBottom w:val="0"/>
      <w:divBdr>
        <w:top w:val="none" w:sz="0" w:space="0" w:color="auto"/>
        <w:left w:val="none" w:sz="0" w:space="0" w:color="auto"/>
        <w:bottom w:val="none" w:sz="0" w:space="0" w:color="auto"/>
        <w:right w:val="none" w:sz="0" w:space="0" w:color="auto"/>
      </w:divBdr>
    </w:div>
    <w:div w:id="922760163">
      <w:bodyDiv w:val="1"/>
      <w:marLeft w:val="0"/>
      <w:marRight w:val="0"/>
      <w:marTop w:val="0"/>
      <w:marBottom w:val="0"/>
      <w:divBdr>
        <w:top w:val="none" w:sz="0" w:space="0" w:color="auto"/>
        <w:left w:val="none" w:sz="0" w:space="0" w:color="auto"/>
        <w:bottom w:val="none" w:sz="0" w:space="0" w:color="auto"/>
        <w:right w:val="none" w:sz="0" w:space="0" w:color="auto"/>
      </w:divBdr>
    </w:div>
    <w:div w:id="923492881">
      <w:bodyDiv w:val="1"/>
      <w:marLeft w:val="0"/>
      <w:marRight w:val="0"/>
      <w:marTop w:val="0"/>
      <w:marBottom w:val="0"/>
      <w:divBdr>
        <w:top w:val="none" w:sz="0" w:space="0" w:color="auto"/>
        <w:left w:val="none" w:sz="0" w:space="0" w:color="auto"/>
        <w:bottom w:val="none" w:sz="0" w:space="0" w:color="auto"/>
        <w:right w:val="none" w:sz="0" w:space="0" w:color="auto"/>
      </w:divBdr>
    </w:div>
    <w:div w:id="923536787">
      <w:bodyDiv w:val="1"/>
      <w:marLeft w:val="0"/>
      <w:marRight w:val="0"/>
      <w:marTop w:val="0"/>
      <w:marBottom w:val="0"/>
      <w:divBdr>
        <w:top w:val="none" w:sz="0" w:space="0" w:color="auto"/>
        <w:left w:val="none" w:sz="0" w:space="0" w:color="auto"/>
        <w:bottom w:val="none" w:sz="0" w:space="0" w:color="auto"/>
        <w:right w:val="none" w:sz="0" w:space="0" w:color="auto"/>
      </w:divBdr>
    </w:div>
    <w:div w:id="924416299">
      <w:bodyDiv w:val="1"/>
      <w:marLeft w:val="0"/>
      <w:marRight w:val="0"/>
      <w:marTop w:val="0"/>
      <w:marBottom w:val="0"/>
      <w:divBdr>
        <w:top w:val="none" w:sz="0" w:space="0" w:color="auto"/>
        <w:left w:val="none" w:sz="0" w:space="0" w:color="auto"/>
        <w:bottom w:val="none" w:sz="0" w:space="0" w:color="auto"/>
        <w:right w:val="none" w:sz="0" w:space="0" w:color="auto"/>
      </w:divBdr>
    </w:div>
    <w:div w:id="924458757">
      <w:bodyDiv w:val="1"/>
      <w:marLeft w:val="0"/>
      <w:marRight w:val="0"/>
      <w:marTop w:val="0"/>
      <w:marBottom w:val="0"/>
      <w:divBdr>
        <w:top w:val="none" w:sz="0" w:space="0" w:color="auto"/>
        <w:left w:val="none" w:sz="0" w:space="0" w:color="auto"/>
        <w:bottom w:val="none" w:sz="0" w:space="0" w:color="auto"/>
        <w:right w:val="none" w:sz="0" w:space="0" w:color="auto"/>
      </w:divBdr>
    </w:div>
    <w:div w:id="924925111">
      <w:bodyDiv w:val="1"/>
      <w:marLeft w:val="0"/>
      <w:marRight w:val="0"/>
      <w:marTop w:val="0"/>
      <w:marBottom w:val="0"/>
      <w:divBdr>
        <w:top w:val="none" w:sz="0" w:space="0" w:color="auto"/>
        <w:left w:val="none" w:sz="0" w:space="0" w:color="auto"/>
        <w:bottom w:val="none" w:sz="0" w:space="0" w:color="auto"/>
        <w:right w:val="none" w:sz="0" w:space="0" w:color="auto"/>
      </w:divBdr>
    </w:div>
    <w:div w:id="926840231">
      <w:bodyDiv w:val="1"/>
      <w:marLeft w:val="0"/>
      <w:marRight w:val="0"/>
      <w:marTop w:val="0"/>
      <w:marBottom w:val="0"/>
      <w:divBdr>
        <w:top w:val="none" w:sz="0" w:space="0" w:color="auto"/>
        <w:left w:val="none" w:sz="0" w:space="0" w:color="auto"/>
        <w:bottom w:val="none" w:sz="0" w:space="0" w:color="auto"/>
        <w:right w:val="none" w:sz="0" w:space="0" w:color="auto"/>
      </w:divBdr>
    </w:div>
    <w:div w:id="926842494">
      <w:bodyDiv w:val="1"/>
      <w:marLeft w:val="0"/>
      <w:marRight w:val="0"/>
      <w:marTop w:val="0"/>
      <w:marBottom w:val="0"/>
      <w:divBdr>
        <w:top w:val="none" w:sz="0" w:space="0" w:color="auto"/>
        <w:left w:val="none" w:sz="0" w:space="0" w:color="auto"/>
        <w:bottom w:val="none" w:sz="0" w:space="0" w:color="auto"/>
        <w:right w:val="none" w:sz="0" w:space="0" w:color="auto"/>
      </w:divBdr>
    </w:div>
    <w:div w:id="927083227">
      <w:bodyDiv w:val="1"/>
      <w:marLeft w:val="0"/>
      <w:marRight w:val="0"/>
      <w:marTop w:val="0"/>
      <w:marBottom w:val="0"/>
      <w:divBdr>
        <w:top w:val="none" w:sz="0" w:space="0" w:color="auto"/>
        <w:left w:val="none" w:sz="0" w:space="0" w:color="auto"/>
        <w:bottom w:val="none" w:sz="0" w:space="0" w:color="auto"/>
        <w:right w:val="none" w:sz="0" w:space="0" w:color="auto"/>
      </w:divBdr>
    </w:div>
    <w:div w:id="927616678">
      <w:bodyDiv w:val="1"/>
      <w:marLeft w:val="0"/>
      <w:marRight w:val="0"/>
      <w:marTop w:val="0"/>
      <w:marBottom w:val="0"/>
      <w:divBdr>
        <w:top w:val="none" w:sz="0" w:space="0" w:color="auto"/>
        <w:left w:val="none" w:sz="0" w:space="0" w:color="auto"/>
        <w:bottom w:val="none" w:sz="0" w:space="0" w:color="auto"/>
        <w:right w:val="none" w:sz="0" w:space="0" w:color="auto"/>
      </w:divBdr>
    </w:div>
    <w:div w:id="927888827">
      <w:bodyDiv w:val="1"/>
      <w:marLeft w:val="0"/>
      <w:marRight w:val="0"/>
      <w:marTop w:val="0"/>
      <w:marBottom w:val="0"/>
      <w:divBdr>
        <w:top w:val="none" w:sz="0" w:space="0" w:color="auto"/>
        <w:left w:val="none" w:sz="0" w:space="0" w:color="auto"/>
        <w:bottom w:val="none" w:sz="0" w:space="0" w:color="auto"/>
        <w:right w:val="none" w:sz="0" w:space="0" w:color="auto"/>
      </w:divBdr>
    </w:div>
    <w:div w:id="928390595">
      <w:bodyDiv w:val="1"/>
      <w:marLeft w:val="0"/>
      <w:marRight w:val="0"/>
      <w:marTop w:val="0"/>
      <w:marBottom w:val="0"/>
      <w:divBdr>
        <w:top w:val="none" w:sz="0" w:space="0" w:color="auto"/>
        <w:left w:val="none" w:sz="0" w:space="0" w:color="auto"/>
        <w:bottom w:val="none" w:sz="0" w:space="0" w:color="auto"/>
        <w:right w:val="none" w:sz="0" w:space="0" w:color="auto"/>
      </w:divBdr>
    </w:div>
    <w:div w:id="928973410">
      <w:bodyDiv w:val="1"/>
      <w:marLeft w:val="0"/>
      <w:marRight w:val="0"/>
      <w:marTop w:val="0"/>
      <w:marBottom w:val="0"/>
      <w:divBdr>
        <w:top w:val="none" w:sz="0" w:space="0" w:color="auto"/>
        <w:left w:val="none" w:sz="0" w:space="0" w:color="auto"/>
        <w:bottom w:val="none" w:sz="0" w:space="0" w:color="auto"/>
        <w:right w:val="none" w:sz="0" w:space="0" w:color="auto"/>
      </w:divBdr>
    </w:div>
    <w:div w:id="929696465">
      <w:bodyDiv w:val="1"/>
      <w:marLeft w:val="0"/>
      <w:marRight w:val="0"/>
      <w:marTop w:val="0"/>
      <w:marBottom w:val="0"/>
      <w:divBdr>
        <w:top w:val="none" w:sz="0" w:space="0" w:color="auto"/>
        <w:left w:val="none" w:sz="0" w:space="0" w:color="auto"/>
        <w:bottom w:val="none" w:sz="0" w:space="0" w:color="auto"/>
        <w:right w:val="none" w:sz="0" w:space="0" w:color="auto"/>
      </w:divBdr>
    </w:div>
    <w:div w:id="931281579">
      <w:bodyDiv w:val="1"/>
      <w:marLeft w:val="0"/>
      <w:marRight w:val="0"/>
      <w:marTop w:val="0"/>
      <w:marBottom w:val="0"/>
      <w:divBdr>
        <w:top w:val="none" w:sz="0" w:space="0" w:color="auto"/>
        <w:left w:val="none" w:sz="0" w:space="0" w:color="auto"/>
        <w:bottom w:val="none" w:sz="0" w:space="0" w:color="auto"/>
        <w:right w:val="none" w:sz="0" w:space="0" w:color="auto"/>
      </w:divBdr>
    </w:div>
    <w:div w:id="931930699">
      <w:bodyDiv w:val="1"/>
      <w:marLeft w:val="0"/>
      <w:marRight w:val="0"/>
      <w:marTop w:val="0"/>
      <w:marBottom w:val="0"/>
      <w:divBdr>
        <w:top w:val="none" w:sz="0" w:space="0" w:color="auto"/>
        <w:left w:val="none" w:sz="0" w:space="0" w:color="auto"/>
        <w:bottom w:val="none" w:sz="0" w:space="0" w:color="auto"/>
        <w:right w:val="none" w:sz="0" w:space="0" w:color="auto"/>
      </w:divBdr>
    </w:div>
    <w:div w:id="932397604">
      <w:bodyDiv w:val="1"/>
      <w:marLeft w:val="0"/>
      <w:marRight w:val="0"/>
      <w:marTop w:val="0"/>
      <w:marBottom w:val="0"/>
      <w:divBdr>
        <w:top w:val="none" w:sz="0" w:space="0" w:color="auto"/>
        <w:left w:val="none" w:sz="0" w:space="0" w:color="auto"/>
        <w:bottom w:val="none" w:sz="0" w:space="0" w:color="auto"/>
        <w:right w:val="none" w:sz="0" w:space="0" w:color="auto"/>
      </w:divBdr>
    </w:div>
    <w:div w:id="932930191">
      <w:bodyDiv w:val="1"/>
      <w:marLeft w:val="0"/>
      <w:marRight w:val="0"/>
      <w:marTop w:val="0"/>
      <w:marBottom w:val="0"/>
      <w:divBdr>
        <w:top w:val="none" w:sz="0" w:space="0" w:color="auto"/>
        <w:left w:val="none" w:sz="0" w:space="0" w:color="auto"/>
        <w:bottom w:val="none" w:sz="0" w:space="0" w:color="auto"/>
        <w:right w:val="none" w:sz="0" w:space="0" w:color="auto"/>
      </w:divBdr>
    </w:div>
    <w:div w:id="932977991">
      <w:bodyDiv w:val="1"/>
      <w:marLeft w:val="0"/>
      <w:marRight w:val="0"/>
      <w:marTop w:val="0"/>
      <w:marBottom w:val="0"/>
      <w:divBdr>
        <w:top w:val="none" w:sz="0" w:space="0" w:color="auto"/>
        <w:left w:val="none" w:sz="0" w:space="0" w:color="auto"/>
        <w:bottom w:val="none" w:sz="0" w:space="0" w:color="auto"/>
        <w:right w:val="none" w:sz="0" w:space="0" w:color="auto"/>
      </w:divBdr>
    </w:div>
    <w:div w:id="933826606">
      <w:bodyDiv w:val="1"/>
      <w:marLeft w:val="0"/>
      <w:marRight w:val="0"/>
      <w:marTop w:val="0"/>
      <w:marBottom w:val="0"/>
      <w:divBdr>
        <w:top w:val="none" w:sz="0" w:space="0" w:color="auto"/>
        <w:left w:val="none" w:sz="0" w:space="0" w:color="auto"/>
        <w:bottom w:val="none" w:sz="0" w:space="0" w:color="auto"/>
        <w:right w:val="none" w:sz="0" w:space="0" w:color="auto"/>
      </w:divBdr>
    </w:div>
    <w:div w:id="933972949">
      <w:bodyDiv w:val="1"/>
      <w:marLeft w:val="0"/>
      <w:marRight w:val="0"/>
      <w:marTop w:val="0"/>
      <w:marBottom w:val="0"/>
      <w:divBdr>
        <w:top w:val="none" w:sz="0" w:space="0" w:color="auto"/>
        <w:left w:val="none" w:sz="0" w:space="0" w:color="auto"/>
        <w:bottom w:val="none" w:sz="0" w:space="0" w:color="auto"/>
        <w:right w:val="none" w:sz="0" w:space="0" w:color="auto"/>
      </w:divBdr>
    </w:div>
    <w:div w:id="934287974">
      <w:bodyDiv w:val="1"/>
      <w:marLeft w:val="0"/>
      <w:marRight w:val="0"/>
      <w:marTop w:val="0"/>
      <w:marBottom w:val="0"/>
      <w:divBdr>
        <w:top w:val="none" w:sz="0" w:space="0" w:color="auto"/>
        <w:left w:val="none" w:sz="0" w:space="0" w:color="auto"/>
        <w:bottom w:val="none" w:sz="0" w:space="0" w:color="auto"/>
        <w:right w:val="none" w:sz="0" w:space="0" w:color="auto"/>
      </w:divBdr>
    </w:div>
    <w:div w:id="934480590">
      <w:bodyDiv w:val="1"/>
      <w:marLeft w:val="0"/>
      <w:marRight w:val="0"/>
      <w:marTop w:val="0"/>
      <w:marBottom w:val="0"/>
      <w:divBdr>
        <w:top w:val="none" w:sz="0" w:space="0" w:color="auto"/>
        <w:left w:val="none" w:sz="0" w:space="0" w:color="auto"/>
        <w:bottom w:val="none" w:sz="0" w:space="0" w:color="auto"/>
        <w:right w:val="none" w:sz="0" w:space="0" w:color="auto"/>
      </w:divBdr>
    </w:div>
    <w:div w:id="934746760">
      <w:bodyDiv w:val="1"/>
      <w:marLeft w:val="0"/>
      <w:marRight w:val="0"/>
      <w:marTop w:val="0"/>
      <w:marBottom w:val="0"/>
      <w:divBdr>
        <w:top w:val="none" w:sz="0" w:space="0" w:color="auto"/>
        <w:left w:val="none" w:sz="0" w:space="0" w:color="auto"/>
        <w:bottom w:val="none" w:sz="0" w:space="0" w:color="auto"/>
        <w:right w:val="none" w:sz="0" w:space="0" w:color="auto"/>
      </w:divBdr>
    </w:div>
    <w:div w:id="934902476">
      <w:bodyDiv w:val="1"/>
      <w:marLeft w:val="0"/>
      <w:marRight w:val="0"/>
      <w:marTop w:val="0"/>
      <w:marBottom w:val="0"/>
      <w:divBdr>
        <w:top w:val="none" w:sz="0" w:space="0" w:color="auto"/>
        <w:left w:val="none" w:sz="0" w:space="0" w:color="auto"/>
        <w:bottom w:val="none" w:sz="0" w:space="0" w:color="auto"/>
        <w:right w:val="none" w:sz="0" w:space="0" w:color="auto"/>
      </w:divBdr>
    </w:div>
    <w:div w:id="935677312">
      <w:bodyDiv w:val="1"/>
      <w:marLeft w:val="0"/>
      <w:marRight w:val="0"/>
      <w:marTop w:val="0"/>
      <w:marBottom w:val="0"/>
      <w:divBdr>
        <w:top w:val="none" w:sz="0" w:space="0" w:color="auto"/>
        <w:left w:val="none" w:sz="0" w:space="0" w:color="auto"/>
        <w:bottom w:val="none" w:sz="0" w:space="0" w:color="auto"/>
        <w:right w:val="none" w:sz="0" w:space="0" w:color="auto"/>
      </w:divBdr>
    </w:div>
    <w:div w:id="935985195">
      <w:bodyDiv w:val="1"/>
      <w:marLeft w:val="0"/>
      <w:marRight w:val="0"/>
      <w:marTop w:val="0"/>
      <w:marBottom w:val="0"/>
      <w:divBdr>
        <w:top w:val="none" w:sz="0" w:space="0" w:color="auto"/>
        <w:left w:val="none" w:sz="0" w:space="0" w:color="auto"/>
        <w:bottom w:val="none" w:sz="0" w:space="0" w:color="auto"/>
        <w:right w:val="none" w:sz="0" w:space="0" w:color="auto"/>
      </w:divBdr>
    </w:div>
    <w:div w:id="936327101">
      <w:bodyDiv w:val="1"/>
      <w:marLeft w:val="0"/>
      <w:marRight w:val="0"/>
      <w:marTop w:val="0"/>
      <w:marBottom w:val="0"/>
      <w:divBdr>
        <w:top w:val="none" w:sz="0" w:space="0" w:color="auto"/>
        <w:left w:val="none" w:sz="0" w:space="0" w:color="auto"/>
        <w:bottom w:val="none" w:sz="0" w:space="0" w:color="auto"/>
        <w:right w:val="none" w:sz="0" w:space="0" w:color="auto"/>
      </w:divBdr>
    </w:div>
    <w:div w:id="937058688">
      <w:bodyDiv w:val="1"/>
      <w:marLeft w:val="0"/>
      <w:marRight w:val="0"/>
      <w:marTop w:val="0"/>
      <w:marBottom w:val="0"/>
      <w:divBdr>
        <w:top w:val="none" w:sz="0" w:space="0" w:color="auto"/>
        <w:left w:val="none" w:sz="0" w:space="0" w:color="auto"/>
        <w:bottom w:val="none" w:sz="0" w:space="0" w:color="auto"/>
        <w:right w:val="none" w:sz="0" w:space="0" w:color="auto"/>
      </w:divBdr>
    </w:div>
    <w:div w:id="937951809">
      <w:bodyDiv w:val="1"/>
      <w:marLeft w:val="0"/>
      <w:marRight w:val="0"/>
      <w:marTop w:val="0"/>
      <w:marBottom w:val="0"/>
      <w:divBdr>
        <w:top w:val="none" w:sz="0" w:space="0" w:color="auto"/>
        <w:left w:val="none" w:sz="0" w:space="0" w:color="auto"/>
        <w:bottom w:val="none" w:sz="0" w:space="0" w:color="auto"/>
        <w:right w:val="none" w:sz="0" w:space="0" w:color="auto"/>
      </w:divBdr>
    </w:div>
    <w:div w:id="938299092">
      <w:bodyDiv w:val="1"/>
      <w:marLeft w:val="0"/>
      <w:marRight w:val="0"/>
      <w:marTop w:val="0"/>
      <w:marBottom w:val="0"/>
      <w:divBdr>
        <w:top w:val="none" w:sz="0" w:space="0" w:color="auto"/>
        <w:left w:val="none" w:sz="0" w:space="0" w:color="auto"/>
        <w:bottom w:val="none" w:sz="0" w:space="0" w:color="auto"/>
        <w:right w:val="none" w:sz="0" w:space="0" w:color="auto"/>
      </w:divBdr>
    </w:div>
    <w:div w:id="938609903">
      <w:bodyDiv w:val="1"/>
      <w:marLeft w:val="0"/>
      <w:marRight w:val="0"/>
      <w:marTop w:val="0"/>
      <w:marBottom w:val="0"/>
      <w:divBdr>
        <w:top w:val="none" w:sz="0" w:space="0" w:color="auto"/>
        <w:left w:val="none" w:sz="0" w:space="0" w:color="auto"/>
        <w:bottom w:val="none" w:sz="0" w:space="0" w:color="auto"/>
        <w:right w:val="none" w:sz="0" w:space="0" w:color="auto"/>
      </w:divBdr>
    </w:div>
    <w:div w:id="940185101">
      <w:bodyDiv w:val="1"/>
      <w:marLeft w:val="0"/>
      <w:marRight w:val="0"/>
      <w:marTop w:val="0"/>
      <w:marBottom w:val="0"/>
      <w:divBdr>
        <w:top w:val="none" w:sz="0" w:space="0" w:color="auto"/>
        <w:left w:val="none" w:sz="0" w:space="0" w:color="auto"/>
        <w:bottom w:val="none" w:sz="0" w:space="0" w:color="auto"/>
        <w:right w:val="none" w:sz="0" w:space="0" w:color="auto"/>
      </w:divBdr>
    </w:div>
    <w:div w:id="940185919">
      <w:bodyDiv w:val="1"/>
      <w:marLeft w:val="0"/>
      <w:marRight w:val="0"/>
      <w:marTop w:val="0"/>
      <w:marBottom w:val="0"/>
      <w:divBdr>
        <w:top w:val="none" w:sz="0" w:space="0" w:color="auto"/>
        <w:left w:val="none" w:sz="0" w:space="0" w:color="auto"/>
        <w:bottom w:val="none" w:sz="0" w:space="0" w:color="auto"/>
        <w:right w:val="none" w:sz="0" w:space="0" w:color="auto"/>
      </w:divBdr>
    </w:div>
    <w:div w:id="940382007">
      <w:bodyDiv w:val="1"/>
      <w:marLeft w:val="0"/>
      <w:marRight w:val="0"/>
      <w:marTop w:val="0"/>
      <w:marBottom w:val="0"/>
      <w:divBdr>
        <w:top w:val="none" w:sz="0" w:space="0" w:color="auto"/>
        <w:left w:val="none" w:sz="0" w:space="0" w:color="auto"/>
        <w:bottom w:val="none" w:sz="0" w:space="0" w:color="auto"/>
        <w:right w:val="none" w:sz="0" w:space="0" w:color="auto"/>
      </w:divBdr>
    </w:div>
    <w:div w:id="940838030">
      <w:bodyDiv w:val="1"/>
      <w:marLeft w:val="0"/>
      <w:marRight w:val="0"/>
      <w:marTop w:val="0"/>
      <w:marBottom w:val="0"/>
      <w:divBdr>
        <w:top w:val="none" w:sz="0" w:space="0" w:color="auto"/>
        <w:left w:val="none" w:sz="0" w:space="0" w:color="auto"/>
        <w:bottom w:val="none" w:sz="0" w:space="0" w:color="auto"/>
        <w:right w:val="none" w:sz="0" w:space="0" w:color="auto"/>
      </w:divBdr>
    </w:div>
    <w:div w:id="941567835">
      <w:bodyDiv w:val="1"/>
      <w:marLeft w:val="0"/>
      <w:marRight w:val="0"/>
      <w:marTop w:val="0"/>
      <w:marBottom w:val="0"/>
      <w:divBdr>
        <w:top w:val="none" w:sz="0" w:space="0" w:color="auto"/>
        <w:left w:val="none" w:sz="0" w:space="0" w:color="auto"/>
        <w:bottom w:val="none" w:sz="0" w:space="0" w:color="auto"/>
        <w:right w:val="none" w:sz="0" w:space="0" w:color="auto"/>
      </w:divBdr>
    </w:div>
    <w:div w:id="941912487">
      <w:bodyDiv w:val="1"/>
      <w:marLeft w:val="0"/>
      <w:marRight w:val="0"/>
      <w:marTop w:val="0"/>
      <w:marBottom w:val="0"/>
      <w:divBdr>
        <w:top w:val="none" w:sz="0" w:space="0" w:color="auto"/>
        <w:left w:val="none" w:sz="0" w:space="0" w:color="auto"/>
        <w:bottom w:val="none" w:sz="0" w:space="0" w:color="auto"/>
        <w:right w:val="none" w:sz="0" w:space="0" w:color="auto"/>
      </w:divBdr>
    </w:div>
    <w:div w:id="941955972">
      <w:bodyDiv w:val="1"/>
      <w:marLeft w:val="0"/>
      <w:marRight w:val="0"/>
      <w:marTop w:val="0"/>
      <w:marBottom w:val="0"/>
      <w:divBdr>
        <w:top w:val="none" w:sz="0" w:space="0" w:color="auto"/>
        <w:left w:val="none" w:sz="0" w:space="0" w:color="auto"/>
        <w:bottom w:val="none" w:sz="0" w:space="0" w:color="auto"/>
        <w:right w:val="none" w:sz="0" w:space="0" w:color="auto"/>
      </w:divBdr>
    </w:div>
    <w:div w:id="942346372">
      <w:bodyDiv w:val="1"/>
      <w:marLeft w:val="0"/>
      <w:marRight w:val="0"/>
      <w:marTop w:val="0"/>
      <w:marBottom w:val="0"/>
      <w:divBdr>
        <w:top w:val="none" w:sz="0" w:space="0" w:color="auto"/>
        <w:left w:val="none" w:sz="0" w:space="0" w:color="auto"/>
        <w:bottom w:val="none" w:sz="0" w:space="0" w:color="auto"/>
        <w:right w:val="none" w:sz="0" w:space="0" w:color="auto"/>
      </w:divBdr>
    </w:div>
    <w:div w:id="945037695">
      <w:bodyDiv w:val="1"/>
      <w:marLeft w:val="0"/>
      <w:marRight w:val="0"/>
      <w:marTop w:val="0"/>
      <w:marBottom w:val="0"/>
      <w:divBdr>
        <w:top w:val="none" w:sz="0" w:space="0" w:color="auto"/>
        <w:left w:val="none" w:sz="0" w:space="0" w:color="auto"/>
        <w:bottom w:val="none" w:sz="0" w:space="0" w:color="auto"/>
        <w:right w:val="none" w:sz="0" w:space="0" w:color="auto"/>
      </w:divBdr>
    </w:div>
    <w:div w:id="945694988">
      <w:bodyDiv w:val="1"/>
      <w:marLeft w:val="0"/>
      <w:marRight w:val="0"/>
      <w:marTop w:val="0"/>
      <w:marBottom w:val="0"/>
      <w:divBdr>
        <w:top w:val="none" w:sz="0" w:space="0" w:color="auto"/>
        <w:left w:val="none" w:sz="0" w:space="0" w:color="auto"/>
        <w:bottom w:val="none" w:sz="0" w:space="0" w:color="auto"/>
        <w:right w:val="none" w:sz="0" w:space="0" w:color="auto"/>
      </w:divBdr>
    </w:div>
    <w:div w:id="946499705">
      <w:bodyDiv w:val="1"/>
      <w:marLeft w:val="0"/>
      <w:marRight w:val="0"/>
      <w:marTop w:val="0"/>
      <w:marBottom w:val="0"/>
      <w:divBdr>
        <w:top w:val="none" w:sz="0" w:space="0" w:color="auto"/>
        <w:left w:val="none" w:sz="0" w:space="0" w:color="auto"/>
        <w:bottom w:val="none" w:sz="0" w:space="0" w:color="auto"/>
        <w:right w:val="none" w:sz="0" w:space="0" w:color="auto"/>
      </w:divBdr>
    </w:div>
    <w:div w:id="946624243">
      <w:bodyDiv w:val="1"/>
      <w:marLeft w:val="0"/>
      <w:marRight w:val="0"/>
      <w:marTop w:val="0"/>
      <w:marBottom w:val="0"/>
      <w:divBdr>
        <w:top w:val="none" w:sz="0" w:space="0" w:color="auto"/>
        <w:left w:val="none" w:sz="0" w:space="0" w:color="auto"/>
        <w:bottom w:val="none" w:sz="0" w:space="0" w:color="auto"/>
        <w:right w:val="none" w:sz="0" w:space="0" w:color="auto"/>
      </w:divBdr>
    </w:div>
    <w:div w:id="946893443">
      <w:bodyDiv w:val="1"/>
      <w:marLeft w:val="0"/>
      <w:marRight w:val="0"/>
      <w:marTop w:val="0"/>
      <w:marBottom w:val="0"/>
      <w:divBdr>
        <w:top w:val="none" w:sz="0" w:space="0" w:color="auto"/>
        <w:left w:val="none" w:sz="0" w:space="0" w:color="auto"/>
        <w:bottom w:val="none" w:sz="0" w:space="0" w:color="auto"/>
        <w:right w:val="none" w:sz="0" w:space="0" w:color="auto"/>
      </w:divBdr>
    </w:div>
    <w:div w:id="947543258">
      <w:bodyDiv w:val="1"/>
      <w:marLeft w:val="0"/>
      <w:marRight w:val="0"/>
      <w:marTop w:val="0"/>
      <w:marBottom w:val="0"/>
      <w:divBdr>
        <w:top w:val="none" w:sz="0" w:space="0" w:color="auto"/>
        <w:left w:val="none" w:sz="0" w:space="0" w:color="auto"/>
        <w:bottom w:val="none" w:sz="0" w:space="0" w:color="auto"/>
        <w:right w:val="none" w:sz="0" w:space="0" w:color="auto"/>
      </w:divBdr>
    </w:div>
    <w:div w:id="947543307">
      <w:bodyDiv w:val="1"/>
      <w:marLeft w:val="0"/>
      <w:marRight w:val="0"/>
      <w:marTop w:val="0"/>
      <w:marBottom w:val="0"/>
      <w:divBdr>
        <w:top w:val="none" w:sz="0" w:space="0" w:color="auto"/>
        <w:left w:val="none" w:sz="0" w:space="0" w:color="auto"/>
        <w:bottom w:val="none" w:sz="0" w:space="0" w:color="auto"/>
        <w:right w:val="none" w:sz="0" w:space="0" w:color="auto"/>
      </w:divBdr>
    </w:div>
    <w:div w:id="948660777">
      <w:bodyDiv w:val="1"/>
      <w:marLeft w:val="0"/>
      <w:marRight w:val="0"/>
      <w:marTop w:val="0"/>
      <w:marBottom w:val="0"/>
      <w:divBdr>
        <w:top w:val="none" w:sz="0" w:space="0" w:color="auto"/>
        <w:left w:val="none" w:sz="0" w:space="0" w:color="auto"/>
        <w:bottom w:val="none" w:sz="0" w:space="0" w:color="auto"/>
        <w:right w:val="none" w:sz="0" w:space="0" w:color="auto"/>
      </w:divBdr>
    </w:div>
    <w:div w:id="949972783">
      <w:bodyDiv w:val="1"/>
      <w:marLeft w:val="0"/>
      <w:marRight w:val="0"/>
      <w:marTop w:val="0"/>
      <w:marBottom w:val="0"/>
      <w:divBdr>
        <w:top w:val="none" w:sz="0" w:space="0" w:color="auto"/>
        <w:left w:val="none" w:sz="0" w:space="0" w:color="auto"/>
        <w:bottom w:val="none" w:sz="0" w:space="0" w:color="auto"/>
        <w:right w:val="none" w:sz="0" w:space="0" w:color="auto"/>
      </w:divBdr>
    </w:div>
    <w:div w:id="950550258">
      <w:bodyDiv w:val="1"/>
      <w:marLeft w:val="0"/>
      <w:marRight w:val="0"/>
      <w:marTop w:val="0"/>
      <w:marBottom w:val="0"/>
      <w:divBdr>
        <w:top w:val="none" w:sz="0" w:space="0" w:color="auto"/>
        <w:left w:val="none" w:sz="0" w:space="0" w:color="auto"/>
        <w:bottom w:val="none" w:sz="0" w:space="0" w:color="auto"/>
        <w:right w:val="none" w:sz="0" w:space="0" w:color="auto"/>
      </w:divBdr>
    </w:div>
    <w:div w:id="950749383">
      <w:bodyDiv w:val="1"/>
      <w:marLeft w:val="0"/>
      <w:marRight w:val="0"/>
      <w:marTop w:val="0"/>
      <w:marBottom w:val="0"/>
      <w:divBdr>
        <w:top w:val="none" w:sz="0" w:space="0" w:color="auto"/>
        <w:left w:val="none" w:sz="0" w:space="0" w:color="auto"/>
        <w:bottom w:val="none" w:sz="0" w:space="0" w:color="auto"/>
        <w:right w:val="none" w:sz="0" w:space="0" w:color="auto"/>
      </w:divBdr>
    </w:div>
    <w:div w:id="950821958">
      <w:bodyDiv w:val="1"/>
      <w:marLeft w:val="0"/>
      <w:marRight w:val="0"/>
      <w:marTop w:val="0"/>
      <w:marBottom w:val="0"/>
      <w:divBdr>
        <w:top w:val="none" w:sz="0" w:space="0" w:color="auto"/>
        <w:left w:val="none" w:sz="0" w:space="0" w:color="auto"/>
        <w:bottom w:val="none" w:sz="0" w:space="0" w:color="auto"/>
        <w:right w:val="none" w:sz="0" w:space="0" w:color="auto"/>
      </w:divBdr>
    </w:div>
    <w:div w:id="951017241">
      <w:bodyDiv w:val="1"/>
      <w:marLeft w:val="0"/>
      <w:marRight w:val="0"/>
      <w:marTop w:val="0"/>
      <w:marBottom w:val="0"/>
      <w:divBdr>
        <w:top w:val="none" w:sz="0" w:space="0" w:color="auto"/>
        <w:left w:val="none" w:sz="0" w:space="0" w:color="auto"/>
        <w:bottom w:val="none" w:sz="0" w:space="0" w:color="auto"/>
        <w:right w:val="none" w:sz="0" w:space="0" w:color="auto"/>
      </w:divBdr>
    </w:div>
    <w:div w:id="952371576">
      <w:bodyDiv w:val="1"/>
      <w:marLeft w:val="0"/>
      <w:marRight w:val="0"/>
      <w:marTop w:val="0"/>
      <w:marBottom w:val="0"/>
      <w:divBdr>
        <w:top w:val="none" w:sz="0" w:space="0" w:color="auto"/>
        <w:left w:val="none" w:sz="0" w:space="0" w:color="auto"/>
        <w:bottom w:val="none" w:sz="0" w:space="0" w:color="auto"/>
        <w:right w:val="none" w:sz="0" w:space="0" w:color="auto"/>
      </w:divBdr>
    </w:div>
    <w:div w:id="952829275">
      <w:bodyDiv w:val="1"/>
      <w:marLeft w:val="0"/>
      <w:marRight w:val="0"/>
      <w:marTop w:val="0"/>
      <w:marBottom w:val="0"/>
      <w:divBdr>
        <w:top w:val="none" w:sz="0" w:space="0" w:color="auto"/>
        <w:left w:val="none" w:sz="0" w:space="0" w:color="auto"/>
        <w:bottom w:val="none" w:sz="0" w:space="0" w:color="auto"/>
        <w:right w:val="none" w:sz="0" w:space="0" w:color="auto"/>
      </w:divBdr>
    </w:div>
    <w:div w:id="953099319">
      <w:bodyDiv w:val="1"/>
      <w:marLeft w:val="0"/>
      <w:marRight w:val="0"/>
      <w:marTop w:val="0"/>
      <w:marBottom w:val="0"/>
      <w:divBdr>
        <w:top w:val="none" w:sz="0" w:space="0" w:color="auto"/>
        <w:left w:val="none" w:sz="0" w:space="0" w:color="auto"/>
        <w:bottom w:val="none" w:sz="0" w:space="0" w:color="auto"/>
        <w:right w:val="none" w:sz="0" w:space="0" w:color="auto"/>
      </w:divBdr>
    </w:div>
    <w:div w:id="953247121">
      <w:bodyDiv w:val="1"/>
      <w:marLeft w:val="0"/>
      <w:marRight w:val="0"/>
      <w:marTop w:val="0"/>
      <w:marBottom w:val="0"/>
      <w:divBdr>
        <w:top w:val="none" w:sz="0" w:space="0" w:color="auto"/>
        <w:left w:val="none" w:sz="0" w:space="0" w:color="auto"/>
        <w:bottom w:val="none" w:sz="0" w:space="0" w:color="auto"/>
        <w:right w:val="none" w:sz="0" w:space="0" w:color="auto"/>
      </w:divBdr>
    </w:div>
    <w:div w:id="953291998">
      <w:bodyDiv w:val="1"/>
      <w:marLeft w:val="0"/>
      <w:marRight w:val="0"/>
      <w:marTop w:val="0"/>
      <w:marBottom w:val="0"/>
      <w:divBdr>
        <w:top w:val="none" w:sz="0" w:space="0" w:color="auto"/>
        <w:left w:val="none" w:sz="0" w:space="0" w:color="auto"/>
        <w:bottom w:val="none" w:sz="0" w:space="0" w:color="auto"/>
        <w:right w:val="none" w:sz="0" w:space="0" w:color="auto"/>
      </w:divBdr>
    </w:div>
    <w:div w:id="953561672">
      <w:bodyDiv w:val="1"/>
      <w:marLeft w:val="0"/>
      <w:marRight w:val="0"/>
      <w:marTop w:val="0"/>
      <w:marBottom w:val="0"/>
      <w:divBdr>
        <w:top w:val="none" w:sz="0" w:space="0" w:color="auto"/>
        <w:left w:val="none" w:sz="0" w:space="0" w:color="auto"/>
        <w:bottom w:val="none" w:sz="0" w:space="0" w:color="auto"/>
        <w:right w:val="none" w:sz="0" w:space="0" w:color="auto"/>
      </w:divBdr>
    </w:div>
    <w:div w:id="954168686">
      <w:bodyDiv w:val="1"/>
      <w:marLeft w:val="0"/>
      <w:marRight w:val="0"/>
      <w:marTop w:val="0"/>
      <w:marBottom w:val="0"/>
      <w:divBdr>
        <w:top w:val="none" w:sz="0" w:space="0" w:color="auto"/>
        <w:left w:val="none" w:sz="0" w:space="0" w:color="auto"/>
        <w:bottom w:val="none" w:sz="0" w:space="0" w:color="auto"/>
        <w:right w:val="none" w:sz="0" w:space="0" w:color="auto"/>
      </w:divBdr>
    </w:div>
    <w:div w:id="954478898">
      <w:bodyDiv w:val="1"/>
      <w:marLeft w:val="0"/>
      <w:marRight w:val="0"/>
      <w:marTop w:val="0"/>
      <w:marBottom w:val="0"/>
      <w:divBdr>
        <w:top w:val="none" w:sz="0" w:space="0" w:color="auto"/>
        <w:left w:val="none" w:sz="0" w:space="0" w:color="auto"/>
        <w:bottom w:val="none" w:sz="0" w:space="0" w:color="auto"/>
        <w:right w:val="none" w:sz="0" w:space="0" w:color="auto"/>
      </w:divBdr>
    </w:div>
    <w:div w:id="957372542">
      <w:bodyDiv w:val="1"/>
      <w:marLeft w:val="0"/>
      <w:marRight w:val="0"/>
      <w:marTop w:val="0"/>
      <w:marBottom w:val="0"/>
      <w:divBdr>
        <w:top w:val="none" w:sz="0" w:space="0" w:color="auto"/>
        <w:left w:val="none" w:sz="0" w:space="0" w:color="auto"/>
        <w:bottom w:val="none" w:sz="0" w:space="0" w:color="auto"/>
        <w:right w:val="none" w:sz="0" w:space="0" w:color="auto"/>
      </w:divBdr>
    </w:div>
    <w:div w:id="957685588">
      <w:bodyDiv w:val="1"/>
      <w:marLeft w:val="0"/>
      <w:marRight w:val="0"/>
      <w:marTop w:val="0"/>
      <w:marBottom w:val="0"/>
      <w:divBdr>
        <w:top w:val="none" w:sz="0" w:space="0" w:color="auto"/>
        <w:left w:val="none" w:sz="0" w:space="0" w:color="auto"/>
        <w:bottom w:val="none" w:sz="0" w:space="0" w:color="auto"/>
        <w:right w:val="none" w:sz="0" w:space="0" w:color="auto"/>
      </w:divBdr>
    </w:div>
    <w:div w:id="957756930">
      <w:bodyDiv w:val="1"/>
      <w:marLeft w:val="0"/>
      <w:marRight w:val="0"/>
      <w:marTop w:val="0"/>
      <w:marBottom w:val="0"/>
      <w:divBdr>
        <w:top w:val="none" w:sz="0" w:space="0" w:color="auto"/>
        <w:left w:val="none" w:sz="0" w:space="0" w:color="auto"/>
        <w:bottom w:val="none" w:sz="0" w:space="0" w:color="auto"/>
        <w:right w:val="none" w:sz="0" w:space="0" w:color="auto"/>
      </w:divBdr>
    </w:div>
    <w:div w:id="958145363">
      <w:bodyDiv w:val="1"/>
      <w:marLeft w:val="0"/>
      <w:marRight w:val="0"/>
      <w:marTop w:val="0"/>
      <w:marBottom w:val="0"/>
      <w:divBdr>
        <w:top w:val="none" w:sz="0" w:space="0" w:color="auto"/>
        <w:left w:val="none" w:sz="0" w:space="0" w:color="auto"/>
        <w:bottom w:val="none" w:sz="0" w:space="0" w:color="auto"/>
        <w:right w:val="none" w:sz="0" w:space="0" w:color="auto"/>
      </w:divBdr>
    </w:div>
    <w:div w:id="958995900">
      <w:bodyDiv w:val="1"/>
      <w:marLeft w:val="0"/>
      <w:marRight w:val="0"/>
      <w:marTop w:val="0"/>
      <w:marBottom w:val="0"/>
      <w:divBdr>
        <w:top w:val="none" w:sz="0" w:space="0" w:color="auto"/>
        <w:left w:val="none" w:sz="0" w:space="0" w:color="auto"/>
        <w:bottom w:val="none" w:sz="0" w:space="0" w:color="auto"/>
        <w:right w:val="none" w:sz="0" w:space="0" w:color="auto"/>
      </w:divBdr>
    </w:div>
    <w:div w:id="959074996">
      <w:bodyDiv w:val="1"/>
      <w:marLeft w:val="0"/>
      <w:marRight w:val="0"/>
      <w:marTop w:val="0"/>
      <w:marBottom w:val="0"/>
      <w:divBdr>
        <w:top w:val="none" w:sz="0" w:space="0" w:color="auto"/>
        <w:left w:val="none" w:sz="0" w:space="0" w:color="auto"/>
        <w:bottom w:val="none" w:sz="0" w:space="0" w:color="auto"/>
        <w:right w:val="none" w:sz="0" w:space="0" w:color="auto"/>
      </w:divBdr>
    </w:div>
    <w:div w:id="959533700">
      <w:bodyDiv w:val="1"/>
      <w:marLeft w:val="0"/>
      <w:marRight w:val="0"/>
      <w:marTop w:val="0"/>
      <w:marBottom w:val="0"/>
      <w:divBdr>
        <w:top w:val="none" w:sz="0" w:space="0" w:color="auto"/>
        <w:left w:val="none" w:sz="0" w:space="0" w:color="auto"/>
        <w:bottom w:val="none" w:sz="0" w:space="0" w:color="auto"/>
        <w:right w:val="none" w:sz="0" w:space="0" w:color="auto"/>
      </w:divBdr>
    </w:div>
    <w:div w:id="959645948">
      <w:bodyDiv w:val="1"/>
      <w:marLeft w:val="0"/>
      <w:marRight w:val="0"/>
      <w:marTop w:val="0"/>
      <w:marBottom w:val="0"/>
      <w:divBdr>
        <w:top w:val="none" w:sz="0" w:space="0" w:color="auto"/>
        <w:left w:val="none" w:sz="0" w:space="0" w:color="auto"/>
        <w:bottom w:val="none" w:sz="0" w:space="0" w:color="auto"/>
        <w:right w:val="none" w:sz="0" w:space="0" w:color="auto"/>
      </w:divBdr>
    </w:div>
    <w:div w:id="960653356">
      <w:bodyDiv w:val="1"/>
      <w:marLeft w:val="0"/>
      <w:marRight w:val="0"/>
      <w:marTop w:val="0"/>
      <w:marBottom w:val="0"/>
      <w:divBdr>
        <w:top w:val="none" w:sz="0" w:space="0" w:color="auto"/>
        <w:left w:val="none" w:sz="0" w:space="0" w:color="auto"/>
        <w:bottom w:val="none" w:sz="0" w:space="0" w:color="auto"/>
        <w:right w:val="none" w:sz="0" w:space="0" w:color="auto"/>
      </w:divBdr>
    </w:div>
    <w:div w:id="961881225">
      <w:bodyDiv w:val="1"/>
      <w:marLeft w:val="0"/>
      <w:marRight w:val="0"/>
      <w:marTop w:val="0"/>
      <w:marBottom w:val="0"/>
      <w:divBdr>
        <w:top w:val="none" w:sz="0" w:space="0" w:color="auto"/>
        <w:left w:val="none" w:sz="0" w:space="0" w:color="auto"/>
        <w:bottom w:val="none" w:sz="0" w:space="0" w:color="auto"/>
        <w:right w:val="none" w:sz="0" w:space="0" w:color="auto"/>
      </w:divBdr>
    </w:div>
    <w:div w:id="962417929">
      <w:bodyDiv w:val="1"/>
      <w:marLeft w:val="0"/>
      <w:marRight w:val="0"/>
      <w:marTop w:val="0"/>
      <w:marBottom w:val="0"/>
      <w:divBdr>
        <w:top w:val="none" w:sz="0" w:space="0" w:color="auto"/>
        <w:left w:val="none" w:sz="0" w:space="0" w:color="auto"/>
        <w:bottom w:val="none" w:sz="0" w:space="0" w:color="auto"/>
        <w:right w:val="none" w:sz="0" w:space="0" w:color="auto"/>
      </w:divBdr>
    </w:div>
    <w:div w:id="962735680">
      <w:bodyDiv w:val="1"/>
      <w:marLeft w:val="0"/>
      <w:marRight w:val="0"/>
      <w:marTop w:val="0"/>
      <w:marBottom w:val="0"/>
      <w:divBdr>
        <w:top w:val="none" w:sz="0" w:space="0" w:color="auto"/>
        <w:left w:val="none" w:sz="0" w:space="0" w:color="auto"/>
        <w:bottom w:val="none" w:sz="0" w:space="0" w:color="auto"/>
        <w:right w:val="none" w:sz="0" w:space="0" w:color="auto"/>
      </w:divBdr>
    </w:div>
    <w:div w:id="964038947">
      <w:bodyDiv w:val="1"/>
      <w:marLeft w:val="0"/>
      <w:marRight w:val="0"/>
      <w:marTop w:val="0"/>
      <w:marBottom w:val="0"/>
      <w:divBdr>
        <w:top w:val="none" w:sz="0" w:space="0" w:color="auto"/>
        <w:left w:val="none" w:sz="0" w:space="0" w:color="auto"/>
        <w:bottom w:val="none" w:sz="0" w:space="0" w:color="auto"/>
        <w:right w:val="none" w:sz="0" w:space="0" w:color="auto"/>
      </w:divBdr>
    </w:div>
    <w:div w:id="964308324">
      <w:bodyDiv w:val="1"/>
      <w:marLeft w:val="0"/>
      <w:marRight w:val="0"/>
      <w:marTop w:val="0"/>
      <w:marBottom w:val="0"/>
      <w:divBdr>
        <w:top w:val="none" w:sz="0" w:space="0" w:color="auto"/>
        <w:left w:val="none" w:sz="0" w:space="0" w:color="auto"/>
        <w:bottom w:val="none" w:sz="0" w:space="0" w:color="auto"/>
        <w:right w:val="none" w:sz="0" w:space="0" w:color="auto"/>
      </w:divBdr>
    </w:div>
    <w:div w:id="964315924">
      <w:bodyDiv w:val="1"/>
      <w:marLeft w:val="0"/>
      <w:marRight w:val="0"/>
      <w:marTop w:val="0"/>
      <w:marBottom w:val="0"/>
      <w:divBdr>
        <w:top w:val="none" w:sz="0" w:space="0" w:color="auto"/>
        <w:left w:val="none" w:sz="0" w:space="0" w:color="auto"/>
        <w:bottom w:val="none" w:sz="0" w:space="0" w:color="auto"/>
        <w:right w:val="none" w:sz="0" w:space="0" w:color="auto"/>
      </w:divBdr>
    </w:div>
    <w:div w:id="965307402">
      <w:bodyDiv w:val="1"/>
      <w:marLeft w:val="0"/>
      <w:marRight w:val="0"/>
      <w:marTop w:val="0"/>
      <w:marBottom w:val="0"/>
      <w:divBdr>
        <w:top w:val="none" w:sz="0" w:space="0" w:color="auto"/>
        <w:left w:val="none" w:sz="0" w:space="0" w:color="auto"/>
        <w:bottom w:val="none" w:sz="0" w:space="0" w:color="auto"/>
        <w:right w:val="none" w:sz="0" w:space="0" w:color="auto"/>
      </w:divBdr>
    </w:div>
    <w:div w:id="965476789">
      <w:bodyDiv w:val="1"/>
      <w:marLeft w:val="0"/>
      <w:marRight w:val="0"/>
      <w:marTop w:val="0"/>
      <w:marBottom w:val="0"/>
      <w:divBdr>
        <w:top w:val="none" w:sz="0" w:space="0" w:color="auto"/>
        <w:left w:val="none" w:sz="0" w:space="0" w:color="auto"/>
        <w:bottom w:val="none" w:sz="0" w:space="0" w:color="auto"/>
        <w:right w:val="none" w:sz="0" w:space="0" w:color="auto"/>
      </w:divBdr>
    </w:div>
    <w:div w:id="966205307">
      <w:bodyDiv w:val="1"/>
      <w:marLeft w:val="0"/>
      <w:marRight w:val="0"/>
      <w:marTop w:val="0"/>
      <w:marBottom w:val="0"/>
      <w:divBdr>
        <w:top w:val="none" w:sz="0" w:space="0" w:color="auto"/>
        <w:left w:val="none" w:sz="0" w:space="0" w:color="auto"/>
        <w:bottom w:val="none" w:sz="0" w:space="0" w:color="auto"/>
        <w:right w:val="none" w:sz="0" w:space="0" w:color="auto"/>
      </w:divBdr>
    </w:div>
    <w:div w:id="966355077">
      <w:bodyDiv w:val="1"/>
      <w:marLeft w:val="0"/>
      <w:marRight w:val="0"/>
      <w:marTop w:val="0"/>
      <w:marBottom w:val="0"/>
      <w:divBdr>
        <w:top w:val="none" w:sz="0" w:space="0" w:color="auto"/>
        <w:left w:val="none" w:sz="0" w:space="0" w:color="auto"/>
        <w:bottom w:val="none" w:sz="0" w:space="0" w:color="auto"/>
        <w:right w:val="none" w:sz="0" w:space="0" w:color="auto"/>
      </w:divBdr>
    </w:div>
    <w:div w:id="966856069">
      <w:bodyDiv w:val="1"/>
      <w:marLeft w:val="0"/>
      <w:marRight w:val="0"/>
      <w:marTop w:val="0"/>
      <w:marBottom w:val="0"/>
      <w:divBdr>
        <w:top w:val="none" w:sz="0" w:space="0" w:color="auto"/>
        <w:left w:val="none" w:sz="0" w:space="0" w:color="auto"/>
        <w:bottom w:val="none" w:sz="0" w:space="0" w:color="auto"/>
        <w:right w:val="none" w:sz="0" w:space="0" w:color="auto"/>
      </w:divBdr>
    </w:div>
    <w:div w:id="967390871">
      <w:bodyDiv w:val="1"/>
      <w:marLeft w:val="0"/>
      <w:marRight w:val="0"/>
      <w:marTop w:val="0"/>
      <w:marBottom w:val="0"/>
      <w:divBdr>
        <w:top w:val="none" w:sz="0" w:space="0" w:color="auto"/>
        <w:left w:val="none" w:sz="0" w:space="0" w:color="auto"/>
        <w:bottom w:val="none" w:sz="0" w:space="0" w:color="auto"/>
        <w:right w:val="none" w:sz="0" w:space="0" w:color="auto"/>
      </w:divBdr>
    </w:div>
    <w:div w:id="967472783">
      <w:bodyDiv w:val="1"/>
      <w:marLeft w:val="0"/>
      <w:marRight w:val="0"/>
      <w:marTop w:val="0"/>
      <w:marBottom w:val="0"/>
      <w:divBdr>
        <w:top w:val="none" w:sz="0" w:space="0" w:color="auto"/>
        <w:left w:val="none" w:sz="0" w:space="0" w:color="auto"/>
        <w:bottom w:val="none" w:sz="0" w:space="0" w:color="auto"/>
        <w:right w:val="none" w:sz="0" w:space="0" w:color="auto"/>
      </w:divBdr>
    </w:div>
    <w:div w:id="968172999">
      <w:bodyDiv w:val="1"/>
      <w:marLeft w:val="0"/>
      <w:marRight w:val="0"/>
      <w:marTop w:val="0"/>
      <w:marBottom w:val="0"/>
      <w:divBdr>
        <w:top w:val="none" w:sz="0" w:space="0" w:color="auto"/>
        <w:left w:val="none" w:sz="0" w:space="0" w:color="auto"/>
        <w:bottom w:val="none" w:sz="0" w:space="0" w:color="auto"/>
        <w:right w:val="none" w:sz="0" w:space="0" w:color="auto"/>
      </w:divBdr>
    </w:div>
    <w:div w:id="969435490">
      <w:bodyDiv w:val="1"/>
      <w:marLeft w:val="0"/>
      <w:marRight w:val="0"/>
      <w:marTop w:val="0"/>
      <w:marBottom w:val="0"/>
      <w:divBdr>
        <w:top w:val="none" w:sz="0" w:space="0" w:color="auto"/>
        <w:left w:val="none" w:sz="0" w:space="0" w:color="auto"/>
        <w:bottom w:val="none" w:sz="0" w:space="0" w:color="auto"/>
        <w:right w:val="none" w:sz="0" w:space="0" w:color="auto"/>
      </w:divBdr>
    </w:div>
    <w:div w:id="970945136">
      <w:bodyDiv w:val="1"/>
      <w:marLeft w:val="0"/>
      <w:marRight w:val="0"/>
      <w:marTop w:val="0"/>
      <w:marBottom w:val="0"/>
      <w:divBdr>
        <w:top w:val="none" w:sz="0" w:space="0" w:color="auto"/>
        <w:left w:val="none" w:sz="0" w:space="0" w:color="auto"/>
        <w:bottom w:val="none" w:sz="0" w:space="0" w:color="auto"/>
        <w:right w:val="none" w:sz="0" w:space="0" w:color="auto"/>
      </w:divBdr>
    </w:div>
    <w:div w:id="971980414">
      <w:bodyDiv w:val="1"/>
      <w:marLeft w:val="0"/>
      <w:marRight w:val="0"/>
      <w:marTop w:val="0"/>
      <w:marBottom w:val="0"/>
      <w:divBdr>
        <w:top w:val="none" w:sz="0" w:space="0" w:color="auto"/>
        <w:left w:val="none" w:sz="0" w:space="0" w:color="auto"/>
        <w:bottom w:val="none" w:sz="0" w:space="0" w:color="auto"/>
        <w:right w:val="none" w:sz="0" w:space="0" w:color="auto"/>
      </w:divBdr>
    </w:div>
    <w:div w:id="973026306">
      <w:bodyDiv w:val="1"/>
      <w:marLeft w:val="0"/>
      <w:marRight w:val="0"/>
      <w:marTop w:val="0"/>
      <w:marBottom w:val="0"/>
      <w:divBdr>
        <w:top w:val="none" w:sz="0" w:space="0" w:color="auto"/>
        <w:left w:val="none" w:sz="0" w:space="0" w:color="auto"/>
        <w:bottom w:val="none" w:sz="0" w:space="0" w:color="auto"/>
        <w:right w:val="none" w:sz="0" w:space="0" w:color="auto"/>
      </w:divBdr>
    </w:div>
    <w:div w:id="973214610">
      <w:bodyDiv w:val="1"/>
      <w:marLeft w:val="0"/>
      <w:marRight w:val="0"/>
      <w:marTop w:val="0"/>
      <w:marBottom w:val="0"/>
      <w:divBdr>
        <w:top w:val="none" w:sz="0" w:space="0" w:color="auto"/>
        <w:left w:val="none" w:sz="0" w:space="0" w:color="auto"/>
        <w:bottom w:val="none" w:sz="0" w:space="0" w:color="auto"/>
        <w:right w:val="none" w:sz="0" w:space="0" w:color="auto"/>
      </w:divBdr>
    </w:div>
    <w:div w:id="973415304">
      <w:bodyDiv w:val="1"/>
      <w:marLeft w:val="0"/>
      <w:marRight w:val="0"/>
      <w:marTop w:val="0"/>
      <w:marBottom w:val="0"/>
      <w:divBdr>
        <w:top w:val="none" w:sz="0" w:space="0" w:color="auto"/>
        <w:left w:val="none" w:sz="0" w:space="0" w:color="auto"/>
        <w:bottom w:val="none" w:sz="0" w:space="0" w:color="auto"/>
        <w:right w:val="none" w:sz="0" w:space="0" w:color="auto"/>
      </w:divBdr>
    </w:div>
    <w:div w:id="974943465">
      <w:bodyDiv w:val="1"/>
      <w:marLeft w:val="0"/>
      <w:marRight w:val="0"/>
      <w:marTop w:val="0"/>
      <w:marBottom w:val="0"/>
      <w:divBdr>
        <w:top w:val="none" w:sz="0" w:space="0" w:color="auto"/>
        <w:left w:val="none" w:sz="0" w:space="0" w:color="auto"/>
        <w:bottom w:val="none" w:sz="0" w:space="0" w:color="auto"/>
        <w:right w:val="none" w:sz="0" w:space="0" w:color="auto"/>
      </w:divBdr>
    </w:div>
    <w:div w:id="975725406">
      <w:bodyDiv w:val="1"/>
      <w:marLeft w:val="0"/>
      <w:marRight w:val="0"/>
      <w:marTop w:val="0"/>
      <w:marBottom w:val="0"/>
      <w:divBdr>
        <w:top w:val="none" w:sz="0" w:space="0" w:color="auto"/>
        <w:left w:val="none" w:sz="0" w:space="0" w:color="auto"/>
        <w:bottom w:val="none" w:sz="0" w:space="0" w:color="auto"/>
        <w:right w:val="none" w:sz="0" w:space="0" w:color="auto"/>
      </w:divBdr>
    </w:div>
    <w:div w:id="975991946">
      <w:bodyDiv w:val="1"/>
      <w:marLeft w:val="0"/>
      <w:marRight w:val="0"/>
      <w:marTop w:val="0"/>
      <w:marBottom w:val="0"/>
      <w:divBdr>
        <w:top w:val="none" w:sz="0" w:space="0" w:color="auto"/>
        <w:left w:val="none" w:sz="0" w:space="0" w:color="auto"/>
        <w:bottom w:val="none" w:sz="0" w:space="0" w:color="auto"/>
        <w:right w:val="none" w:sz="0" w:space="0" w:color="auto"/>
      </w:divBdr>
    </w:div>
    <w:div w:id="976912332">
      <w:bodyDiv w:val="1"/>
      <w:marLeft w:val="0"/>
      <w:marRight w:val="0"/>
      <w:marTop w:val="0"/>
      <w:marBottom w:val="0"/>
      <w:divBdr>
        <w:top w:val="none" w:sz="0" w:space="0" w:color="auto"/>
        <w:left w:val="none" w:sz="0" w:space="0" w:color="auto"/>
        <w:bottom w:val="none" w:sz="0" w:space="0" w:color="auto"/>
        <w:right w:val="none" w:sz="0" w:space="0" w:color="auto"/>
      </w:divBdr>
    </w:div>
    <w:div w:id="977076411">
      <w:bodyDiv w:val="1"/>
      <w:marLeft w:val="0"/>
      <w:marRight w:val="0"/>
      <w:marTop w:val="0"/>
      <w:marBottom w:val="0"/>
      <w:divBdr>
        <w:top w:val="none" w:sz="0" w:space="0" w:color="auto"/>
        <w:left w:val="none" w:sz="0" w:space="0" w:color="auto"/>
        <w:bottom w:val="none" w:sz="0" w:space="0" w:color="auto"/>
        <w:right w:val="none" w:sz="0" w:space="0" w:color="auto"/>
      </w:divBdr>
    </w:div>
    <w:div w:id="977076943">
      <w:bodyDiv w:val="1"/>
      <w:marLeft w:val="0"/>
      <w:marRight w:val="0"/>
      <w:marTop w:val="0"/>
      <w:marBottom w:val="0"/>
      <w:divBdr>
        <w:top w:val="none" w:sz="0" w:space="0" w:color="auto"/>
        <w:left w:val="none" w:sz="0" w:space="0" w:color="auto"/>
        <w:bottom w:val="none" w:sz="0" w:space="0" w:color="auto"/>
        <w:right w:val="none" w:sz="0" w:space="0" w:color="auto"/>
      </w:divBdr>
    </w:div>
    <w:div w:id="977759829">
      <w:bodyDiv w:val="1"/>
      <w:marLeft w:val="0"/>
      <w:marRight w:val="0"/>
      <w:marTop w:val="0"/>
      <w:marBottom w:val="0"/>
      <w:divBdr>
        <w:top w:val="none" w:sz="0" w:space="0" w:color="auto"/>
        <w:left w:val="none" w:sz="0" w:space="0" w:color="auto"/>
        <w:bottom w:val="none" w:sz="0" w:space="0" w:color="auto"/>
        <w:right w:val="none" w:sz="0" w:space="0" w:color="auto"/>
      </w:divBdr>
    </w:div>
    <w:div w:id="977801444">
      <w:bodyDiv w:val="1"/>
      <w:marLeft w:val="0"/>
      <w:marRight w:val="0"/>
      <w:marTop w:val="0"/>
      <w:marBottom w:val="0"/>
      <w:divBdr>
        <w:top w:val="none" w:sz="0" w:space="0" w:color="auto"/>
        <w:left w:val="none" w:sz="0" w:space="0" w:color="auto"/>
        <w:bottom w:val="none" w:sz="0" w:space="0" w:color="auto"/>
        <w:right w:val="none" w:sz="0" w:space="0" w:color="auto"/>
      </w:divBdr>
    </w:div>
    <w:div w:id="977879602">
      <w:bodyDiv w:val="1"/>
      <w:marLeft w:val="0"/>
      <w:marRight w:val="0"/>
      <w:marTop w:val="0"/>
      <w:marBottom w:val="0"/>
      <w:divBdr>
        <w:top w:val="none" w:sz="0" w:space="0" w:color="auto"/>
        <w:left w:val="none" w:sz="0" w:space="0" w:color="auto"/>
        <w:bottom w:val="none" w:sz="0" w:space="0" w:color="auto"/>
        <w:right w:val="none" w:sz="0" w:space="0" w:color="auto"/>
      </w:divBdr>
    </w:div>
    <w:div w:id="978262030">
      <w:bodyDiv w:val="1"/>
      <w:marLeft w:val="0"/>
      <w:marRight w:val="0"/>
      <w:marTop w:val="0"/>
      <w:marBottom w:val="0"/>
      <w:divBdr>
        <w:top w:val="none" w:sz="0" w:space="0" w:color="auto"/>
        <w:left w:val="none" w:sz="0" w:space="0" w:color="auto"/>
        <w:bottom w:val="none" w:sz="0" w:space="0" w:color="auto"/>
        <w:right w:val="none" w:sz="0" w:space="0" w:color="auto"/>
      </w:divBdr>
    </w:div>
    <w:div w:id="978608383">
      <w:bodyDiv w:val="1"/>
      <w:marLeft w:val="0"/>
      <w:marRight w:val="0"/>
      <w:marTop w:val="0"/>
      <w:marBottom w:val="0"/>
      <w:divBdr>
        <w:top w:val="none" w:sz="0" w:space="0" w:color="auto"/>
        <w:left w:val="none" w:sz="0" w:space="0" w:color="auto"/>
        <w:bottom w:val="none" w:sz="0" w:space="0" w:color="auto"/>
        <w:right w:val="none" w:sz="0" w:space="0" w:color="auto"/>
      </w:divBdr>
    </w:div>
    <w:div w:id="978731247">
      <w:bodyDiv w:val="1"/>
      <w:marLeft w:val="0"/>
      <w:marRight w:val="0"/>
      <w:marTop w:val="0"/>
      <w:marBottom w:val="0"/>
      <w:divBdr>
        <w:top w:val="none" w:sz="0" w:space="0" w:color="auto"/>
        <w:left w:val="none" w:sz="0" w:space="0" w:color="auto"/>
        <w:bottom w:val="none" w:sz="0" w:space="0" w:color="auto"/>
        <w:right w:val="none" w:sz="0" w:space="0" w:color="auto"/>
      </w:divBdr>
    </w:div>
    <w:div w:id="978801910">
      <w:bodyDiv w:val="1"/>
      <w:marLeft w:val="0"/>
      <w:marRight w:val="0"/>
      <w:marTop w:val="0"/>
      <w:marBottom w:val="0"/>
      <w:divBdr>
        <w:top w:val="none" w:sz="0" w:space="0" w:color="auto"/>
        <w:left w:val="none" w:sz="0" w:space="0" w:color="auto"/>
        <w:bottom w:val="none" w:sz="0" w:space="0" w:color="auto"/>
        <w:right w:val="none" w:sz="0" w:space="0" w:color="auto"/>
      </w:divBdr>
    </w:div>
    <w:div w:id="979118746">
      <w:bodyDiv w:val="1"/>
      <w:marLeft w:val="0"/>
      <w:marRight w:val="0"/>
      <w:marTop w:val="0"/>
      <w:marBottom w:val="0"/>
      <w:divBdr>
        <w:top w:val="none" w:sz="0" w:space="0" w:color="auto"/>
        <w:left w:val="none" w:sz="0" w:space="0" w:color="auto"/>
        <w:bottom w:val="none" w:sz="0" w:space="0" w:color="auto"/>
        <w:right w:val="none" w:sz="0" w:space="0" w:color="auto"/>
      </w:divBdr>
    </w:div>
    <w:div w:id="979336348">
      <w:bodyDiv w:val="1"/>
      <w:marLeft w:val="0"/>
      <w:marRight w:val="0"/>
      <w:marTop w:val="0"/>
      <w:marBottom w:val="0"/>
      <w:divBdr>
        <w:top w:val="none" w:sz="0" w:space="0" w:color="auto"/>
        <w:left w:val="none" w:sz="0" w:space="0" w:color="auto"/>
        <w:bottom w:val="none" w:sz="0" w:space="0" w:color="auto"/>
        <w:right w:val="none" w:sz="0" w:space="0" w:color="auto"/>
      </w:divBdr>
    </w:div>
    <w:div w:id="979573467">
      <w:bodyDiv w:val="1"/>
      <w:marLeft w:val="0"/>
      <w:marRight w:val="0"/>
      <w:marTop w:val="0"/>
      <w:marBottom w:val="0"/>
      <w:divBdr>
        <w:top w:val="none" w:sz="0" w:space="0" w:color="auto"/>
        <w:left w:val="none" w:sz="0" w:space="0" w:color="auto"/>
        <w:bottom w:val="none" w:sz="0" w:space="0" w:color="auto"/>
        <w:right w:val="none" w:sz="0" w:space="0" w:color="auto"/>
      </w:divBdr>
    </w:div>
    <w:div w:id="980312252">
      <w:bodyDiv w:val="1"/>
      <w:marLeft w:val="0"/>
      <w:marRight w:val="0"/>
      <w:marTop w:val="0"/>
      <w:marBottom w:val="0"/>
      <w:divBdr>
        <w:top w:val="none" w:sz="0" w:space="0" w:color="auto"/>
        <w:left w:val="none" w:sz="0" w:space="0" w:color="auto"/>
        <w:bottom w:val="none" w:sz="0" w:space="0" w:color="auto"/>
        <w:right w:val="none" w:sz="0" w:space="0" w:color="auto"/>
      </w:divBdr>
    </w:div>
    <w:div w:id="981039582">
      <w:bodyDiv w:val="1"/>
      <w:marLeft w:val="0"/>
      <w:marRight w:val="0"/>
      <w:marTop w:val="0"/>
      <w:marBottom w:val="0"/>
      <w:divBdr>
        <w:top w:val="none" w:sz="0" w:space="0" w:color="auto"/>
        <w:left w:val="none" w:sz="0" w:space="0" w:color="auto"/>
        <w:bottom w:val="none" w:sz="0" w:space="0" w:color="auto"/>
        <w:right w:val="none" w:sz="0" w:space="0" w:color="auto"/>
      </w:divBdr>
    </w:div>
    <w:div w:id="981429160">
      <w:bodyDiv w:val="1"/>
      <w:marLeft w:val="0"/>
      <w:marRight w:val="0"/>
      <w:marTop w:val="0"/>
      <w:marBottom w:val="0"/>
      <w:divBdr>
        <w:top w:val="none" w:sz="0" w:space="0" w:color="auto"/>
        <w:left w:val="none" w:sz="0" w:space="0" w:color="auto"/>
        <w:bottom w:val="none" w:sz="0" w:space="0" w:color="auto"/>
        <w:right w:val="none" w:sz="0" w:space="0" w:color="auto"/>
      </w:divBdr>
    </w:div>
    <w:div w:id="982926906">
      <w:bodyDiv w:val="1"/>
      <w:marLeft w:val="0"/>
      <w:marRight w:val="0"/>
      <w:marTop w:val="0"/>
      <w:marBottom w:val="0"/>
      <w:divBdr>
        <w:top w:val="none" w:sz="0" w:space="0" w:color="auto"/>
        <w:left w:val="none" w:sz="0" w:space="0" w:color="auto"/>
        <w:bottom w:val="none" w:sz="0" w:space="0" w:color="auto"/>
        <w:right w:val="none" w:sz="0" w:space="0" w:color="auto"/>
      </w:divBdr>
    </w:div>
    <w:div w:id="982927176">
      <w:bodyDiv w:val="1"/>
      <w:marLeft w:val="0"/>
      <w:marRight w:val="0"/>
      <w:marTop w:val="0"/>
      <w:marBottom w:val="0"/>
      <w:divBdr>
        <w:top w:val="none" w:sz="0" w:space="0" w:color="auto"/>
        <w:left w:val="none" w:sz="0" w:space="0" w:color="auto"/>
        <w:bottom w:val="none" w:sz="0" w:space="0" w:color="auto"/>
        <w:right w:val="none" w:sz="0" w:space="0" w:color="auto"/>
      </w:divBdr>
    </w:div>
    <w:div w:id="983507195">
      <w:bodyDiv w:val="1"/>
      <w:marLeft w:val="0"/>
      <w:marRight w:val="0"/>
      <w:marTop w:val="0"/>
      <w:marBottom w:val="0"/>
      <w:divBdr>
        <w:top w:val="none" w:sz="0" w:space="0" w:color="auto"/>
        <w:left w:val="none" w:sz="0" w:space="0" w:color="auto"/>
        <w:bottom w:val="none" w:sz="0" w:space="0" w:color="auto"/>
        <w:right w:val="none" w:sz="0" w:space="0" w:color="auto"/>
      </w:divBdr>
    </w:div>
    <w:div w:id="983701319">
      <w:bodyDiv w:val="1"/>
      <w:marLeft w:val="0"/>
      <w:marRight w:val="0"/>
      <w:marTop w:val="0"/>
      <w:marBottom w:val="0"/>
      <w:divBdr>
        <w:top w:val="none" w:sz="0" w:space="0" w:color="auto"/>
        <w:left w:val="none" w:sz="0" w:space="0" w:color="auto"/>
        <w:bottom w:val="none" w:sz="0" w:space="0" w:color="auto"/>
        <w:right w:val="none" w:sz="0" w:space="0" w:color="auto"/>
      </w:divBdr>
    </w:div>
    <w:div w:id="983777277">
      <w:bodyDiv w:val="1"/>
      <w:marLeft w:val="0"/>
      <w:marRight w:val="0"/>
      <w:marTop w:val="0"/>
      <w:marBottom w:val="0"/>
      <w:divBdr>
        <w:top w:val="none" w:sz="0" w:space="0" w:color="auto"/>
        <w:left w:val="none" w:sz="0" w:space="0" w:color="auto"/>
        <w:bottom w:val="none" w:sz="0" w:space="0" w:color="auto"/>
        <w:right w:val="none" w:sz="0" w:space="0" w:color="auto"/>
      </w:divBdr>
    </w:div>
    <w:div w:id="984236125">
      <w:bodyDiv w:val="1"/>
      <w:marLeft w:val="0"/>
      <w:marRight w:val="0"/>
      <w:marTop w:val="0"/>
      <w:marBottom w:val="0"/>
      <w:divBdr>
        <w:top w:val="none" w:sz="0" w:space="0" w:color="auto"/>
        <w:left w:val="none" w:sz="0" w:space="0" w:color="auto"/>
        <w:bottom w:val="none" w:sz="0" w:space="0" w:color="auto"/>
        <w:right w:val="none" w:sz="0" w:space="0" w:color="auto"/>
      </w:divBdr>
    </w:div>
    <w:div w:id="984314935">
      <w:bodyDiv w:val="1"/>
      <w:marLeft w:val="0"/>
      <w:marRight w:val="0"/>
      <w:marTop w:val="0"/>
      <w:marBottom w:val="0"/>
      <w:divBdr>
        <w:top w:val="none" w:sz="0" w:space="0" w:color="auto"/>
        <w:left w:val="none" w:sz="0" w:space="0" w:color="auto"/>
        <w:bottom w:val="none" w:sz="0" w:space="0" w:color="auto"/>
        <w:right w:val="none" w:sz="0" w:space="0" w:color="auto"/>
      </w:divBdr>
    </w:div>
    <w:div w:id="984503635">
      <w:bodyDiv w:val="1"/>
      <w:marLeft w:val="0"/>
      <w:marRight w:val="0"/>
      <w:marTop w:val="0"/>
      <w:marBottom w:val="0"/>
      <w:divBdr>
        <w:top w:val="none" w:sz="0" w:space="0" w:color="auto"/>
        <w:left w:val="none" w:sz="0" w:space="0" w:color="auto"/>
        <w:bottom w:val="none" w:sz="0" w:space="0" w:color="auto"/>
        <w:right w:val="none" w:sz="0" w:space="0" w:color="auto"/>
      </w:divBdr>
    </w:div>
    <w:div w:id="985158938">
      <w:bodyDiv w:val="1"/>
      <w:marLeft w:val="0"/>
      <w:marRight w:val="0"/>
      <w:marTop w:val="0"/>
      <w:marBottom w:val="0"/>
      <w:divBdr>
        <w:top w:val="none" w:sz="0" w:space="0" w:color="auto"/>
        <w:left w:val="none" w:sz="0" w:space="0" w:color="auto"/>
        <w:bottom w:val="none" w:sz="0" w:space="0" w:color="auto"/>
        <w:right w:val="none" w:sz="0" w:space="0" w:color="auto"/>
      </w:divBdr>
    </w:div>
    <w:div w:id="986477444">
      <w:bodyDiv w:val="1"/>
      <w:marLeft w:val="0"/>
      <w:marRight w:val="0"/>
      <w:marTop w:val="0"/>
      <w:marBottom w:val="0"/>
      <w:divBdr>
        <w:top w:val="none" w:sz="0" w:space="0" w:color="auto"/>
        <w:left w:val="none" w:sz="0" w:space="0" w:color="auto"/>
        <w:bottom w:val="none" w:sz="0" w:space="0" w:color="auto"/>
        <w:right w:val="none" w:sz="0" w:space="0" w:color="auto"/>
      </w:divBdr>
    </w:div>
    <w:div w:id="987435133">
      <w:bodyDiv w:val="1"/>
      <w:marLeft w:val="0"/>
      <w:marRight w:val="0"/>
      <w:marTop w:val="0"/>
      <w:marBottom w:val="0"/>
      <w:divBdr>
        <w:top w:val="none" w:sz="0" w:space="0" w:color="auto"/>
        <w:left w:val="none" w:sz="0" w:space="0" w:color="auto"/>
        <w:bottom w:val="none" w:sz="0" w:space="0" w:color="auto"/>
        <w:right w:val="none" w:sz="0" w:space="0" w:color="auto"/>
      </w:divBdr>
    </w:div>
    <w:div w:id="987855483">
      <w:bodyDiv w:val="1"/>
      <w:marLeft w:val="0"/>
      <w:marRight w:val="0"/>
      <w:marTop w:val="0"/>
      <w:marBottom w:val="0"/>
      <w:divBdr>
        <w:top w:val="none" w:sz="0" w:space="0" w:color="auto"/>
        <w:left w:val="none" w:sz="0" w:space="0" w:color="auto"/>
        <w:bottom w:val="none" w:sz="0" w:space="0" w:color="auto"/>
        <w:right w:val="none" w:sz="0" w:space="0" w:color="auto"/>
      </w:divBdr>
    </w:div>
    <w:div w:id="987905013">
      <w:bodyDiv w:val="1"/>
      <w:marLeft w:val="0"/>
      <w:marRight w:val="0"/>
      <w:marTop w:val="0"/>
      <w:marBottom w:val="0"/>
      <w:divBdr>
        <w:top w:val="none" w:sz="0" w:space="0" w:color="auto"/>
        <w:left w:val="none" w:sz="0" w:space="0" w:color="auto"/>
        <w:bottom w:val="none" w:sz="0" w:space="0" w:color="auto"/>
        <w:right w:val="none" w:sz="0" w:space="0" w:color="auto"/>
      </w:divBdr>
    </w:div>
    <w:div w:id="988022890">
      <w:bodyDiv w:val="1"/>
      <w:marLeft w:val="0"/>
      <w:marRight w:val="0"/>
      <w:marTop w:val="0"/>
      <w:marBottom w:val="0"/>
      <w:divBdr>
        <w:top w:val="none" w:sz="0" w:space="0" w:color="auto"/>
        <w:left w:val="none" w:sz="0" w:space="0" w:color="auto"/>
        <w:bottom w:val="none" w:sz="0" w:space="0" w:color="auto"/>
        <w:right w:val="none" w:sz="0" w:space="0" w:color="auto"/>
      </w:divBdr>
    </w:div>
    <w:div w:id="988484741">
      <w:bodyDiv w:val="1"/>
      <w:marLeft w:val="0"/>
      <w:marRight w:val="0"/>
      <w:marTop w:val="0"/>
      <w:marBottom w:val="0"/>
      <w:divBdr>
        <w:top w:val="none" w:sz="0" w:space="0" w:color="auto"/>
        <w:left w:val="none" w:sz="0" w:space="0" w:color="auto"/>
        <w:bottom w:val="none" w:sz="0" w:space="0" w:color="auto"/>
        <w:right w:val="none" w:sz="0" w:space="0" w:color="auto"/>
      </w:divBdr>
    </w:div>
    <w:div w:id="989288162">
      <w:bodyDiv w:val="1"/>
      <w:marLeft w:val="0"/>
      <w:marRight w:val="0"/>
      <w:marTop w:val="0"/>
      <w:marBottom w:val="0"/>
      <w:divBdr>
        <w:top w:val="none" w:sz="0" w:space="0" w:color="auto"/>
        <w:left w:val="none" w:sz="0" w:space="0" w:color="auto"/>
        <w:bottom w:val="none" w:sz="0" w:space="0" w:color="auto"/>
        <w:right w:val="none" w:sz="0" w:space="0" w:color="auto"/>
      </w:divBdr>
    </w:div>
    <w:div w:id="989752703">
      <w:bodyDiv w:val="1"/>
      <w:marLeft w:val="0"/>
      <w:marRight w:val="0"/>
      <w:marTop w:val="0"/>
      <w:marBottom w:val="0"/>
      <w:divBdr>
        <w:top w:val="none" w:sz="0" w:space="0" w:color="auto"/>
        <w:left w:val="none" w:sz="0" w:space="0" w:color="auto"/>
        <w:bottom w:val="none" w:sz="0" w:space="0" w:color="auto"/>
        <w:right w:val="none" w:sz="0" w:space="0" w:color="auto"/>
      </w:divBdr>
    </w:div>
    <w:div w:id="989754417">
      <w:bodyDiv w:val="1"/>
      <w:marLeft w:val="0"/>
      <w:marRight w:val="0"/>
      <w:marTop w:val="0"/>
      <w:marBottom w:val="0"/>
      <w:divBdr>
        <w:top w:val="none" w:sz="0" w:space="0" w:color="auto"/>
        <w:left w:val="none" w:sz="0" w:space="0" w:color="auto"/>
        <w:bottom w:val="none" w:sz="0" w:space="0" w:color="auto"/>
        <w:right w:val="none" w:sz="0" w:space="0" w:color="auto"/>
      </w:divBdr>
    </w:div>
    <w:div w:id="990522818">
      <w:bodyDiv w:val="1"/>
      <w:marLeft w:val="0"/>
      <w:marRight w:val="0"/>
      <w:marTop w:val="0"/>
      <w:marBottom w:val="0"/>
      <w:divBdr>
        <w:top w:val="none" w:sz="0" w:space="0" w:color="auto"/>
        <w:left w:val="none" w:sz="0" w:space="0" w:color="auto"/>
        <w:bottom w:val="none" w:sz="0" w:space="0" w:color="auto"/>
        <w:right w:val="none" w:sz="0" w:space="0" w:color="auto"/>
      </w:divBdr>
    </w:div>
    <w:div w:id="991103512">
      <w:bodyDiv w:val="1"/>
      <w:marLeft w:val="0"/>
      <w:marRight w:val="0"/>
      <w:marTop w:val="0"/>
      <w:marBottom w:val="0"/>
      <w:divBdr>
        <w:top w:val="none" w:sz="0" w:space="0" w:color="auto"/>
        <w:left w:val="none" w:sz="0" w:space="0" w:color="auto"/>
        <w:bottom w:val="none" w:sz="0" w:space="0" w:color="auto"/>
        <w:right w:val="none" w:sz="0" w:space="0" w:color="auto"/>
      </w:divBdr>
    </w:div>
    <w:div w:id="992871672">
      <w:bodyDiv w:val="1"/>
      <w:marLeft w:val="0"/>
      <w:marRight w:val="0"/>
      <w:marTop w:val="0"/>
      <w:marBottom w:val="0"/>
      <w:divBdr>
        <w:top w:val="none" w:sz="0" w:space="0" w:color="auto"/>
        <w:left w:val="none" w:sz="0" w:space="0" w:color="auto"/>
        <w:bottom w:val="none" w:sz="0" w:space="0" w:color="auto"/>
        <w:right w:val="none" w:sz="0" w:space="0" w:color="auto"/>
      </w:divBdr>
    </w:div>
    <w:div w:id="993142988">
      <w:bodyDiv w:val="1"/>
      <w:marLeft w:val="0"/>
      <w:marRight w:val="0"/>
      <w:marTop w:val="0"/>
      <w:marBottom w:val="0"/>
      <w:divBdr>
        <w:top w:val="none" w:sz="0" w:space="0" w:color="auto"/>
        <w:left w:val="none" w:sz="0" w:space="0" w:color="auto"/>
        <w:bottom w:val="none" w:sz="0" w:space="0" w:color="auto"/>
        <w:right w:val="none" w:sz="0" w:space="0" w:color="auto"/>
      </w:divBdr>
    </w:div>
    <w:div w:id="993870450">
      <w:bodyDiv w:val="1"/>
      <w:marLeft w:val="0"/>
      <w:marRight w:val="0"/>
      <w:marTop w:val="0"/>
      <w:marBottom w:val="0"/>
      <w:divBdr>
        <w:top w:val="none" w:sz="0" w:space="0" w:color="auto"/>
        <w:left w:val="none" w:sz="0" w:space="0" w:color="auto"/>
        <w:bottom w:val="none" w:sz="0" w:space="0" w:color="auto"/>
        <w:right w:val="none" w:sz="0" w:space="0" w:color="auto"/>
      </w:divBdr>
    </w:div>
    <w:div w:id="995107488">
      <w:bodyDiv w:val="1"/>
      <w:marLeft w:val="0"/>
      <w:marRight w:val="0"/>
      <w:marTop w:val="0"/>
      <w:marBottom w:val="0"/>
      <w:divBdr>
        <w:top w:val="none" w:sz="0" w:space="0" w:color="auto"/>
        <w:left w:val="none" w:sz="0" w:space="0" w:color="auto"/>
        <w:bottom w:val="none" w:sz="0" w:space="0" w:color="auto"/>
        <w:right w:val="none" w:sz="0" w:space="0" w:color="auto"/>
      </w:divBdr>
    </w:div>
    <w:div w:id="995303583">
      <w:bodyDiv w:val="1"/>
      <w:marLeft w:val="0"/>
      <w:marRight w:val="0"/>
      <w:marTop w:val="0"/>
      <w:marBottom w:val="0"/>
      <w:divBdr>
        <w:top w:val="none" w:sz="0" w:space="0" w:color="auto"/>
        <w:left w:val="none" w:sz="0" w:space="0" w:color="auto"/>
        <w:bottom w:val="none" w:sz="0" w:space="0" w:color="auto"/>
        <w:right w:val="none" w:sz="0" w:space="0" w:color="auto"/>
      </w:divBdr>
    </w:div>
    <w:div w:id="995647444">
      <w:bodyDiv w:val="1"/>
      <w:marLeft w:val="0"/>
      <w:marRight w:val="0"/>
      <w:marTop w:val="0"/>
      <w:marBottom w:val="0"/>
      <w:divBdr>
        <w:top w:val="none" w:sz="0" w:space="0" w:color="auto"/>
        <w:left w:val="none" w:sz="0" w:space="0" w:color="auto"/>
        <w:bottom w:val="none" w:sz="0" w:space="0" w:color="auto"/>
        <w:right w:val="none" w:sz="0" w:space="0" w:color="auto"/>
      </w:divBdr>
    </w:div>
    <w:div w:id="996302905">
      <w:bodyDiv w:val="1"/>
      <w:marLeft w:val="0"/>
      <w:marRight w:val="0"/>
      <w:marTop w:val="0"/>
      <w:marBottom w:val="0"/>
      <w:divBdr>
        <w:top w:val="none" w:sz="0" w:space="0" w:color="auto"/>
        <w:left w:val="none" w:sz="0" w:space="0" w:color="auto"/>
        <w:bottom w:val="none" w:sz="0" w:space="0" w:color="auto"/>
        <w:right w:val="none" w:sz="0" w:space="0" w:color="auto"/>
      </w:divBdr>
    </w:div>
    <w:div w:id="997075889">
      <w:bodyDiv w:val="1"/>
      <w:marLeft w:val="0"/>
      <w:marRight w:val="0"/>
      <w:marTop w:val="0"/>
      <w:marBottom w:val="0"/>
      <w:divBdr>
        <w:top w:val="none" w:sz="0" w:space="0" w:color="auto"/>
        <w:left w:val="none" w:sz="0" w:space="0" w:color="auto"/>
        <w:bottom w:val="none" w:sz="0" w:space="0" w:color="auto"/>
        <w:right w:val="none" w:sz="0" w:space="0" w:color="auto"/>
      </w:divBdr>
    </w:div>
    <w:div w:id="998312723">
      <w:bodyDiv w:val="1"/>
      <w:marLeft w:val="0"/>
      <w:marRight w:val="0"/>
      <w:marTop w:val="0"/>
      <w:marBottom w:val="0"/>
      <w:divBdr>
        <w:top w:val="none" w:sz="0" w:space="0" w:color="auto"/>
        <w:left w:val="none" w:sz="0" w:space="0" w:color="auto"/>
        <w:bottom w:val="none" w:sz="0" w:space="0" w:color="auto"/>
        <w:right w:val="none" w:sz="0" w:space="0" w:color="auto"/>
      </w:divBdr>
    </w:div>
    <w:div w:id="998385730">
      <w:bodyDiv w:val="1"/>
      <w:marLeft w:val="0"/>
      <w:marRight w:val="0"/>
      <w:marTop w:val="0"/>
      <w:marBottom w:val="0"/>
      <w:divBdr>
        <w:top w:val="none" w:sz="0" w:space="0" w:color="auto"/>
        <w:left w:val="none" w:sz="0" w:space="0" w:color="auto"/>
        <w:bottom w:val="none" w:sz="0" w:space="0" w:color="auto"/>
        <w:right w:val="none" w:sz="0" w:space="0" w:color="auto"/>
      </w:divBdr>
    </w:div>
    <w:div w:id="1000085395">
      <w:bodyDiv w:val="1"/>
      <w:marLeft w:val="0"/>
      <w:marRight w:val="0"/>
      <w:marTop w:val="0"/>
      <w:marBottom w:val="0"/>
      <w:divBdr>
        <w:top w:val="none" w:sz="0" w:space="0" w:color="auto"/>
        <w:left w:val="none" w:sz="0" w:space="0" w:color="auto"/>
        <w:bottom w:val="none" w:sz="0" w:space="0" w:color="auto"/>
        <w:right w:val="none" w:sz="0" w:space="0" w:color="auto"/>
      </w:divBdr>
    </w:div>
    <w:div w:id="1000811895">
      <w:bodyDiv w:val="1"/>
      <w:marLeft w:val="0"/>
      <w:marRight w:val="0"/>
      <w:marTop w:val="0"/>
      <w:marBottom w:val="0"/>
      <w:divBdr>
        <w:top w:val="none" w:sz="0" w:space="0" w:color="auto"/>
        <w:left w:val="none" w:sz="0" w:space="0" w:color="auto"/>
        <w:bottom w:val="none" w:sz="0" w:space="0" w:color="auto"/>
        <w:right w:val="none" w:sz="0" w:space="0" w:color="auto"/>
      </w:divBdr>
    </w:div>
    <w:div w:id="1001354051">
      <w:bodyDiv w:val="1"/>
      <w:marLeft w:val="0"/>
      <w:marRight w:val="0"/>
      <w:marTop w:val="0"/>
      <w:marBottom w:val="0"/>
      <w:divBdr>
        <w:top w:val="none" w:sz="0" w:space="0" w:color="auto"/>
        <w:left w:val="none" w:sz="0" w:space="0" w:color="auto"/>
        <w:bottom w:val="none" w:sz="0" w:space="0" w:color="auto"/>
        <w:right w:val="none" w:sz="0" w:space="0" w:color="auto"/>
      </w:divBdr>
    </w:div>
    <w:div w:id="1002322594">
      <w:bodyDiv w:val="1"/>
      <w:marLeft w:val="0"/>
      <w:marRight w:val="0"/>
      <w:marTop w:val="0"/>
      <w:marBottom w:val="0"/>
      <w:divBdr>
        <w:top w:val="none" w:sz="0" w:space="0" w:color="auto"/>
        <w:left w:val="none" w:sz="0" w:space="0" w:color="auto"/>
        <w:bottom w:val="none" w:sz="0" w:space="0" w:color="auto"/>
        <w:right w:val="none" w:sz="0" w:space="0" w:color="auto"/>
      </w:divBdr>
    </w:div>
    <w:div w:id="1003510210">
      <w:bodyDiv w:val="1"/>
      <w:marLeft w:val="0"/>
      <w:marRight w:val="0"/>
      <w:marTop w:val="0"/>
      <w:marBottom w:val="0"/>
      <w:divBdr>
        <w:top w:val="none" w:sz="0" w:space="0" w:color="auto"/>
        <w:left w:val="none" w:sz="0" w:space="0" w:color="auto"/>
        <w:bottom w:val="none" w:sz="0" w:space="0" w:color="auto"/>
        <w:right w:val="none" w:sz="0" w:space="0" w:color="auto"/>
      </w:divBdr>
    </w:div>
    <w:div w:id="1004168004">
      <w:bodyDiv w:val="1"/>
      <w:marLeft w:val="0"/>
      <w:marRight w:val="0"/>
      <w:marTop w:val="0"/>
      <w:marBottom w:val="0"/>
      <w:divBdr>
        <w:top w:val="none" w:sz="0" w:space="0" w:color="auto"/>
        <w:left w:val="none" w:sz="0" w:space="0" w:color="auto"/>
        <w:bottom w:val="none" w:sz="0" w:space="0" w:color="auto"/>
        <w:right w:val="none" w:sz="0" w:space="0" w:color="auto"/>
      </w:divBdr>
    </w:div>
    <w:div w:id="1004623411">
      <w:bodyDiv w:val="1"/>
      <w:marLeft w:val="0"/>
      <w:marRight w:val="0"/>
      <w:marTop w:val="0"/>
      <w:marBottom w:val="0"/>
      <w:divBdr>
        <w:top w:val="none" w:sz="0" w:space="0" w:color="auto"/>
        <w:left w:val="none" w:sz="0" w:space="0" w:color="auto"/>
        <w:bottom w:val="none" w:sz="0" w:space="0" w:color="auto"/>
        <w:right w:val="none" w:sz="0" w:space="0" w:color="auto"/>
      </w:divBdr>
    </w:div>
    <w:div w:id="1004894173">
      <w:bodyDiv w:val="1"/>
      <w:marLeft w:val="0"/>
      <w:marRight w:val="0"/>
      <w:marTop w:val="0"/>
      <w:marBottom w:val="0"/>
      <w:divBdr>
        <w:top w:val="none" w:sz="0" w:space="0" w:color="auto"/>
        <w:left w:val="none" w:sz="0" w:space="0" w:color="auto"/>
        <w:bottom w:val="none" w:sz="0" w:space="0" w:color="auto"/>
        <w:right w:val="none" w:sz="0" w:space="0" w:color="auto"/>
      </w:divBdr>
    </w:div>
    <w:div w:id="1005203858">
      <w:bodyDiv w:val="1"/>
      <w:marLeft w:val="0"/>
      <w:marRight w:val="0"/>
      <w:marTop w:val="0"/>
      <w:marBottom w:val="0"/>
      <w:divBdr>
        <w:top w:val="none" w:sz="0" w:space="0" w:color="auto"/>
        <w:left w:val="none" w:sz="0" w:space="0" w:color="auto"/>
        <w:bottom w:val="none" w:sz="0" w:space="0" w:color="auto"/>
        <w:right w:val="none" w:sz="0" w:space="0" w:color="auto"/>
      </w:divBdr>
    </w:div>
    <w:div w:id="1005479807">
      <w:bodyDiv w:val="1"/>
      <w:marLeft w:val="0"/>
      <w:marRight w:val="0"/>
      <w:marTop w:val="0"/>
      <w:marBottom w:val="0"/>
      <w:divBdr>
        <w:top w:val="none" w:sz="0" w:space="0" w:color="auto"/>
        <w:left w:val="none" w:sz="0" w:space="0" w:color="auto"/>
        <w:bottom w:val="none" w:sz="0" w:space="0" w:color="auto"/>
        <w:right w:val="none" w:sz="0" w:space="0" w:color="auto"/>
      </w:divBdr>
    </w:div>
    <w:div w:id="1007100975">
      <w:bodyDiv w:val="1"/>
      <w:marLeft w:val="0"/>
      <w:marRight w:val="0"/>
      <w:marTop w:val="0"/>
      <w:marBottom w:val="0"/>
      <w:divBdr>
        <w:top w:val="none" w:sz="0" w:space="0" w:color="auto"/>
        <w:left w:val="none" w:sz="0" w:space="0" w:color="auto"/>
        <w:bottom w:val="none" w:sz="0" w:space="0" w:color="auto"/>
        <w:right w:val="none" w:sz="0" w:space="0" w:color="auto"/>
      </w:divBdr>
    </w:div>
    <w:div w:id="1007832406">
      <w:bodyDiv w:val="1"/>
      <w:marLeft w:val="0"/>
      <w:marRight w:val="0"/>
      <w:marTop w:val="0"/>
      <w:marBottom w:val="0"/>
      <w:divBdr>
        <w:top w:val="none" w:sz="0" w:space="0" w:color="auto"/>
        <w:left w:val="none" w:sz="0" w:space="0" w:color="auto"/>
        <w:bottom w:val="none" w:sz="0" w:space="0" w:color="auto"/>
        <w:right w:val="none" w:sz="0" w:space="0" w:color="auto"/>
      </w:divBdr>
    </w:div>
    <w:div w:id="1009596833">
      <w:bodyDiv w:val="1"/>
      <w:marLeft w:val="0"/>
      <w:marRight w:val="0"/>
      <w:marTop w:val="0"/>
      <w:marBottom w:val="0"/>
      <w:divBdr>
        <w:top w:val="none" w:sz="0" w:space="0" w:color="auto"/>
        <w:left w:val="none" w:sz="0" w:space="0" w:color="auto"/>
        <w:bottom w:val="none" w:sz="0" w:space="0" w:color="auto"/>
        <w:right w:val="none" w:sz="0" w:space="0" w:color="auto"/>
      </w:divBdr>
    </w:div>
    <w:div w:id="1010252874">
      <w:bodyDiv w:val="1"/>
      <w:marLeft w:val="0"/>
      <w:marRight w:val="0"/>
      <w:marTop w:val="0"/>
      <w:marBottom w:val="0"/>
      <w:divBdr>
        <w:top w:val="none" w:sz="0" w:space="0" w:color="auto"/>
        <w:left w:val="none" w:sz="0" w:space="0" w:color="auto"/>
        <w:bottom w:val="none" w:sz="0" w:space="0" w:color="auto"/>
        <w:right w:val="none" w:sz="0" w:space="0" w:color="auto"/>
      </w:divBdr>
    </w:div>
    <w:div w:id="1010527089">
      <w:bodyDiv w:val="1"/>
      <w:marLeft w:val="0"/>
      <w:marRight w:val="0"/>
      <w:marTop w:val="0"/>
      <w:marBottom w:val="0"/>
      <w:divBdr>
        <w:top w:val="none" w:sz="0" w:space="0" w:color="auto"/>
        <w:left w:val="none" w:sz="0" w:space="0" w:color="auto"/>
        <w:bottom w:val="none" w:sz="0" w:space="0" w:color="auto"/>
        <w:right w:val="none" w:sz="0" w:space="0" w:color="auto"/>
      </w:divBdr>
    </w:div>
    <w:div w:id="1011025818">
      <w:bodyDiv w:val="1"/>
      <w:marLeft w:val="0"/>
      <w:marRight w:val="0"/>
      <w:marTop w:val="0"/>
      <w:marBottom w:val="0"/>
      <w:divBdr>
        <w:top w:val="none" w:sz="0" w:space="0" w:color="auto"/>
        <w:left w:val="none" w:sz="0" w:space="0" w:color="auto"/>
        <w:bottom w:val="none" w:sz="0" w:space="0" w:color="auto"/>
        <w:right w:val="none" w:sz="0" w:space="0" w:color="auto"/>
      </w:divBdr>
    </w:div>
    <w:div w:id="1011226196">
      <w:bodyDiv w:val="1"/>
      <w:marLeft w:val="0"/>
      <w:marRight w:val="0"/>
      <w:marTop w:val="0"/>
      <w:marBottom w:val="0"/>
      <w:divBdr>
        <w:top w:val="none" w:sz="0" w:space="0" w:color="auto"/>
        <w:left w:val="none" w:sz="0" w:space="0" w:color="auto"/>
        <w:bottom w:val="none" w:sz="0" w:space="0" w:color="auto"/>
        <w:right w:val="none" w:sz="0" w:space="0" w:color="auto"/>
      </w:divBdr>
    </w:div>
    <w:div w:id="1013654846">
      <w:bodyDiv w:val="1"/>
      <w:marLeft w:val="0"/>
      <w:marRight w:val="0"/>
      <w:marTop w:val="0"/>
      <w:marBottom w:val="0"/>
      <w:divBdr>
        <w:top w:val="none" w:sz="0" w:space="0" w:color="auto"/>
        <w:left w:val="none" w:sz="0" w:space="0" w:color="auto"/>
        <w:bottom w:val="none" w:sz="0" w:space="0" w:color="auto"/>
        <w:right w:val="none" w:sz="0" w:space="0" w:color="auto"/>
      </w:divBdr>
    </w:div>
    <w:div w:id="1014305105">
      <w:bodyDiv w:val="1"/>
      <w:marLeft w:val="0"/>
      <w:marRight w:val="0"/>
      <w:marTop w:val="0"/>
      <w:marBottom w:val="0"/>
      <w:divBdr>
        <w:top w:val="none" w:sz="0" w:space="0" w:color="auto"/>
        <w:left w:val="none" w:sz="0" w:space="0" w:color="auto"/>
        <w:bottom w:val="none" w:sz="0" w:space="0" w:color="auto"/>
        <w:right w:val="none" w:sz="0" w:space="0" w:color="auto"/>
      </w:divBdr>
    </w:div>
    <w:div w:id="1014963514">
      <w:bodyDiv w:val="1"/>
      <w:marLeft w:val="0"/>
      <w:marRight w:val="0"/>
      <w:marTop w:val="0"/>
      <w:marBottom w:val="0"/>
      <w:divBdr>
        <w:top w:val="none" w:sz="0" w:space="0" w:color="auto"/>
        <w:left w:val="none" w:sz="0" w:space="0" w:color="auto"/>
        <w:bottom w:val="none" w:sz="0" w:space="0" w:color="auto"/>
        <w:right w:val="none" w:sz="0" w:space="0" w:color="auto"/>
      </w:divBdr>
    </w:div>
    <w:div w:id="1015619254">
      <w:bodyDiv w:val="1"/>
      <w:marLeft w:val="0"/>
      <w:marRight w:val="0"/>
      <w:marTop w:val="0"/>
      <w:marBottom w:val="0"/>
      <w:divBdr>
        <w:top w:val="none" w:sz="0" w:space="0" w:color="auto"/>
        <w:left w:val="none" w:sz="0" w:space="0" w:color="auto"/>
        <w:bottom w:val="none" w:sz="0" w:space="0" w:color="auto"/>
        <w:right w:val="none" w:sz="0" w:space="0" w:color="auto"/>
      </w:divBdr>
    </w:div>
    <w:div w:id="1016225231">
      <w:bodyDiv w:val="1"/>
      <w:marLeft w:val="0"/>
      <w:marRight w:val="0"/>
      <w:marTop w:val="0"/>
      <w:marBottom w:val="0"/>
      <w:divBdr>
        <w:top w:val="none" w:sz="0" w:space="0" w:color="auto"/>
        <w:left w:val="none" w:sz="0" w:space="0" w:color="auto"/>
        <w:bottom w:val="none" w:sz="0" w:space="0" w:color="auto"/>
        <w:right w:val="none" w:sz="0" w:space="0" w:color="auto"/>
      </w:divBdr>
    </w:div>
    <w:div w:id="1018193046">
      <w:bodyDiv w:val="1"/>
      <w:marLeft w:val="0"/>
      <w:marRight w:val="0"/>
      <w:marTop w:val="0"/>
      <w:marBottom w:val="0"/>
      <w:divBdr>
        <w:top w:val="none" w:sz="0" w:space="0" w:color="auto"/>
        <w:left w:val="none" w:sz="0" w:space="0" w:color="auto"/>
        <w:bottom w:val="none" w:sz="0" w:space="0" w:color="auto"/>
        <w:right w:val="none" w:sz="0" w:space="0" w:color="auto"/>
      </w:divBdr>
    </w:div>
    <w:div w:id="1018656473">
      <w:bodyDiv w:val="1"/>
      <w:marLeft w:val="0"/>
      <w:marRight w:val="0"/>
      <w:marTop w:val="0"/>
      <w:marBottom w:val="0"/>
      <w:divBdr>
        <w:top w:val="none" w:sz="0" w:space="0" w:color="auto"/>
        <w:left w:val="none" w:sz="0" w:space="0" w:color="auto"/>
        <w:bottom w:val="none" w:sz="0" w:space="0" w:color="auto"/>
        <w:right w:val="none" w:sz="0" w:space="0" w:color="auto"/>
      </w:divBdr>
    </w:div>
    <w:div w:id="1019233870">
      <w:bodyDiv w:val="1"/>
      <w:marLeft w:val="0"/>
      <w:marRight w:val="0"/>
      <w:marTop w:val="0"/>
      <w:marBottom w:val="0"/>
      <w:divBdr>
        <w:top w:val="none" w:sz="0" w:space="0" w:color="auto"/>
        <w:left w:val="none" w:sz="0" w:space="0" w:color="auto"/>
        <w:bottom w:val="none" w:sz="0" w:space="0" w:color="auto"/>
        <w:right w:val="none" w:sz="0" w:space="0" w:color="auto"/>
      </w:divBdr>
    </w:div>
    <w:div w:id="1019241584">
      <w:bodyDiv w:val="1"/>
      <w:marLeft w:val="0"/>
      <w:marRight w:val="0"/>
      <w:marTop w:val="0"/>
      <w:marBottom w:val="0"/>
      <w:divBdr>
        <w:top w:val="none" w:sz="0" w:space="0" w:color="auto"/>
        <w:left w:val="none" w:sz="0" w:space="0" w:color="auto"/>
        <w:bottom w:val="none" w:sz="0" w:space="0" w:color="auto"/>
        <w:right w:val="none" w:sz="0" w:space="0" w:color="auto"/>
      </w:divBdr>
    </w:div>
    <w:div w:id="1019358087">
      <w:bodyDiv w:val="1"/>
      <w:marLeft w:val="0"/>
      <w:marRight w:val="0"/>
      <w:marTop w:val="0"/>
      <w:marBottom w:val="0"/>
      <w:divBdr>
        <w:top w:val="none" w:sz="0" w:space="0" w:color="auto"/>
        <w:left w:val="none" w:sz="0" w:space="0" w:color="auto"/>
        <w:bottom w:val="none" w:sz="0" w:space="0" w:color="auto"/>
        <w:right w:val="none" w:sz="0" w:space="0" w:color="auto"/>
      </w:divBdr>
    </w:div>
    <w:div w:id="1019620900">
      <w:bodyDiv w:val="1"/>
      <w:marLeft w:val="0"/>
      <w:marRight w:val="0"/>
      <w:marTop w:val="0"/>
      <w:marBottom w:val="0"/>
      <w:divBdr>
        <w:top w:val="none" w:sz="0" w:space="0" w:color="auto"/>
        <w:left w:val="none" w:sz="0" w:space="0" w:color="auto"/>
        <w:bottom w:val="none" w:sz="0" w:space="0" w:color="auto"/>
        <w:right w:val="none" w:sz="0" w:space="0" w:color="auto"/>
      </w:divBdr>
    </w:div>
    <w:div w:id="1019623265">
      <w:bodyDiv w:val="1"/>
      <w:marLeft w:val="0"/>
      <w:marRight w:val="0"/>
      <w:marTop w:val="0"/>
      <w:marBottom w:val="0"/>
      <w:divBdr>
        <w:top w:val="none" w:sz="0" w:space="0" w:color="auto"/>
        <w:left w:val="none" w:sz="0" w:space="0" w:color="auto"/>
        <w:bottom w:val="none" w:sz="0" w:space="0" w:color="auto"/>
        <w:right w:val="none" w:sz="0" w:space="0" w:color="auto"/>
      </w:divBdr>
    </w:div>
    <w:div w:id="1019627907">
      <w:bodyDiv w:val="1"/>
      <w:marLeft w:val="0"/>
      <w:marRight w:val="0"/>
      <w:marTop w:val="0"/>
      <w:marBottom w:val="0"/>
      <w:divBdr>
        <w:top w:val="none" w:sz="0" w:space="0" w:color="auto"/>
        <w:left w:val="none" w:sz="0" w:space="0" w:color="auto"/>
        <w:bottom w:val="none" w:sz="0" w:space="0" w:color="auto"/>
        <w:right w:val="none" w:sz="0" w:space="0" w:color="auto"/>
      </w:divBdr>
    </w:div>
    <w:div w:id="1019744733">
      <w:bodyDiv w:val="1"/>
      <w:marLeft w:val="0"/>
      <w:marRight w:val="0"/>
      <w:marTop w:val="0"/>
      <w:marBottom w:val="0"/>
      <w:divBdr>
        <w:top w:val="none" w:sz="0" w:space="0" w:color="auto"/>
        <w:left w:val="none" w:sz="0" w:space="0" w:color="auto"/>
        <w:bottom w:val="none" w:sz="0" w:space="0" w:color="auto"/>
        <w:right w:val="none" w:sz="0" w:space="0" w:color="auto"/>
      </w:divBdr>
    </w:div>
    <w:div w:id="1020593042">
      <w:bodyDiv w:val="1"/>
      <w:marLeft w:val="0"/>
      <w:marRight w:val="0"/>
      <w:marTop w:val="0"/>
      <w:marBottom w:val="0"/>
      <w:divBdr>
        <w:top w:val="none" w:sz="0" w:space="0" w:color="auto"/>
        <w:left w:val="none" w:sz="0" w:space="0" w:color="auto"/>
        <w:bottom w:val="none" w:sz="0" w:space="0" w:color="auto"/>
        <w:right w:val="none" w:sz="0" w:space="0" w:color="auto"/>
      </w:divBdr>
    </w:div>
    <w:div w:id="1022362482">
      <w:bodyDiv w:val="1"/>
      <w:marLeft w:val="0"/>
      <w:marRight w:val="0"/>
      <w:marTop w:val="0"/>
      <w:marBottom w:val="0"/>
      <w:divBdr>
        <w:top w:val="none" w:sz="0" w:space="0" w:color="auto"/>
        <w:left w:val="none" w:sz="0" w:space="0" w:color="auto"/>
        <w:bottom w:val="none" w:sz="0" w:space="0" w:color="auto"/>
        <w:right w:val="none" w:sz="0" w:space="0" w:color="auto"/>
      </w:divBdr>
    </w:div>
    <w:div w:id="1022586735">
      <w:bodyDiv w:val="1"/>
      <w:marLeft w:val="0"/>
      <w:marRight w:val="0"/>
      <w:marTop w:val="0"/>
      <w:marBottom w:val="0"/>
      <w:divBdr>
        <w:top w:val="none" w:sz="0" w:space="0" w:color="auto"/>
        <w:left w:val="none" w:sz="0" w:space="0" w:color="auto"/>
        <w:bottom w:val="none" w:sz="0" w:space="0" w:color="auto"/>
        <w:right w:val="none" w:sz="0" w:space="0" w:color="auto"/>
      </w:divBdr>
    </w:div>
    <w:div w:id="1023091630">
      <w:bodyDiv w:val="1"/>
      <w:marLeft w:val="0"/>
      <w:marRight w:val="0"/>
      <w:marTop w:val="0"/>
      <w:marBottom w:val="0"/>
      <w:divBdr>
        <w:top w:val="none" w:sz="0" w:space="0" w:color="auto"/>
        <w:left w:val="none" w:sz="0" w:space="0" w:color="auto"/>
        <w:bottom w:val="none" w:sz="0" w:space="0" w:color="auto"/>
        <w:right w:val="none" w:sz="0" w:space="0" w:color="auto"/>
      </w:divBdr>
    </w:div>
    <w:div w:id="1023677128">
      <w:bodyDiv w:val="1"/>
      <w:marLeft w:val="0"/>
      <w:marRight w:val="0"/>
      <w:marTop w:val="0"/>
      <w:marBottom w:val="0"/>
      <w:divBdr>
        <w:top w:val="none" w:sz="0" w:space="0" w:color="auto"/>
        <w:left w:val="none" w:sz="0" w:space="0" w:color="auto"/>
        <w:bottom w:val="none" w:sz="0" w:space="0" w:color="auto"/>
        <w:right w:val="none" w:sz="0" w:space="0" w:color="auto"/>
      </w:divBdr>
    </w:div>
    <w:div w:id="1024939428">
      <w:bodyDiv w:val="1"/>
      <w:marLeft w:val="0"/>
      <w:marRight w:val="0"/>
      <w:marTop w:val="0"/>
      <w:marBottom w:val="0"/>
      <w:divBdr>
        <w:top w:val="none" w:sz="0" w:space="0" w:color="auto"/>
        <w:left w:val="none" w:sz="0" w:space="0" w:color="auto"/>
        <w:bottom w:val="none" w:sz="0" w:space="0" w:color="auto"/>
        <w:right w:val="none" w:sz="0" w:space="0" w:color="auto"/>
      </w:divBdr>
    </w:div>
    <w:div w:id="1025402468">
      <w:bodyDiv w:val="1"/>
      <w:marLeft w:val="0"/>
      <w:marRight w:val="0"/>
      <w:marTop w:val="0"/>
      <w:marBottom w:val="0"/>
      <w:divBdr>
        <w:top w:val="none" w:sz="0" w:space="0" w:color="auto"/>
        <w:left w:val="none" w:sz="0" w:space="0" w:color="auto"/>
        <w:bottom w:val="none" w:sz="0" w:space="0" w:color="auto"/>
        <w:right w:val="none" w:sz="0" w:space="0" w:color="auto"/>
      </w:divBdr>
    </w:div>
    <w:div w:id="1025982882">
      <w:bodyDiv w:val="1"/>
      <w:marLeft w:val="0"/>
      <w:marRight w:val="0"/>
      <w:marTop w:val="0"/>
      <w:marBottom w:val="0"/>
      <w:divBdr>
        <w:top w:val="none" w:sz="0" w:space="0" w:color="auto"/>
        <w:left w:val="none" w:sz="0" w:space="0" w:color="auto"/>
        <w:bottom w:val="none" w:sz="0" w:space="0" w:color="auto"/>
        <w:right w:val="none" w:sz="0" w:space="0" w:color="auto"/>
      </w:divBdr>
    </w:div>
    <w:div w:id="1026297743">
      <w:bodyDiv w:val="1"/>
      <w:marLeft w:val="0"/>
      <w:marRight w:val="0"/>
      <w:marTop w:val="0"/>
      <w:marBottom w:val="0"/>
      <w:divBdr>
        <w:top w:val="none" w:sz="0" w:space="0" w:color="auto"/>
        <w:left w:val="none" w:sz="0" w:space="0" w:color="auto"/>
        <w:bottom w:val="none" w:sz="0" w:space="0" w:color="auto"/>
        <w:right w:val="none" w:sz="0" w:space="0" w:color="auto"/>
      </w:divBdr>
    </w:div>
    <w:div w:id="1026716044">
      <w:bodyDiv w:val="1"/>
      <w:marLeft w:val="0"/>
      <w:marRight w:val="0"/>
      <w:marTop w:val="0"/>
      <w:marBottom w:val="0"/>
      <w:divBdr>
        <w:top w:val="none" w:sz="0" w:space="0" w:color="auto"/>
        <w:left w:val="none" w:sz="0" w:space="0" w:color="auto"/>
        <w:bottom w:val="none" w:sz="0" w:space="0" w:color="auto"/>
        <w:right w:val="none" w:sz="0" w:space="0" w:color="auto"/>
      </w:divBdr>
    </w:div>
    <w:div w:id="1027102921">
      <w:bodyDiv w:val="1"/>
      <w:marLeft w:val="0"/>
      <w:marRight w:val="0"/>
      <w:marTop w:val="0"/>
      <w:marBottom w:val="0"/>
      <w:divBdr>
        <w:top w:val="none" w:sz="0" w:space="0" w:color="auto"/>
        <w:left w:val="none" w:sz="0" w:space="0" w:color="auto"/>
        <w:bottom w:val="none" w:sz="0" w:space="0" w:color="auto"/>
        <w:right w:val="none" w:sz="0" w:space="0" w:color="auto"/>
      </w:divBdr>
    </w:div>
    <w:div w:id="1027604808">
      <w:bodyDiv w:val="1"/>
      <w:marLeft w:val="0"/>
      <w:marRight w:val="0"/>
      <w:marTop w:val="0"/>
      <w:marBottom w:val="0"/>
      <w:divBdr>
        <w:top w:val="none" w:sz="0" w:space="0" w:color="auto"/>
        <w:left w:val="none" w:sz="0" w:space="0" w:color="auto"/>
        <w:bottom w:val="none" w:sz="0" w:space="0" w:color="auto"/>
        <w:right w:val="none" w:sz="0" w:space="0" w:color="auto"/>
      </w:divBdr>
    </w:div>
    <w:div w:id="1027832006">
      <w:bodyDiv w:val="1"/>
      <w:marLeft w:val="0"/>
      <w:marRight w:val="0"/>
      <w:marTop w:val="0"/>
      <w:marBottom w:val="0"/>
      <w:divBdr>
        <w:top w:val="none" w:sz="0" w:space="0" w:color="auto"/>
        <w:left w:val="none" w:sz="0" w:space="0" w:color="auto"/>
        <w:bottom w:val="none" w:sz="0" w:space="0" w:color="auto"/>
        <w:right w:val="none" w:sz="0" w:space="0" w:color="auto"/>
      </w:divBdr>
    </w:div>
    <w:div w:id="1028138005">
      <w:bodyDiv w:val="1"/>
      <w:marLeft w:val="0"/>
      <w:marRight w:val="0"/>
      <w:marTop w:val="0"/>
      <w:marBottom w:val="0"/>
      <w:divBdr>
        <w:top w:val="none" w:sz="0" w:space="0" w:color="auto"/>
        <w:left w:val="none" w:sz="0" w:space="0" w:color="auto"/>
        <w:bottom w:val="none" w:sz="0" w:space="0" w:color="auto"/>
        <w:right w:val="none" w:sz="0" w:space="0" w:color="auto"/>
      </w:divBdr>
    </w:div>
    <w:div w:id="1028531631">
      <w:bodyDiv w:val="1"/>
      <w:marLeft w:val="0"/>
      <w:marRight w:val="0"/>
      <w:marTop w:val="0"/>
      <w:marBottom w:val="0"/>
      <w:divBdr>
        <w:top w:val="none" w:sz="0" w:space="0" w:color="auto"/>
        <w:left w:val="none" w:sz="0" w:space="0" w:color="auto"/>
        <w:bottom w:val="none" w:sz="0" w:space="0" w:color="auto"/>
        <w:right w:val="none" w:sz="0" w:space="0" w:color="auto"/>
      </w:divBdr>
    </w:div>
    <w:div w:id="1028792820">
      <w:bodyDiv w:val="1"/>
      <w:marLeft w:val="0"/>
      <w:marRight w:val="0"/>
      <w:marTop w:val="0"/>
      <w:marBottom w:val="0"/>
      <w:divBdr>
        <w:top w:val="none" w:sz="0" w:space="0" w:color="auto"/>
        <w:left w:val="none" w:sz="0" w:space="0" w:color="auto"/>
        <w:bottom w:val="none" w:sz="0" w:space="0" w:color="auto"/>
        <w:right w:val="none" w:sz="0" w:space="0" w:color="auto"/>
      </w:divBdr>
    </w:div>
    <w:div w:id="1029798144">
      <w:bodyDiv w:val="1"/>
      <w:marLeft w:val="0"/>
      <w:marRight w:val="0"/>
      <w:marTop w:val="0"/>
      <w:marBottom w:val="0"/>
      <w:divBdr>
        <w:top w:val="none" w:sz="0" w:space="0" w:color="auto"/>
        <w:left w:val="none" w:sz="0" w:space="0" w:color="auto"/>
        <w:bottom w:val="none" w:sz="0" w:space="0" w:color="auto"/>
        <w:right w:val="none" w:sz="0" w:space="0" w:color="auto"/>
      </w:divBdr>
    </w:div>
    <w:div w:id="1030959505">
      <w:bodyDiv w:val="1"/>
      <w:marLeft w:val="0"/>
      <w:marRight w:val="0"/>
      <w:marTop w:val="0"/>
      <w:marBottom w:val="0"/>
      <w:divBdr>
        <w:top w:val="none" w:sz="0" w:space="0" w:color="auto"/>
        <w:left w:val="none" w:sz="0" w:space="0" w:color="auto"/>
        <w:bottom w:val="none" w:sz="0" w:space="0" w:color="auto"/>
        <w:right w:val="none" w:sz="0" w:space="0" w:color="auto"/>
      </w:divBdr>
    </w:div>
    <w:div w:id="1031489301">
      <w:bodyDiv w:val="1"/>
      <w:marLeft w:val="0"/>
      <w:marRight w:val="0"/>
      <w:marTop w:val="0"/>
      <w:marBottom w:val="0"/>
      <w:divBdr>
        <w:top w:val="none" w:sz="0" w:space="0" w:color="auto"/>
        <w:left w:val="none" w:sz="0" w:space="0" w:color="auto"/>
        <w:bottom w:val="none" w:sz="0" w:space="0" w:color="auto"/>
        <w:right w:val="none" w:sz="0" w:space="0" w:color="auto"/>
      </w:divBdr>
    </w:div>
    <w:div w:id="1031608742">
      <w:bodyDiv w:val="1"/>
      <w:marLeft w:val="0"/>
      <w:marRight w:val="0"/>
      <w:marTop w:val="0"/>
      <w:marBottom w:val="0"/>
      <w:divBdr>
        <w:top w:val="none" w:sz="0" w:space="0" w:color="auto"/>
        <w:left w:val="none" w:sz="0" w:space="0" w:color="auto"/>
        <w:bottom w:val="none" w:sz="0" w:space="0" w:color="auto"/>
        <w:right w:val="none" w:sz="0" w:space="0" w:color="auto"/>
      </w:divBdr>
    </w:div>
    <w:div w:id="1031955117">
      <w:bodyDiv w:val="1"/>
      <w:marLeft w:val="0"/>
      <w:marRight w:val="0"/>
      <w:marTop w:val="0"/>
      <w:marBottom w:val="0"/>
      <w:divBdr>
        <w:top w:val="none" w:sz="0" w:space="0" w:color="auto"/>
        <w:left w:val="none" w:sz="0" w:space="0" w:color="auto"/>
        <w:bottom w:val="none" w:sz="0" w:space="0" w:color="auto"/>
        <w:right w:val="none" w:sz="0" w:space="0" w:color="auto"/>
      </w:divBdr>
    </w:div>
    <w:div w:id="1032345743">
      <w:bodyDiv w:val="1"/>
      <w:marLeft w:val="0"/>
      <w:marRight w:val="0"/>
      <w:marTop w:val="0"/>
      <w:marBottom w:val="0"/>
      <w:divBdr>
        <w:top w:val="none" w:sz="0" w:space="0" w:color="auto"/>
        <w:left w:val="none" w:sz="0" w:space="0" w:color="auto"/>
        <w:bottom w:val="none" w:sz="0" w:space="0" w:color="auto"/>
        <w:right w:val="none" w:sz="0" w:space="0" w:color="auto"/>
      </w:divBdr>
    </w:div>
    <w:div w:id="1032420615">
      <w:bodyDiv w:val="1"/>
      <w:marLeft w:val="0"/>
      <w:marRight w:val="0"/>
      <w:marTop w:val="0"/>
      <w:marBottom w:val="0"/>
      <w:divBdr>
        <w:top w:val="none" w:sz="0" w:space="0" w:color="auto"/>
        <w:left w:val="none" w:sz="0" w:space="0" w:color="auto"/>
        <w:bottom w:val="none" w:sz="0" w:space="0" w:color="auto"/>
        <w:right w:val="none" w:sz="0" w:space="0" w:color="auto"/>
      </w:divBdr>
    </w:div>
    <w:div w:id="1032533346">
      <w:bodyDiv w:val="1"/>
      <w:marLeft w:val="0"/>
      <w:marRight w:val="0"/>
      <w:marTop w:val="0"/>
      <w:marBottom w:val="0"/>
      <w:divBdr>
        <w:top w:val="none" w:sz="0" w:space="0" w:color="auto"/>
        <w:left w:val="none" w:sz="0" w:space="0" w:color="auto"/>
        <w:bottom w:val="none" w:sz="0" w:space="0" w:color="auto"/>
        <w:right w:val="none" w:sz="0" w:space="0" w:color="auto"/>
      </w:divBdr>
    </w:div>
    <w:div w:id="1033189094">
      <w:bodyDiv w:val="1"/>
      <w:marLeft w:val="0"/>
      <w:marRight w:val="0"/>
      <w:marTop w:val="0"/>
      <w:marBottom w:val="0"/>
      <w:divBdr>
        <w:top w:val="none" w:sz="0" w:space="0" w:color="auto"/>
        <w:left w:val="none" w:sz="0" w:space="0" w:color="auto"/>
        <w:bottom w:val="none" w:sz="0" w:space="0" w:color="auto"/>
        <w:right w:val="none" w:sz="0" w:space="0" w:color="auto"/>
      </w:divBdr>
    </w:div>
    <w:div w:id="1033576334">
      <w:bodyDiv w:val="1"/>
      <w:marLeft w:val="0"/>
      <w:marRight w:val="0"/>
      <w:marTop w:val="0"/>
      <w:marBottom w:val="0"/>
      <w:divBdr>
        <w:top w:val="none" w:sz="0" w:space="0" w:color="auto"/>
        <w:left w:val="none" w:sz="0" w:space="0" w:color="auto"/>
        <w:bottom w:val="none" w:sz="0" w:space="0" w:color="auto"/>
        <w:right w:val="none" w:sz="0" w:space="0" w:color="auto"/>
      </w:divBdr>
    </w:div>
    <w:div w:id="1034228244">
      <w:bodyDiv w:val="1"/>
      <w:marLeft w:val="0"/>
      <w:marRight w:val="0"/>
      <w:marTop w:val="0"/>
      <w:marBottom w:val="0"/>
      <w:divBdr>
        <w:top w:val="none" w:sz="0" w:space="0" w:color="auto"/>
        <w:left w:val="none" w:sz="0" w:space="0" w:color="auto"/>
        <w:bottom w:val="none" w:sz="0" w:space="0" w:color="auto"/>
        <w:right w:val="none" w:sz="0" w:space="0" w:color="auto"/>
      </w:divBdr>
    </w:div>
    <w:div w:id="1034304988">
      <w:bodyDiv w:val="1"/>
      <w:marLeft w:val="0"/>
      <w:marRight w:val="0"/>
      <w:marTop w:val="0"/>
      <w:marBottom w:val="0"/>
      <w:divBdr>
        <w:top w:val="none" w:sz="0" w:space="0" w:color="auto"/>
        <w:left w:val="none" w:sz="0" w:space="0" w:color="auto"/>
        <w:bottom w:val="none" w:sz="0" w:space="0" w:color="auto"/>
        <w:right w:val="none" w:sz="0" w:space="0" w:color="auto"/>
      </w:divBdr>
    </w:div>
    <w:div w:id="1034499280">
      <w:bodyDiv w:val="1"/>
      <w:marLeft w:val="0"/>
      <w:marRight w:val="0"/>
      <w:marTop w:val="0"/>
      <w:marBottom w:val="0"/>
      <w:divBdr>
        <w:top w:val="none" w:sz="0" w:space="0" w:color="auto"/>
        <w:left w:val="none" w:sz="0" w:space="0" w:color="auto"/>
        <w:bottom w:val="none" w:sz="0" w:space="0" w:color="auto"/>
        <w:right w:val="none" w:sz="0" w:space="0" w:color="auto"/>
      </w:divBdr>
    </w:div>
    <w:div w:id="1034845437">
      <w:bodyDiv w:val="1"/>
      <w:marLeft w:val="0"/>
      <w:marRight w:val="0"/>
      <w:marTop w:val="0"/>
      <w:marBottom w:val="0"/>
      <w:divBdr>
        <w:top w:val="none" w:sz="0" w:space="0" w:color="auto"/>
        <w:left w:val="none" w:sz="0" w:space="0" w:color="auto"/>
        <w:bottom w:val="none" w:sz="0" w:space="0" w:color="auto"/>
        <w:right w:val="none" w:sz="0" w:space="0" w:color="auto"/>
      </w:divBdr>
    </w:div>
    <w:div w:id="1034883816">
      <w:bodyDiv w:val="1"/>
      <w:marLeft w:val="0"/>
      <w:marRight w:val="0"/>
      <w:marTop w:val="0"/>
      <w:marBottom w:val="0"/>
      <w:divBdr>
        <w:top w:val="none" w:sz="0" w:space="0" w:color="auto"/>
        <w:left w:val="none" w:sz="0" w:space="0" w:color="auto"/>
        <w:bottom w:val="none" w:sz="0" w:space="0" w:color="auto"/>
        <w:right w:val="none" w:sz="0" w:space="0" w:color="auto"/>
      </w:divBdr>
    </w:div>
    <w:div w:id="1035152468">
      <w:bodyDiv w:val="1"/>
      <w:marLeft w:val="0"/>
      <w:marRight w:val="0"/>
      <w:marTop w:val="0"/>
      <w:marBottom w:val="0"/>
      <w:divBdr>
        <w:top w:val="none" w:sz="0" w:space="0" w:color="auto"/>
        <w:left w:val="none" w:sz="0" w:space="0" w:color="auto"/>
        <w:bottom w:val="none" w:sz="0" w:space="0" w:color="auto"/>
        <w:right w:val="none" w:sz="0" w:space="0" w:color="auto"/>
      </w:divBdr>
    </w:div>
    <w:div w:id="1036470676">
      <w:bodyDiv w:val="1"/>
      <w:marLeft w:val="0"/>
      <w:marRight w:val="0"/>
      <w:marTop w:val="0"/>
      <w:marBottom w:val="0"/>
      <w:divBdr>
        <w:top w:val="none" w:sz="0" w:space="0" w:color="auto"/>
        <w:left w:val="none" w:sz="0" w:space="0" w:color="auto"/>
        <w:bottom w:val="none" w:sz="0" w:space="0" w:color="auto"/>
        <w:right w:val="none" w:sz="0" w:space="0" w:color="auto"/>
      </w:divBdr>
    </w:div>
    <w:div w:id="1037700780">
      <w:bodyDiv w:val="1"/>
      <w:marLeft w:val="0"/>
      <w:marRight w:val="0"/>
      <w:marTop w:val="0"/>
      <w:marBottom w:val="0"/>
      <w:divBdr>
        <w:top w:val="none" w:sz="0" w:space="0" w:color="auto"/>
        <w:left w:val="none" w:sz="0" w:space="0" w:color="auto"/>
        <w:bottom w:val="none" w:sz="0" w:space="0" w:color="auto"/>
        <w:right w:val="none" w:sz="0" w:space="0" w:color="auto"/>
      </w:divBdr>
    </w:div>
    <w:div w:id="1037968003">
      <w:bodyDiv w:val="1"/>
      <w:marLeft w:val="0"/>
      <w:marRight w:val="0"/>
      <w:marTop w:val="0"/>
      <w:marBottom w:val="0"/>
      <w:divBdr>
        <w:top w:val="none" w:sz="0" w:space="0" w:color="auto"/>
        <w:left w:val="none" w:sz="0" w:space="0" w:color="auto"/>
        <w:bottom w:val="none" w:sz="0" w:space="0" w:color="auto"/>
        <w:right w:val="none" w:sz="0" w:space="0" w:color="auto"/>
      </w:divBdr>
    </w:div>
    <w:div w:id="1038164523">
      <w:bodyDiv w:val="1"/>
      <w:marLeft w:val="0"/>
      <w:marRight w:val="0"/>
      <w:marTop w:val="0"/>
      <w:marBottom w:val="0"/>
      <w:divBdr>
        <w:top w:val="none" w:sz="0" w:space="0" w:color="auto"/>
        <w:left w:val="none" w:sz="0" w:space="0" w:color="auto"/>
        <w:bottom w:val="none" w:sz="0" w:space="0" w:color="auto"/>
        <w:right w:val="none" w:sz="0" w:space="0" w:color="auto"/>
      </w:divBdr>
    </w:div>
    <w:div w:id="1038166987">
      <w:bodyDiv w:val="1"/>
      <w:marLeft w:val="0"/>
      <w:marRight w:val="0"/>
      <w:marTop w:val="0"/>
      <w:marBottom w:val="0"/>
      <w:divBdr>
        <w:top w:val="none" w:sz="0" w:space="0" w:color="auto"/>
        <w:left w:val="none" w:sz="0" w:space="0" w:color="auto"/>
        <w:bottom w:val="none" w:sz="0" w:space="0" w:color="auto"/>
        <w:right w:val="none" w:sz="0" w:space="0" w:color="auto"/>
      </w:divBdr>
    </w:div>
    <w:div w:id="1038824053">
      <w:bodyDiv w:val="1"/>
      <w:marLeft w:val="0"/>
      <w:marRight w:val="0"/>
      <w:marTop w:val="0"/>
      <w:marBottom w:val="0"/>
      <w:divBdr>
        <w:top w:val="none" w:sz="0" w:space="0" w:color="auto"/>
        <w:left w:val="none" w:sz="0" w:space="0" w:color="auto"/>
        <w:bottom w:val="none" w:sz="0" w:space="0" w:color="auto"/>
        <w:right w:val="none" w:sz="0" w:space="0" w:color="auto"/>
      </w:divBdr>
    </w:div>
    <w:div w:id="1038974918">
      <w:bodyDiv w:val="1"/>
      <w:marLeft w:val="0"/>
      <w:marRight w:val="0"/>
      <w:marTop w:val="0"/>
      <w:marBottom w:val="0"/>
      <w:divBdr>
        <w:top w:val="none" w:sz="0" w:space="0" w:color="auto"/>
        <w:left w:val="none" w:sz="0" w:space="0" w:color="auto"/>
        <w:bottom w:val="none" w:sz="0" w:space="0" w:color="auto"/>
        <w:right w:val="none" w:sz="0" w:space="0" w:color="auto"/>
      </w:divBdr>
    </w:div>
    <w:div w:id="1040204864">
      <w:bodyDiv w:val="1"/>
      <w:marLeft w:val="0"/>
      <w:marRight w:val="0"/>
      <w:marTop w:val="0"/>
      <w:marBottom w:val="0"/>
      <w:divBdr>
        <w:top w:val="none" w:sz="0" w:space="0" w:color="auto"/>
        <w:left w:val="none" w:sz="0" w:space="0" w:color="auto"/>
        <w:bottom w:val="none" w:sz="0" w:space="0" w:color="auto"/>
        <w:right w:val="none" w:sz="0" w:space="0" w:color="auto"/>
      </w:divBdr>
    </w:div>
    <w:div w:id="1044987976">
      <w:bodyDiv w:val="1"/>
      <w:marLeft w:val="0"/>
      <w:marRight w:val="0"/>
      <w:marTop w:val="0"/>
      <w:marBottom w:val="0"/>
      <w:divBdr>
        <w:top w:val="none" w:sz="0" w:space="0" w:color="auto"/>
        <w:left w:val="none" w:sz="0" w:space="0" w:color="auto"/>
        <w:bottom w:val="none" w:sz="0" w:space="0" w:color="auto"/>
        <w:right w:val="none" w:sz="0" w:space="0" w:color="auto"/>
      </w:divBdr>
    </w:div>
    <w:div w:id="1045566630">
      <w:bodyDiv w:val="1"/>
      <w:marLeft w:val="0"/>
      <w:marRight w:val="0"/>
      <w:marTop w:val="0"/>
      <w:marBottom w:val="0"/>
      <w:divBdr>
        <w:top w:val="none" w:sz="0" w:space="0" w:color="auto"/>
        <w:left w:val="none" w:sz="0" w:space="0" w:color="auto"/>
        <w:bottom w:val="none" w:sz="0" w:space="0" w:color="auto"/>
        <w:right w:val="none" w:sz="0" w:space="0" w:color="auto"/>
      </w:divBdr>
    </w:div>
    <w:div w:id="1046222209">
      <w:bodyDiv w:val="1"/>
      <w:marLeft w:val="0"/>
      <w:marRight w:val="0"/>
      <w:marTop w:val="0"/>
      <w:marBottom w:val="0"/>
      <w:divBdr>
        <w:top w:val="none" w:sz="0" w:space="0" w:color="auto"/>
        <w:left w:val="none" w:sz="0" w:space="0" w:color="auto"/>
        <w:bottom w:val="none" w:sz="0" w:space="0" w:color="auto"/>
        <w:right w:val="none" w:sz="0" w:space="0" w:color="auto"/>
      </w:divBdr>
    </w:div>
    <w:div w:id="1046442583">
      <w:bodyDiv w:val="1"/>
      <w:marLeft w:val="0"/>
      <w:marRight w:val="0"/>
      <w:marTop w:val="0"/>
      <w:marBottom w:val="0"/>
      <w:divBdr>
        <w:top w:val="none" w:sz="0" w:space="0" w:color="auto"/>
        <w:left w:val="none" w:sz="0" w:space="0" w:color="auto"/>
        <w:bottom w:val="none" w:sz="0" w:space="0" w:color="auto"/>
        <w:right w:val="none" w:sz="0" w:space="0" w:color="auto"/>
      </w:divBdr>
    </w:div>
    <w:div w:id="1047990080">
      <w:bodyDiv w:val="1"/>
      <w:marLeft w:val="0"/>
      <w:marRight w:val="0"/>
      <w:marTop w:val="0"/>
      <w:marBottom w:val="0"/>
      <w:divBdr>
        <w:top w:val="none" w:sz="0" w:space="0" w:color="auto"/>
        <w:left w:val="none" w:sz="0" w:space="0" w:color="auto"/>
        <w:bottom w:val="none" w:sz="0" w:space="0" w:color="auto"/>
        <w:right w:val="none" w:sz="0" w:space="0" w:color="auto"/>
      </w:divBdr>
    </w:div>
    <w:div w:id="1048646568">
      <w:bodyDiv w:val="1"/>
      <w:marLeft w:val="0"/>
      <w:marRight w:val="0"/>
      <w:marTop w:val="0"/>
      <w:marBottom w:val="0"/>
      <w:divBdr>
        <w:top w:val="none" w:sz="0" w:space="0" w:color="auto"/>
        <w:left w:val="none" w:sz="0" w:space="0" w:color="auto"/>
        <w:bottom w:val="none" w:sz="0" w:space="0" w:color="auto"/>
        <w:right w:val="none" w:sz="0" w:space="0" w:color="auto"/>
      </w:divBdr>
    </w:div>
    <w:div w:id="1048800870">
      <w:bodyDiv w:val="1"/>
      <w:marLeft w:val="0"/>
      <w:marRight w:val="0"/>
      <w:marTop w:val="0"/>
      <w:marBottom w:val="0"/>
      <w:divBdr>
        <w:top w:val="none" w:sz="0" w:space="0" w:color="auto"/>
        <w:left w:val="none" w:sz="0" w:space="0" w:color="auto"/>
        <w:bottom w:val="none" w:sz="0" w:space="0" w:color="auto"/>
        <w:right w:val="none" w:sz="0" w:space="0" w:color="auto"/>
      </w:divBdr>
    </w:div>
    <w:div w:id="1050880394">
      <w:bodyDiv w:val="1"/>
      <w:marLeft w:val="0"/>
      <w:marRight w:val="0"/>
      <w:marTop w:val="0"/>
      <w:marBottom w:val="0"/>
      <w:divBdr>
        <w:top w:val="none" w:sz="0" w:space="0" w:color="auto"/>
        <w:left w:val="none" w:sz="0" w:space="0" w:color="auto"/>
        <w:bottom w:val="none" w:sz="0" w:space="0" w:color="auto"/>
        <w:right w:val="none" w:sz="0" w:space="0" w:color="auto"/>
      </w:divBdr>
    </w:div>
    <w:div w:id="1050959293">
      <w:bodyDiv w:val="1"/>
      <w:marLeft w:val="0"/>
      <w:marRight w:val="0"/>
      <w:marTop w:val="0"/>
      <w:marBottom w:val="0"/>
      <w:divBdr>
        <w:top w:val="none" w:sz="0" w:space="0" w:color="auto"/>
        <w:left w:val="none" w:sz="0" w:space="0" w:color="auto"/>
        <w:bottom w:val="none" w:sz="0" w:space="0" w:color="auto"/>
        <w:right w:val="none" w:sz="0" w:space="0" w:color="auto"/>
      </w:divBdr>
    </w:div>
    <w:div w:id="1051148030">
      <w:bodyDiv w:val="1"/>
      <w:marLeft w:val="0"/>
      <w:marRight w:val="0"/>
      <w:marTop w:val="0"/>
      <w:marBottom w:val="0"/>
      <w:divBdr>
        <w:top w:val="none" w:sz="0" w:space="0" w:color="auto"/>
        <w:left w:val="none" w:sz="0" w:space="0" w:color="auto"/>
        <w:bottom w:val="none" w:sz="0" w:space="0" w:color="auto"/>
        <w:right w:val="none" w:sz="0" w:space="0" w:color="auto"/>
      </w:divBdr>
    </w:div>
    <w:div w:id="1051659610">
      <w:bodyDiv w:val="1"/>
      <w:marLeft w:val="0"/>
      <w:marRight w:val="0"/>
      <w:marTop w:val="0"/>
      <w:marBottom w:val="0"/>
      <w:divBdr>
        <w:top w:val="none" w:sz="0" w:space="0" w:color="auto"/>
        <w:left w:val="none" w:sz="0" w:space="0" w:color="auto"/>
        <w:bottom w:val="none" w:sz="0" w:space="0" w:color="auto"/>
        <w:right w:val="none" w:sz="0" w:space="0" w:color="auto"/>
      </w:divBdr>
    </w:div>
    <w:div w:id="1052660059">
      <w:bodyDiv w:val="1"/>
      <w:marLeft w:val="0"/>
      <w:marRight w:val="0"/>
      <w:marTop w:val="0"/>
      <w:marBottom w:val="0"/>
      <w:divBdr>
        <w:top w:val="none" w:sz="0" w:space="0" w:color="auto"/>
        <w:left w:val="none" w:sz="0" w:space="0" w:color="auto"/>
        <w:bottom w:val="none" w:sz="0" w:space="0" w:color="auto"/>
        <w:right w:val="none" w:sz="0" w:space="0" w:color="auto"/>
      </w:divBdr>
    </w:div>
    <w:div w:id="1052777601">
      <w:bodyDiv w:val="1"/>
      <w:marLeft w:val="0"/>
      <w:marRight w:val="0"/>
      <w:marTop w:val="0"/>
      <w:marBottom w:val="0"/>
      <w:divBdr>
        <w:top w:val="none" w:sz="0" w:space="0" w:color="auto"/>
        <w:left w:val="none" w:sz="0" w:space="0" w:color="auto"/>
        <w:bottom w:val="none" w:sz="0" w:space="0" w:color="auto"/>
        <w:right w:val="none" w:sz="0" w:space="0" w:color="auto"/>
      </w:divBdr>
    </w:div>
    <w:div w:id="1052997554">
      <w:bodyDiv w:val="1"/>
      <w:marLeft w:val="0"/>
      <w:marRight w:val="0"/>
      <w:marTop w:val="0"/>
      <w:marBottom w:val="0"/>
      <w:divBdr>
        <w:top w:val="none" w:sz="0" w:space="0" w:color="auto"/>
        <w:left w:val="none" w:sz="0" w:space="0" w:color="auto"/>
        <w:bottom w:val="none" w:sz="0" w:space="0" w:color="auto"/>
        <w:right w:val="none" w:sz="0" w:space="0" w:color="auto"/>
      </w:divBdr>
    </w:div>
    <w:div w:id="1055202389">
      <w:bodyDiv w:val="1"/>
      <w:marLeft w:val="0"/>
      <w:marRight w:val="0"/>
      <w:marTop w:val="0"/>
      <w:marBottom w:val="0"/>
      <w:divBdr>
        <w:top w:val="none" w:sz="0" w:space="0" w:color="auto"/>
        <w:left w:val="none" w:sz="0" w:space="0" w:color="auto"/>
        <w:bottom w:val="none" w:sz="0" w:space="0" w:color="auto"/>
        <w:right w:val="none" w:sz="0" w:space="0" w:color="auto"/>
      </w:divBdr>
    </w:div>
    <w:div w:id="1057510296">
      <w:bodyDiv w:val="1"/>
      <w:marLeft w:val="0"/>
      <w:marRight w:val="0"/>
      <w:marTop w:val="0"/>
      <w:marBottom w:val="0"/>
      <w:divBdr>
        <w:top w:val="none" w:sz="0" w:space="0" w:color="auto"/>
        <w:left w:val="none" w:sz="0" w:space="0" w:color="auto"/>
        <w:bottom w:val="none" w:sz="0" w:space="0" w:color="auto"/>
        <w:right w:val="none" w:sz="0" w:space="0" w:color="auto"/>
      </w:divBdr>
    </w:div>
    <w:div w:id="1057899311">
      <w:bodyDiv w:val="1"/>
      <w:marLeft w:val="0"/>
      <w:marRight w:val="0"/>
      <w:marTop w:val="0"/>
      <w:marBottom w:val="0"/>
      <w:divBdr>
        <w:top w:val="none" w:sz="0" w:space="0" w:color="auto"/>
        <w:left w:val="none" w:sz="0" w:space="0" w:color="auto"/>
        <w:bottom w:val="none" w:sz="0" w:space="0" w:color="auto"/>
        <w:right w:val="none" w:sz="0" w:space="0" w:color="auto"/>
      </w:divBdr>
    </w:div>
    <w:div w:id="1059010257">
      <w:bodyDiv w:val="1"/>
      <w:marLeft w:val="0"/>
      <w:marRight w:val="0"/>
      <w:marTop w:val="0"/>
      <w:marBottom w:val="0"/>
      <w:divBdr>
        <w:top w:val="none" w:sz="0" w:space="0" w:color="auto"/>
        <w:left w:val="none" w:sz="0" w:space="0" w:color="auto"/>
        <w:bottom w:val="none" w:sz="0" w:space="0" w:color="auto"/>
        <w:right w:val="none" w:sz="0" w:space="0" w:color="auto"/>
      </w:divBdr>
    </w:div>
    <w:div w:id="1059011569">
      <w:bodyDiv w:val="1"/>
      <w:marLeft w:val="0"/>
      <w:marRight w:val="0"/>
      <w:marTop w:val="0"/>
      <w:marBottom w:val="0"/>
      <w:divBdr>
        <w:top w:val="none" w:sz="0" w:space="0" w:color="auto"/>
        <w:left w:val="none" w:sz="0" w:space="0" w:color="auto"/>
        <w:bottom w:val="none" w:sz="0" w:space="0" w:color="auto"/>
        <w:right w:val="none" w:sz="0" w:space="0" w:color="auto"/>
      </w:divBdr>
    </w:div>
    <w:div w:id="1059129620">
      <w:bodyDiv w:val="1"/>
      <w:marLeft w:val="0"/>
      <w:marRight w:val="0"/>
      <w:marTop w:val="0"/>
      <w:marBottom w:val="0"/>
      <w:divBdr>
        <w:top w:val="none" w:sz="0" w:space="0" w:color="auto"/>
        <w:left w:val="none" w:sz="0" w:space="0" w:color="auto"/>
        <w:bottom w:val="none" w:sz="0" w:space="0" w:color="auto"/>
        <w:right w:val="none" w:sz="0" w:space="0" w:color="auto"/>
      </w:divBdr>
    </w:div>
    <w:div w:id="1060861244">
      <w:bodyDiv w:val="1"/>
      <w:marLeft w:val="0"/>
      <w:marRight w:val="0"/>
      <w:marTop w:val="0"/>
      <w:marBottom w:val="0"/>
      <w:divBdr>
        <w:top w:val="none" w:sz="0" w:space="0" w:color="auto"/>
        <w:left w:val="none" w:sz="0" w:space="0" w:color="auto"/>
        <w:bottom w:val="none" w:sz="0" w:space="0" w:color="auto"/>
        <w:right w:val="none" w:sz="0" w:space="0" w:color="auto"/>
      </w:divBdr>
    </w:div>
    <w:div w:id="1061245894">
      <w:bodyDiv w:val="1"/>
      <w:marLeft w:val="0"/>
      <w:marRight w:val="0"/>
      <w:marTop w:val="0"/>
      <w:marBottom w:val="0"/>
      <w:divBdr>
        <w:top w:val="none" w:sz="0" w:space="0" w:color="auto"/>
        <w:left w:val="none" w:sz="0" w:space="0" w:color="auto"/>
        <w:bottom w:val="none" w:sz="0" w:space="0" w:color="auto"/>
        <w:right w:val="none" w:sz="0" w:space="0" w:color="auto"/>
      </w:divBdr>
    </w:div>
    <w:div w:id="1061320067">
      <w:bodyDiv w:val="1"/>
      <w:marLeft w:val="0"/>
      <w:marRight w:val="0"/>
      <w:marTop w:val="0"/>
      <w:marBottom w:val="0"/>
      <w:divBdr>
        <w:top w:val="none" w:sz="0" w:space="0" w:color="auto"/>
        <w:left w:val="none" w:sz="0" w:space="0" w:color="auto"/>
        <w:bottom w:val="none" w:sz="0" w:space="0" w:color="auto"/>
        <w:right w:val="none" w:sz="0" w:space="0" w:color="auto"/>
      </w:divBdr>
    </w:div>
    <w:div w:id="1061639637">
      <w:bodyDiv w:val="1"/>
      <w:marLeft w:val="0"/>
      <w:marRight w:val="0"/>
      <w:marTop w:val="0"/>
      <w:marBottom w:val="0"/>
      <w:divBdr>
        <w:top w:val="none" w:sz="0" w:space="0" w:color="auto"/>
        <w:left w:val="none" w:sz="0" w:space="0" w:color="auto"/>
        <w:bottom w:val="none" w:sz="0" w:space="0" w:color="auto"/>
        <w:right w:val="none" w:sz="0" w:space="0" w:color="auto"/>
      </w:divBdr>
    </w:div>
    <w:div w:id="1061906813">
      <w:bodyDiv w:val="1"/>
      <w:marLeft w:val="0"/>
      <w:marRight w:val="0"/>
      <w:marTop w:val="0"/>
      <w:marBottom w:val="0"/>
      <w:divBdr>
        <w:top w:val="none" w:sz="0" w:space="0" w:color="auto"/>
        <w:left w:val="none" w:sz="0" w:space="0" w:color="auto"/>
        <w:bottom w:val="none" w:sz="0" w:space="0" w:color="auto"/>
        <w:right w:val="none" w:sz="0" w:space="0" w:color="auto"/>
      </w:divBdr>
    </w:div>
    <w:div w:id="1061945946">
      <w:bodyDiv w:val="1"/>
      <w:marLeft w:val="0"/>
      <w:marRight w:val="0"/>
      <w:marTop w:val="0"/>
      <w:marBottom w:val="0"/>
      <w:divBdr>
        <w:top w:val="none" w:sz="0" w:space="0" w:color="auto"/>
        <w:left w:val="none" w:sz="0" w:space="0" w:color="auto"/>
        <w:bottom w:val="none" w:sz="0" w:space="0" w:color="auto"/>
        <w:right w:val="none" w:sz="0" w:space="0" w:color="auto"/>
      </w:divBdr>
    </w:div>
    <w:div w:id="1062405050">
      <w:bodyDiv w:val="1"/>
      <w:marLeft w:val="0"/>
      <w:marRight w:val="0"/>
      <w:marTop w:val="0"/>
      <w:marBottom w:val="0"/>
      <w:divBdr>
        <w:top w:val="none" w:sz="0" w:space="0" w:color="auto"/>
        <w:left w:val="none" w:sz="0" w:space="0" w:color="auto"/>
        <w:bottom w:val="none" w:sz="0" w:space="0" w:color="auto"/>
        <w:right w:val="none" w:sz="0" w:space="0" w:color="auto"/>
      </w:divBdr>
    </w:div>
    <w:div w:id="1062602979">
      <w:bodyDiv w:val="1"/>
      <w:marLeft w:val="0"/>
      <w:marRight w:val="0"/>
      <w:marTop w:val="0"/>
      <w:marBottom w:val="0"/>
      <w:divBdr>
        <w:top w:val="none" w:sz="0" w:space="0" w:color="auto"/>
        <w:left w:val="none" w:sz="0" w:space="0" w:color="auto"/>
        <w:bottom w:val="none" w:sz="0" w:space="0" w:color="auto"/>
        <w:right w:val="none" w:sz="0" w:space="0" w:color="auto"/>
      </w:divBdr>
    </w:div>
    <w:div w:id="1062677447">
      <w:bodyDiv w:val="1"/>
      <w:marLeft w:val="0"/>
      <w:marRight w:val="0"/>
      <w:marTop w:val="0"/>
      <w:marBottom w:val="0"/>
      <w:divBdr>
        <w:top w:val="none" w:sz="0" w:space="0" w:color="auto"/>
        <w:left w:val="none" w:sz="0" w:space="0" w:color="auto"/>
        <w:bottom w:val="none" w:sz="0" w:space="0" w:color="auto"/>
        <w:right w:val="none" w:sz="0" w:space="0" w:color="auto"/>
      </w:divBdr>
    </w:div>
    <w:div w:id="1064254647">
      <w:bodyDiv w:val="1"/>
      <w:marLeft w:val="0"/>
      <w:marRight w:val="0"/>
      <w:marTop w:val="0"/>
      <w:marBottom w:val="0"/>
      <w:divBdr>
        <w:top w:val="none" w:sz="0" w:space="0" w:color="auto"/>
        <w:left w:val="none" w:sz="0" w:space="0" w:color="auto"/>
        <w:bottom w:val="none" w:sz="0" w:space="0" w:color="auto"/>
        <w:right w:val="none" w:sz="0" w:space="0" w:color="auto"/>
      </w:divBdr>
    </w:div>
    <w:div w:id="1064647720">
      <w:bodyDiv w:val="1"/>
      <w:marLeft w:val="0"/>
      <w:marRight w:val="0"/>
      <w:marTop w:val="0"/>
      <w:marBottom w:val="0"/>
      <w:divBdr>
        <w:top w:val="none" w:sz="0" w:space="0" w:color="auto"/>
        <w:left w:val="none" w:sz="0" w:space="0" w:color="auto"/>
        <w:bottom w:val="none" w:sz="0" w:space="0" w:color="auto"/>
        <w:right w:val="none" w:sz="0" w:space="0" w:color="auto"/>
      </w:divBdr>
    </w:div>
    <w:div w:id="1065420382">
      <w:bodyDiv w:val="1"/>
      <w:marLeft w:val="0"/>
      <w:marRight w:val="0"/>
      <w:marTop w:val="0"/>
      <w:marBottom w:val="0"/>
      <w:divBdr>
        <w:top w:val="none" w:sz="0" w:space="0" w:color="auto"/>
        <w:left w:val="none" w:sz="0" w:space="0" w:color="auto"/>
        <w:bottom w:val="none" w:sz="0" w:space="0" w:color="auto"/>
        <w:right w:val="none" w:sz="0" w:space="0" w:color="auto"/>
      </w:divBdr>
    </w:div>
    <w:div w:id="1065836776">
      <w:bodyDiv w:val="1"/>
      <w:marLeft w:val="0"/>
      <w:marRight w:val="0"/>
      <w:marTop w:val="0"/>
      <w:marBottom w:val="0"/>
      <w:divBdr>
        <w:top w:val="none" w:sz="0" w:space="0" w:color="auto"/>
        <w:left w:val="none" w:sz="0" w:space="0" w:color="auto"/>
        <w:bottom w:val="none" w:sz="0" w:space="0" w:color="auto"/>
        <w:right w:val="none" w:sz="0" w:space="0" w:color="auto"/>
      </w:divBdr>
    </w:div>
    <w:div w:id="1066032552">
      <w:bodyDiv w:val="1"/>
      <w:marLeft w:val="0"/>
      <w:marRight w:val="0"/>
      <w:marTop w:val="0"/>
      <w:marBottom w:val="0"/>
      <w:divBdr>
        <w:top w:val="none" w:sz="0" w:space="0" w:color="auto"/>
        <w:left w:val="none" w:sz="0" w:space="0" w:color="auto"/>
        <w:bottom w:val="none" w:sz="0" w:space="0" w:color="auto"/>
        <w:right w:val="none" w:sz="0" w:space="0" w:color="auto"/>
      </w:divBdr>
    </w:div>
    <w:div w:id="1066805352">
      <w:bodyDiv w:val="1"/>
      <w:marLeft w:val="0"/>
      <w:marRight w:val="0"/>
      <w:marTop w:val="0"/>
      <w:marBottom w:val="0"/>
      <w:divBdr>
        <w:top w:val="none" w:sz="0" w:space="0" w:color="auto"/>
        <w:left w:val="none" w:sz="0" w:space="0" w:color="auto"/>
        <w:bottom w:val="none" w:sz="0" w:space="0" w:color="auto"/>
        <w:right w:val="none" w:sz="0" w:space="0" w:color="auto"/>
      </w:divBdr>
    </w:div>
    <w:div w:id="1067266309">
      <w:bodyDiv w:val="1"/>
      <w:marLeft w:val="0"/>
      <w:marRight w:val="0"/>
      <w:marTop w:val="0"/>
      <w:marBottom w:val="0"/>
      <w:divBdr>
        <w:top w:val="none" w:sz="0" w:space="0" w:color="auto"/>
        <w:left w:val="none" w:sz="0" w:space="0" w:color="auto"/>
        <w:bottom w:val="none" w:sz="0" w:space="0" w:color="auto"/>
        <w:right w:val="none" w:sz="0" w:space="0" w:color="auto"/>
      </w:divBdr>
    </w:div>
    <w:div w:id="1067417408">
      <w:bodyDiv w:val="1"/>
      <w:marLeft w:val="0"/>
      <w:marRight w:val="0"/>
      <w:marTop w:val="0"/>
      <w:marBottom w:val="0"/>
      <w:divBdr>
        <w:top w:val="none" w:sz="0" w:space="0" w:color="auto"/>
        <w:left w:val="none" w:sz="0" w:space="0" w:color="auto"/>
        <w:bottom w:val="none" w:sz="0" w:space="0" w:color="auto"/>
        <w:right w:val="none" w:sz="0" w:space="0" w:color="auto"/>
      </w:divBdr>
    </w:div>
    <w:div w:id="1067453877">
      <w:bodyDiv w:val="1"/>
      <w:marLeft w:val="0"/>
      <w:marRight w:val="0"/>
      <w:marTop w:val="0"/>
      <w:marBottom w:val="0"/>
      <w:divBdr>
        <w:top w:val="none" w:sz="0" w:space="0" w:color="auto"/>
        <w:left w:val="none" w:sz="0" w:space="0" w:color="auto"/>
        <w:bottom w:val="none" w:sz="0" w:space="0" w:color="auto"/>
        <w:right w:val="none" w:sz="0" w:space="0" w:color="auto"/>
      </w:divBdr>
    </w:div>
    <w:div w:id="1067727624">
      <w:bodyDiv w:val="1"/>
      <w:marLeft w:val="0"/>
      <w:marRight w:val="0"/>
      <w:marTop w:val="0"/>
      <w:marBottom w:val="0"/>
      <w:divBdr>
        <w:top w:val="none" w:sz="0" w:space="0" w:color="auto"/>
        <w:left w:val="none" w:sz="0" w:space="0" w:color="auto"/>
        <w:bottom w:val="none" w:sz="0" w:space="0" w:color="auto"/>
        <w:right w:val="none" w:sz="0" w:space="0" w:color="auto"/>
      </w:divBdr>
    </w:div>
    <w:div w:id="1068727649">
      <w:bodyDiv w:val="1"/>
      <w:marLeft w:val="0"/>
      <w:marRight w:val="0"/>
      <w:marTop w:val="0"/>
      <w:marBottom w:val="0"/>
      <w:divBdr>
        <w:top w:val="none" w:sz="0" w:space="0" w:color="auto"/>
        <w:left w:val="none" w:sz="0" w:space="0" w:color="auto"/>
        <w:bottom w:val="none" w:sz="0" w:space="0" w:color="auto"/>
        <w:right w:val="none" w:sz="0" w:space="0" w:color="auto"/>
      </w:divBdr>
    </w:div>
    <w:div w:id="1069185227">
      <w:bodyDiv w:val="1"/>
      <w:marLeft w:val="0"/>
      <w:marRight w:val="0"/>
      <w:marTop w:val="0"/>
      <w:marBottom w:val="0"/>
      <w:divBdr>
        <w:top w:val="none" w:sz="0" w:space="0" w:color="auto"/>
        <w:left w:val="none" w:sz="0" w:space="0" w:color="auto"/>
        <w:bottom w:val="none" w:sz="0" w:space="0" w:color="auto"/>
        <w:right w:val="none" w:sz="0" w:space="0" w:color="auto"/>
      </w:divBdr>
    </w:div>
    <w:div w:id="1069767614">
      <w:bodyDiv w:val="1"/>
      <w:marLeft w:val="0"/>
      <w:marRight w:val="0"/>
      <w:marTop w:val="0"/>
      <w:marBottom w:val="0"/>
      <w:divBdr>
        <w:top w:val="none" w:sz="0" w:space="0" w:color="auto"/>
        <w:left w:val="none" w:sz="0" w:space="0" w:color="auto"/>
        <w:bottom w:val="none" w:sz="0" w:space="0" w:color="auto"/>
        <w:right w:val="none" w:sz="0" w:space="0" w:color="auto"/>
      </w:divBdr>
    </w:div>
    <w:div w:id="1070271167">
      <w:bodyDiv w:val="1"/>
      <w:marLeft w:val="0"/>
      <w:marRight w:val="0"/>
      <w:marTop w:val="0"/>
      <w:marBottom w:val="0"/>
      <w:divBdr>
        <w:top w:val="none" w:sz="0" w:space="0" w:color="auto"/>
        <w:left w:val="none" w:sz="0" w:space="0" w:color="auto"/>
        <w:bottom w:val="none" w:sz="0" w:space="0" w:color="auto"/>
        <w:right w:val="none" w:sz="0" w:space="0" w:color="auto"/>
      </w:divBdr>
    </w:div>
    <w:div w:id="1070736032">
      <w:bodyDiv w:val="1"/>
      <w:marLeft w:val="0"/>
      <w:marRight w:val="0"/>
      <w:marTop w:val="0"/>
      <w:marBottom w:val="0"/>
      <w:divBdr>
        <w:top w:val="none" w:sz="0" w:space="0" w:color="auto"/>
        <w:left w:val="none" w:sz="0" w:space="0" w:color="auto"/>
        <w:bottom w:val="none" w:sz="0" w:space="0" w:color="auto"/>
        <w:right w:val="none" w:sz="0" w:space="0" w:color="auto"/>
      </w:divBdr>
    </w:div>
    <w:div w:id="1073238896">
      <w:bodyDiv w:val="1"/>
      <w:marLeft w:val="0"/>
      <w:marRight w:val="0"/>
      <w:marTop w:val="0"/>
      <w:marBottom w:val="0"/>
      <w:divBdr>
        <w:top w:val="none" w:sz="0" w:space="0" w:color="auto"/>
        <w:left w:val="none" w:sz="0" w:space="0" w:color="auto"/>
        <w:bottom w:val="none" w:sz="0" w:space="0" w:color="auto"/>
        <w:right w:val="none" w:sz="0" w:space="0" w:color="auto"/>
      </w:divBdr>
    </w:div>
    <w:div w:id="1074083422">
      <w:bodyDiv w:val="1"/>
      <w:marLeft w:val="0"/>
      <w:marRight w:val="0"/>
      <w:marTop w:val="0"/>
      <w:marBottom w:val="0"/>
      <w:divBdr>
        <w:top w:val="none" w:sz="0" w:space="0" w:color="auto"/>
        <w:left w:val="none" w:sz="0" w:space="0" w:color="auto"/>
        <w:bottom w:val="none" w:sz="0" w:space="0" w:color="auto"/>
        <w:right w:val="none" w:sz="0" w:space="0" w:color="auto"/>
      </w:divBdr>
    </w:div>
    <w:div w:id="1075198941">
      <w:bodyDiv w:val="1"/>
      <w:marLeft w:val="0"/>
      <w:marRight w:val="0"/>
      <w:marTop w:val="0"/>
      <w:marBottom w:val="0"/>
      <w:divBdr>
        <w:top w:val="none" w:sz="0" w:space="0" w:color="auto"/>
        <w:left w:val="none" w:sz="0" w:space="0" w:color="auto"/>
        <w:bottom w:val="none" w:sz="0" w:space="0" w:color="auto"/>
        <w:right w:val="none" w:sz="0" w:space="0" w:color="auto"/>
      </w:divBdr>
    </w:div>
    <w:div w:id="1075542788">
      <w:bodyDiv w:val="1"/>
      <w:marLeft w:val="0"/>
      <w:marRight w:val="0"/>
      <w:marTop w:val="0"/>
      <w:marBottom w:val="0"/>
      <w:divBdr>
        <w:top w:val="none" w:sz="0" w:space="0" w:color="auto"/>
        <w:left w:val="none" w:sz="0" w:space="0" w:color="auto"/>
        <w:bottom w:val="none" w:sz="0" w:space="0" w:color="auto"/>
        <w:right w:val="none" w:sz="0" w:space="0" w:color="auto"/>
      </w:divBdr>
    </w:div>
    <w:div w:id="1075977436">
      <w:bodyDiv w:val="1"/>
      <w:marLeft w:val="0"/>
      <w:marRight w:val="0"/>
      <w:marTop w:val="0"/>
      <w:marBottom w:val="0"/>
      <w:divBdr>
        <w:top w:val="none" w:sz="0" w:space="0" w:color="auto"/>
        <w:left w:val="none" w:sz="0" w:space="0" w:color="auto"/>
        <w:bottom w:val="none" w:sz="0" w:space="0" w:color="auto"/>
        <w:right w:val="none" w:sz="0" w:space="0" w:color="auto"/>
      </w:divBdr>
    </w:div>
    <w:div w:id="1076245037">
      <w:bodyDiv w:val="1"/>
      <w:marLeft w:val="0"/>
      <w:marRight w:val="0"/>
      <w:marTop w:val="0"/>
      <w:marBottom w:val="0"/>
      <w:divBdr>
        <w:top w:val="none" w:sz="0" w:space="0" w:color="auto"/>
        <w:left w:val="none" w:sz="0" w:space="0" w:color="auto"/>
        <w:bottom w:val="none" w:sz="0" w:space="0" w:color="auto"/>
        <w:right w:val="none" w:sz="0" w:space="0" w:color="auto"/>
      </w:divBdr>
    </w:div>
    <w:div w:id="1077290104">
      <w:bodyDiv w:val="1"/>
      <w:marLeft w:val="0"/>
      <w:marRight w:val="0"/>
      <w:marTop w:val="0"/>
      <w:marBottom w:val="0"/>
      <w:divBdr>
        <w:top w:val="none" w:sz="0" w:space="0" w:color="auto"/>
        <w:left w:val="none" w:sz="0" w:space="0" w:color="auto"/>
        <w:bottom w:val="none" w:sz="0" w:space="0" w:color="auto"/>
        <w:right w:val="none" w:sz="0" w:space="0" w:color="auto"/>
      </w:divBdr>
    </w:div>
    <w:div w:id="1078551780">
      <w:bodyDiv w:val="1"/>
      <w:marLeft w:val="0"/>
      <w:marRight w:val="0"/>
      <w:marTop w:val="0"/>
      <w:marBottom w:val="0"/>
      <w:divBdr>
        <w:top w:val="none" w:sz="0" w:space="0" w:color="auto"/>
        <w:left w:val="none" w:sz="0" w:space="0" w:color="auto"/>
        <w:bottom w:val="none" w:sz="0" w:space="0" w:color="auto"/>
        <w:right w:val="none" w:sz="0" w:space="0" w:color="auto"/>
      </w:divBdr>
    </w:div>
    <w:div w:id="1078594832">
      <w:bodyDiv w:val="1"/>
      <w:marLeft w:val="0"/>
      <w:marRight w:val="0"/>
      <w:marTop w:val="0"/>
      <w:marBottom w:val="0"/>
      <w:divBdr>
        <w:top w:val="none" w:sz="0" w:space="0" w:color="auto"/>
        <w:left w:val="none" w:sz="0" w:space="0" w:color="auto"/>
        <w:bottom w:val="none" w:sz="0" w:space="0" w:color="auto"/>
        <w:right w:val="none" w:sz="0" w:space="0" w:color="auto"/>
      </w:divBdr>
    </w:div>
    <w:div w:id="1078942686">
      <w:bodyDiv w:val="1"/>
      <w:marLeft w:val="0"/>
      <w:marRight w:val="0"/>
      <w:marTop w:val="0"/>
      <w:marBottom w:val="0"/>
      <w:divBdr>
        <w:top w:val="none" w:sz="0" w:space="0" w:color="auto"/>
        <w:left w:val="none" w:sz="0" w:space="0" w:color="auto"/>
        <w:bottom w:val="none" w:sz="0" w:space="0" w:color="auto"/>
        <w:right w:val="none" w:sz="0" w:space="0" w:color="auto"/>
      </w:divBdr>
    </w:div>
    <w:div w:id="1079135617">
      <w:bodyDiv w:val="1"/>
      <w:marLeft w:val="0"/>
      <w:marRight w:val="0"/>
      <w:marTop w:val="0"/>
      <w:marBottom w:val="0"/>
      <w:divBdr>
        <w:top w:val="none" w:sz="0" w:space="0" w:color="auto"/>
        <w:left w:val="none" w:sz="0" w:space="0" w:color="auto"/>
        <w:bottom w:val="none" w:sz="0" w:space="0" w:color="auto"/>
        <w:right w:val="none" w:sz="0" w:space="0" w:color="auto"/>
      </w:divBdr>
    </w:div>
    <w:div w:id="1079327185">
      <w:bodyDiv w:val="1"/>
      <w:marLeft w:val="0"/>
      <w:marRight w:val="0"/>
      <w:marTop w:val="0"/>
      <w:marBottom w:val="0"/>
      <w:divBdr>
        <w:top w:val="none" w:sz="0" w:space="0" w:color="auto"/>
        <w:left w:val="none" w:sz="0" w:space="0" w:color="auto"/>
        <w:bottom w:val="none" w:sz="0" w:space="0" w:color="auto"/>
        <w:right w:val="none" w:sz="0" w:space="0" w:color="auto"/>
      </w:divBdr>
    </w:div>
    <w:div w:id="1079793629">
      <w:bodyDiv w:val="1"/>
      <w:marLeft w:val="0"/>
      <w:marRight w:val="0"/>
      <w:marTop w:val="0"/>
      <w:marBottom w:val="0"/>
      <w:divBdr>
        <w:top w:val="none" w:sz="0" w:space="0" w:color="auto"/>
        <w:left w:val="none" w:sz="0" w:space="0" w:color="auto"/>
        <w:bottom w:val="none" w:sz="0" w:space="0" w:color="auto"/>
        <w:right w:val="none" w:sz="0" w:space="0" w:color="auto"/>
      </w:divBdr>
    </w:div>
    <w:div w:id="1080829473">
      <w:bodyDiv w:val="1"/>
      <w:marLeft w:val="0"/>
      <w:marRight w:val="0"/>
      <w:marTop w:val="0"/>
      <w:marBottom w:val="0"/>
      <w:divBdr>
        <w:top w:val="none" w:sz="0" w:space="0" w:color="auto"/>
        <w:left w:val="none" w:sz="0" w:space="0" w:color="auto"/>
        <w:bottom w:val="none" w:sz="0" w:space="0" w:color="auto"/>
        <w:right w:val="none" w:sz="0" w:space="0" w:color="auto"/>
      </w:divBdr>
    </w:div>
    <w:div w:id="1081221789">
      <w:bodyDiv w:val="1"/>
      <w:marLeft w:val="0"/>
      <w:marRight w:val="0"/>
      <w:marTop w:val="0"/>
      <w:marBottom w:val="0"/>
      <w:divBdr>
        <w:top w:val="none" w:sz="0" w:space="0" w:color="auto"/>
        <w:left w:val="none" w:sz="0" w:space="0" w:color="auto"/>
        <w:bottom w:val="none" w:sz="0" w:space="0" w:color="auto"/>
        <w:right w:val="none" w:sz="0" w:space="0" w:color="auto"/>
      </w:divBdr>
    </w:div>
    <w:div w:id="1082525602">
      <w:bodyDiv w:val="1"/>
      <w:marLeft w:val="0"/>
      <w:marRight w:val="0"/>
      <w:marTop w:val="0"/>
      <w:marBottom w:val="0"/>
      <w:divBdr>
        <w:top w:val="none" w:sz="0" w:space="0" w:color="auto"/>
        <w:left w:val="none" w:sz="0" w:space="0" w:color="auto"/>
        <w:bottom w:val="none" w:sz="0" w:space="0" w:color="auto"/>
        <w:right w:val="none" w:sz="0" w:space="0" w:color="auto"/>
      </w:divBdr>
    </w:div>
    <w:div w:id="1082680584">
      <w:bodyDiv w:val="1"/>
      <w:marLeft w:val="0"/>
      <w:marRight w:val="0"/>
      <w:marTop w:val="0"/>
      <w:marBottom w:val="0"/>
      <w:divBdr>
        <w:top w:val="none" w:sz="0" w:space="0" w:color="auto"/>
        <w:left w:val="none" w:sz="0" w:space="0" w:color="auto"/>
        <w:bottom w:val="none" w:sz="0" w:space="0" w:color="auto"/>
        <w:right w:val="none" w:sz="0" w:space="0" w:color="auto"/>
      </w:divBdr>
    </w:div>
    <w:div w:id="1082873721">
      <w:bodyDiv w:val="1"/>
      <w:marLeft w:val="0"/>
      <w:marRight w:val="0"/>
      <w:marTop w:val="0"/>
      <w:marBottom w:val="0"/>
      <w:divBdr>
        <w:top w:val="none" w:sz="0" w:space="0" w:color="auto"/>
        <w:left w:val="none" w:sz="0" w:space="0" w:color="auto"/>
        <w:bottom w:val="none" w:sz="0" w:space="0" w:color="auto"/>
        <w:right w:val="none" w:sz="0" w:space="0" w:color="auto"/>
      </w:divBdr>
    </w:div>
    <w:div w:id="1082948547">
      <w:bodyDiv w:val="1"/>
      <w:marLeft w:val="0"/>
      <w:marRight w:val="0"/>
      <w:marTop w:val="0"/>
      <w:marBottom w:val="0"/>
      <w:divBdr>
        <w:top w:val="none" w:sz="0" w:space="0" w:color="auto"/>
        <w:left w:val="none" w:sz="0" w:space="0" w:color="auto"/>
        <w:bottom w:val="none" w:sz="0" w:space="0" w:color="auto"/>
        <w:right w:val="none" w:sz="0" w:space="0" w:color="auto"/>
      </w:divBdr>
    </w:div>
    <w:div w:id="1083338121">
      <w:bodyDiv w:val="1"/>
      <w:marLeft w:val="0"/>
      <w:marRight w:val="0"/>
      <w:marTop w:val="0"/>
      <w:marBottom w:val="0"/>
      <w:divBdr>
        <w:top w:val="none" w:sz="0" w:space="0" w:color="auto"/>
        <w:left w:val="none" w:sz="0" w:space="0" w:color="auto"/>
        <w:bottom w:val="none" w:sz="0" w:space="0" w:color="auto"/>
        <w:right w:val="none" w:sz="0" w:space="0" w:color="auto"/>
      </w:divBdr>
    </w:div>
    <w:div w:id="1083641817">
      <w:bodyDiv w:val="1"/>
      <w:marLeft w:val="0"/>
      <w:marRight w:val="0"/>
      <w:marTop w:val="0"/>
      <w:marBottom w:val="0"/>
      <w:divBdr>
        <w:top w:val="none" w:sz="0" w:space="0" w:color="auto"/>
        <w:left w:val="none" w:sz="0" w:space="0" w:color="auto"/>
        <w:bottom w:val="none" w:sz="0" w:space="0" w:color="auto"/>
        <w:right w:val="none" w:sz="0" w:space="0" w:color="auto"/>
      </w:divBdr>
    </w:div>
    <w:div w:id="1084648582">
      <w:bodyDiv w:val="1"/>
      <w:marLeft w:val="0"/>
      <w:marRight w:val="0"/>
      <w:marTop w:val="0"/>
      <w:marBottom w:val="0"/>
      <w:divBdr>
        <w:top w:val="none" w:sz="0" w:space="0" w:color="auto"/>
        <w:left w:val="none" w:sz="0" w:space="0" w:color="auto"/>
        <w:bottom w:val="none" w:sz="0" w:space="0" w:color="auto"/>
        <w:right w:val="none" w:sz="0" w:space="0" w:color="auto"/>
      </w:divBdr>
    </w:div>
    <w:div w:id="1084954040">
      <w:bodyDiv w:val="1"/>
      <w:marLeft w:val="0"/>
      <w:marRight w:val="0"/>
      <w:marTop w:val="0"/>
      <w:marBottom w:val="0"/>
      <w:divBdr>
        <w:top w:val="none" w:sz="0" w:space="0" w:color="auto"/>
        <w:left w:val="none" w:sz="0" w:space="0" w:color="auto"/>
        <w:bottom w:val="none" w:sz="0" w:space="0" w:color="auto"/>
        <w:right w:val="none" w:sz="0" w:space="0" w:color="auto"/>
      </w:divBdr>
    </w:div>
    <w:div w:id="1085567420">
      <w:bodyDiv w:val="1"/>
      <w:marLeft w:val="0"/>
      <w:marRight w:val="0"/>
      <w:marTop w:val="0"/>
      <w:marBottom w:val="0"/>
      <w:divBdr>
        <w:top w:val="none" w:sz="0" w:space="0" w:color="auto"/>
        <w:left w:val="none" w:sz="0" w:space="0" w:color="auto"/>
        <w:bottom w:val="none" w:sz="0" w:space="0" w:color="auto"/>
        <w:right w:val="none" w:sz="0" w:space="0" w:color="auto"/>
      </w:divBdr>
    </w:div>
    <w:div w:id="1085610297">
      <w:bodyDiv w:val="1"/>
      <w:marLeft w:val="0"/>
      <w:marRight w:val="0"/>
      <w:marTop w:val="0"/>
      <w:marBottom w:val="0"/>
      <w:divBdr>
        <w:top w:val="none" w:sz="0" w:space="0" w:color="auto"/>
        <w:left w:val="none" w:sz="0" w:space="0" w:color="auto"/>
        <w:bottom w:val="none" w:sz="0" w:space="0" w:color="auto"/>
        <w:right w:val="none" w:sz="0" w:space="0" w:color="auto"/>
      </w:divBdr>
    </w:div>
    <w:div w:id="1086078593">
      <w:bodyDiv w:val="1"/>
      <w:marLeft w:val="0"/>
      <w:marRight w:val="0"/>
      <w:marTop w:val="0"/>
      <w:marBottom w:val="0"/>
      <w:divBdr>
        <w:top w:val="none" w:sz="0" w:space="0" w:color="auto"/>
        <w:left w:val="none" w:sz="0" w:space="0" w:color="auto"/>
        <w:bottom w:val="none" w:sz="0" w:space="0" w:color="auto"/>
        <w:right w:val="none" w:sz="0" w:space="0" w:color="auto"/>
      </w:divBdr>
    </w:div>
    <w:div w:id="1087073718">
      <w:bodyDiv w:val="1"/>
      <w:marLeft w:val="0"/>
      <w:marRight w:val="0"/>
      <w:marTop w:val="0"/>
      <w:marBottom w:val="0"/>
      <w:divBdr>
        <w:top w:val="none" w:sz="0" w:space="0" w:color="auto"/>
        <w:left w:val="none" w:sz="0" w:space="0" w:color="auto"/>
        <w:bottom w:val="none" w:sz="0" w:space="0" w:color="auto"/>
        <w:right w:val="none" w:sz="0" w:space="0" w:color="auto"/>
      </w:divBdr>
    </w:div>
    <w:div w:id="1087533085">
      <w:bodyDiv w:val="1"/>
      <w:marLeft w:val="0"/>
      <w:marRight w:val="0"/>
      <w:marTop w:val="0"/>
      <w:marBottom w:val="0"/>
      <w:divBdr>
        <w:top w:val="none" w:sz="0" w:space="0" w:color="auto"/>
        <w:left w:val="none" w:sz="0" w:space="0" w:color="auto"/>
        <w:bottom w:val="none" w:sz="0" w:space="0" w:color="auto"/>
        <w:right w:val="none" w:sz="0" w:space="0" w:color="auto"/>
      </w:divBdr>
    </w:div>
    <w:div w:id="1087652124">
      <w:bodyDiv w:val="1"/>
      <w:marLeft w:val="0"/>
      <w:marRight w:val="0"/>
      <w:marTop w:val="0"/>
      <w:marBottom w:val="0"/>
      <w:divBdr>
        <w:top w:val="none" w:sz="0" w:space="0" w:color="auto"/>
        <w:left w:val="none" w:sz="0" w:space="0" w:color="auto"/>
        <w:bottom w:val="none" w:sz="0" w:space="0" w:color="auto"/>
        <w:right w:val="none" w:sz="0" w:space="0" w:color="auto"/>
      </w:divBdr>
    </w:div>
    <w:div w:id="1090196419">
      <w:bodyDiv w:val="1"/>
      <w:marLeft w:val="0"/>
      <w:marRight w:val="0"/>
      <w:marTop w:val="0"/>
      <w:marBottom w:val="0"/>
      <w:divBdr>
        <w:top w:val="none" w:sz="0" w:space="0" w:color="auto"/>
        <w:left w:val="none" w:sz="0" w:space="0" w:color="auto"/>
        <w:bottom w:val="none" w:sz="0" w:space="0" w:color="auto"/>
        <w:right w:val="none" w:sz="0" w:space="0" w:color="auto"/>
      </w:divBdr>
    </w:div>
    <w:div w:id="1091468326">
      <w:bodyDiv w:val="1"/>
      <w:marLeft w:val="0"/>
      <w:marRight w:val="0"/>
      <w:marTop w:val="0"/>
      <w:marBottom w:val="0"/>
      <w:divBdr>
        <w:top w:val="none" w:sz="0" w:space="0" w:color="auto"/>
        <w:left w:val="none" w:sz="0" w:space="0" w:color="auto"/>
        <w:bottom w:val="none" w:sz="0" w:space="0" w:color="auto"/>
        <w:right w:val="none" w:sz="0" w:space="0" w:color="auto"/>
      </w:divBdr>
    </w:div>
    <w:div w:id="1092818367">
      <w:bodyDiv w:val="1"/>
      <w:marLeft w:val="0"/>
      <w:marRight w:val="0"/>
      <w:marTop w:val="0"/>
      <w:marBottom w:val="0"/>
      <w:divBdr>
        <w:top w:val="none" w:sz="0" w:space="0" w:color="auto"/>
        <w:left w:val="none" w:sz="0" w:space="0" w:color="auto"/>
        <w:bottom w:val="none" w:sz="0" w:space="0" w:color="auto"/>
        <w:right w:val="none" w:sz="0" w:space="0" w:color="auto"/>
      </w:divBdr>
    </w:div>
    <w:div w:id="1095173144">
      <w:bodyDiv w:val="1"/>
      <w:marLeft w:val="0"/>
      <w:marRight w:val="0"/>
      <w:marTop w:val="0"/>
      <w:marBottom w:val="0"/>
      <w:divBdr>
        <w:top w:val="none" w:sz="0" w:space="0" w:color="auto"/>
        <w:left w:val="none" w:sz="0" w:space="0" w:color="auto"/>
        <w:bottom w:val="none" w:sz="0" w:space="0" w:color="auto"/>
        <w:right w:val="none" w:sz="0" w:space="0" w:color="auto"/>
      </w:divBdr>
    </w:div>
    <w:div w:id="1096442746">
      <w:bodyDiv w:val="1"/>
      <w:marLeft w:val="0"/>
      <w:marRight w:val="0"/>
      <w:marTop w:val="0"/>
      <w:marBottom w:val="0"/>
      <w:divBdr>
        <w:top w:val="none" w:sz="0" w:space="0" w:color="auto"/>
        <w:left w:val="none" w:sz="0" w:space="0" w:color="auto"/>
        <w:bottom w:val="none" w:sz="0" w:space="0" w:color="auto"/>
        <w:right w:val="none" w:sz="0" w:space="0" w:color="auto"/>
      </w:divBdr>
    </w:div>
    <w:div w:id="1097019004">
      <w:bodyDiv w:val="1"/>
      <w:marLeft w:val="0"/>
      <w:marRight w:val="0"/>
      <w:marTop w:val="0"/>
      <w:marBottom w:val="0"/>
      <w:divBdr>
        <w:top w:val="none" w:sz="0" w:space="0" w:color="auto"/>
        <w:left w:val="none" w:sz="0" w:space="0" w:color="auto"/>
        <w:bottom w:val="none" w:sz="0" w:space="0" w:color="auto"/>
        <w:right w:val="none" w:sz="0" w:space="0" w:color="auto"/>
      </w:divBdr>
    </w:div>
    <w:div w:id="1098989077">
      <w:bodyDiv w:val="1"/>
      <w:marLeft w:val="0"/>
      <w:marRight w:val="0"/>
      <w:marTop w:val="0"/>
      <w:marBottom w:val="0"/>
      <w:divBdr>
        <w:top w:val="none" w:sz="0" w:space="0" w:color="auto"/>
        <w:left w:val="none" w:sz="0" w:space="0" w:color="auto"/>
        <w:bottom w:val="none" w:sz="0" w:space="0" w:color="auto"/>
        <w:right w:val="none" w:sz="0" w:space="0" w:color="auto"/>
      </w:divBdr>
    </w:div>
    <w:div w:id="1099526950">
      <w:bodyDiv w:val="1"/>
      <w:marLeft w:val="0"/>
      <w:marRight w:val="0"/>
      <w:marTop w:val="0"/>
      <w:marBottom w:val="0"/>
      <w:divBdr>
        <w:top w:val="none" w:sz="0" w:space="0" w:color="auto"/>
        <w:left w:val="none" w:sz="0" w:space="0" w:color="auto"/>
        <w:bottom w:val="none" w:sz="0" w:space="0" w:color="auto"/>
        <w:right w:val="none" w:sz="0" w:space="0" w:color="auto"/>
      </w:divBdr>
    </w:div>
    <w:div w:id="1099837485">
      <w:bodyDiv w:val="1"/>
      <w:marLeft w:val="0"/>
      <w:marRight w:val="0"/>
      <w:marTop w:val="0"/>
      <w:marBottom w:val="0"/>
      <w:divBdr>
        <w:top w:val="none" w:sz="0" w:space="0" w:color="auto"/>
        <w:left w:val="none" w:sz="0" w:space="0" w:color="auto"/>
        <w:bottom w:val="none" w:sz="0" w:space="0" w:color="auto"/>
        <w:right w:val="none" w:sz="0" w:space="0" w:color="auto"/>
      </w:divBdr>
    </w:div>
    <w:div w:id="1100293356">
      <w:bodyDiv w:val="1"/>
      <w:marLeft w:val="0"/>
      <w:marRight w:val="0"/>
      <w:marTop w:val="0"/>
      <w:marBottom w:val="0"/>
      <w:divBdr>
        <w:top w:val="none" w:sz="0" w:space="0" w:color="auto"/>
        <w:left w:val="none" w:sz="0" w:space="0" w:color="auto"/>
        <w:bottom w:val="none" w:sz="0" w:space="0" w:color="auto"/>
        <w:right w:val="none" w:sz="0" w:space="0" w:color="auto"/>
      </w:divBdr>
    </w:div>
    <w:div w:id="1100371338">
      <w:bodyDiv w:val="1"/>
      <w:marLeft w:val="0"/>
      <w:marRight w:val="0"/>
      <w:marTop w:val="0"/>
      <w:marBottom w:val="0"/>
      <w:divBdr>
        <w:top w:val="none" w:sz="0" w:space="0" w:color="auto"/>
        <w:left w:val="none" w:sz="0" w:space="0" w:color="auto"/>
        <w:bottom w:val="none" w:sz="0" w:space="0" w:color="auto"/>
        <w:right w:val="none" w:sz="0" w:space="0" w:color="auto"/>
      </w:divBdr>
    </w:div>
    <w:div w:id="1100419270">
      <w:bodyDiv w:val="1"/>
      <w:marLeft w:val="0"/>
      <w:marRight w:val="0"/>
      <w:marTop w:val="0"/>
      <w:marBottom w:val="0"/>
      <w:divBdr>
        <w:top w:val="none" w:sz="0" w:space="0" w:color="auto"/>
        <w:left w:val="none" w:sz="0" w:space="0" w:color="auto"/>
        <w:bottom w:val="none" w:sz="0" w:space="0" w:color="auto"/>
        <w:right w:val="none" w:sz="0" w:space="0" w:color="auto"/>
      </w:divBdr>
    </w:div>
    <w:div w:id="1100874561">
      <w:bodyDiv w:val="1"/>
      <w:marLeft w:val="0"/>
      <w:marRight w:val="0"/>
      <w:marTop w:val="0"/>
      <w:marBottom w:val="0"/>
      <w:divBdr>
        <w:top w:val="none" w:sz="0" w:space="0" w:color="auto"/>
        <w:left w:val="none" w:sz="0" w:space="0" w:color="auto"/>
        <w:bottom w:val="none" w:sz="0" w:space="0" w:color="auto"/>
        <w:right w:val="none" w:sz="0" w:space="0" w:color="auto"/>
      </w:divBdr>
    </w:div>
    <w:div w:id="1101224747">
      <w:bodyDiv w:val="1"/>
      <w:marLeft w:val="0"/>
      <w:marRight w:val="0"/>
      <w:marTop w:val="0"/>
      <w:marBottom w:val="0"/>
      <w:divBdr>
        <w:top w:val="none" w:sz="0" w:space="0" w:color="auto"/>
        <w:left w:val="none" w:sz="0" w:space="0" w:color="auto"/>
        <w:bottom w:val="none" w:sz="0" w:space="0" w:color="auto"/>
        <w:right w:val="none" w:sz="0" w:space="0" w:color="auto"/>
      </w:divBdr>
    </w:div>
    <w:div w:id="1101953673">
      <w:bodyDiv w:val="1"/>
      <w:marLeft w:val="0"/>
      <w:marRight w:val="0"/>
      <w:marTop w:val="0"/>
      <w:marBottom w:val="0"/>
      <w:divBdr>
        <w:top w:val="none" w:sz="0" w:space="0" w:color="auto"/>
        <w:left w:val="none" w:sz="0" w:space="0" w:color="auto"/>
        <w:bottom w:val="none" w:sz="0" w:space="0" w:color="auto"/>
        <w:right w:val="none" w:sz="0" w:space="0" w:color="auto"/>
      </w:divBdr>
    </w:div>
    <w:div w:id="1102262808">
      <w:bodyDiv w:val="1"/>
      <w:marLeft w:val="0"/>
      <w:marRight w:val="0"/>
      <w:marTop w:val="0"/>
      <w:marBottom w:val="0"/>
      <w:divBdr>
        <w:top w:val="none" w:sz="0" w:space="0" w:color="auto"/>
        <w:left w:val="none" w:sz="0" w:space="0" w:color="auto"/>
        <w:bottom w:val="none" w:sz="0" w:space="0" w:color="auto"/>
        <w:right w:val="none" w:sz="0" w:space="0" w:color="auto"/>
      </w:divBdr>
    </w:div>
    <w:div w:id="1103960217">
      <w:bodyDiv w:val="1"/>
      <w:marLeft w:val="0"/>
      <w:marRight w:val="0"/>
      <w:marTop w:val="0"/>
      <w:marBottom w:val="0"/>
      <w:divBdr>
        <w:top w:val="none" w:sz="0" w:space="0" w:color="auto"/>
        <w:left w:val="none" w:sz="0" w:space="0" w:color="auto"/>
        <w:bottom w:val="none" w:sz="0" w:space="0" w:color="auto"/>
        <w:right w:val="none" w:sz="0" w:space="0" w:color="auto"/>
      </w:divBdr>
    </w:div>
    <w:div w:id="1104767490">
      <w:bodyDiv w:val="1"/>
      <w:marLeft w:val="0"/>
      <w:marRight w:val="0"/>
      <w:marTop w:val="0"/>
      <w:marBottom w:val="0"/>
      <w:divBdr>
        <w:top w:val="none" w:sz="0" w:space="0" w:color="auto"/>
        <w:left w:val="none" w:sz="0" w:space="0" w:color="auto"/>
        <w:bottom w:val="none" w:sz="0" w:space="0" w:color="auto"/>
        <w:right w:val="none" w:sz="0" w:space="0" w:color="auto"/>
      </w:divBdr>
    </w:div>
    <w:div w:id="1105465459">
      <w:bodyDiv w:val="1"/>
      <w:marLeft w:val="0"/>
      <w:marRight w:val="0"/>
      <w:marTop w:val="0"/>
      <w:marBottom w:val="0"/>
      <w:divBdr>
        <w:top w:val="none" w:sz="0" w:space="0" w:color="auto"/>
        <w:left w:val="none" w:sz="0" w:space="0" w:color="auto"/>
        <w:bottom w:val="none" w:sz="0" w:space="0" w:color="auto"/>
        <w:right w:val="none" w:sz="0" w:space="0" w:color="auto"/>
      </w:divBdr>
    </w:div>
    <w:div w:id="1105492635">
      <w:bodyDiv w:val="1"/>
      <w:marLeft w:val="0"/>
      <w:marRight w:val="0"/>
      <w:marTop w:val="0"/>
      <w:marBottom w:val="0"/>
      <w:divBdr>
        <w:top w:val="none" w:sz="0" w:space="0" w:color="auto"/>
        <w:left w:val="none" w:sz="0" w:space="0" w:color="auto"/>
        <w:bottom w:val="none" w:sz="0" w:space="0" w:color="auto"/>
        <w:right w:val="none" w:sz="0" w:space="0" w:color="auto"/>
      </w:divBdr>
    </w:div>
    <w:div w:id="1107038367">
      <w:bodyDiv w:val="1"/>
      <w:marLeft w:val="0"/>
      <w:marRight w:val="0"/>
      <w:marTop w:val="0"/>
      <w:marBottom w:val="0"/>
      <w:divBdr>
        <w:top w:val="none" w:sz="0" w:space="0" w:color="auto"/>
        <w:left w:val="none" w:sz="0" w:space="0" w:color="auto"/>
        <w:bottom w:val="none" w:sz="0" w:space="0" w:color="auto"/>
        <w:right w:val="none" w:sz="0" w:space="0" w:color="auto"/>
      </w:divBdr>
    </w:div>
    <w:div w:id="1107962771">
      <w:bodyDiv w:val="1"/>
      <w:marLeft w:val="0"/>
      <w:marRight w:val="0"/>
      <w:marTop w:val="0"/>
      <w:marBottom w:val="0"/>
      <w:divBdr>
        <w:top w:val="none" w:sz="0" w:space="0" w:color="auto"/>
        <w:left w:val="none" w:sz="0" w:space="0" w:color="auto"/>
        <w:bottom w:val="none" w:sz="0" w:space="0" w:color="auto"/>
        <w:right w:val="none" w:sz="0" w:space="0" w:color="auto"/>
      </w:divBdr>
    </w:div>
    <w:div w:id="1109200610">
      <w:bodyDiv w:val="1"/>
      <w:marLeft w:val="0"/>
      <w:marRight w:val="0"/>
      <w:marTop w:val="0"/>
      <w:marBottom w:val="0"/>
      <w:divBdr>
        <w:top w:val="none" w:sz="0" w:space="0" w:color="auto"/>
        <w:left w:val="none" w:sz="0" w:space="0" w:color="auto"/>
        <w:bottom w:val="none" w:sz="0" w:space="0" w:color="auto"/>
        <w:right w:val="none" w:sz="0" w:space="0" w:color="auto"/>
      </w:divBdr>
    </w:div>
    <w:div w:id="1110707218">
      <w:bodyDiv w:val="1"/>
      <w:marLeft w:val="0"/>
      <w:marRight w:val="0"/>
      <w:marTop w:val="0"/>
      <w:marBottom w:val="0"/>
      <w:divBdr>
        <w:top w:val="none" w:sz="0" w:space="0" w:color="auto"/>
        <w:left w:val="none" w:sz="0" w:space="0" w:color="auto"/>
        <w:bottom w:val="none" w:sz="0" w:space="0" w:color="auto"/>
        <w:right w:val="none" w:sz="0" w:space="0" w:color="auto"/>
      </w:divBdr>
    </w:div>
    <w:div w:id="1110778374">
      <w:bodyDiv w:val="1"/>
      <w:marLeft w:val="0"/>
      <w:marRight w:val="0"/>
      <w:marTop w:val="0"/>
      <w:marBottom w:val="0"/>
      <w:divBdr>
        <w:top w:val="none" w:sz="0" w:space="0" w:color="auto"/>
        <w:left w:val="none" w:sz="0" w:space="0" w:color="auto"/>
        <w:bottom w:val="none" w:sz="0" w:space="0" w:color="auto"/>
        <w:right w:val="none" w:sz="0" w:space="0" w:color="auto"/>
      </w:divBdr>
    </w:div>
    <w:div w:id="1112095982">
      <w:bodyDiv w:val="1"/>
      <w:marLeft w:val="0"/>
      <w:marRight w:val="0"/>
      <w:marTop w:val="0"/>
      <w:marBottom w:val="0"/>
      <w:divBdr>
        <w:top w:val="none" w:sz="0" w:space="0" w:color="auto"/>
        <w:left w:val="none" w:sz="0" w:space="0" w:color="auto"/>
        <w:bottom w:val="none" w:sz="0" w:space="0" w:color="auto"/>
        <w:right w:val="none" w:sz="0" w:space="0" w:color="auto"/>
      </w:divBdr>
    </w:div>
    <w:div w:id="1114325271">
      <w:bodyDiv w:val="1"/>
      <w:marLeft w:val="0"/>
      <w:marRight w:val="0"/>
      <w:marTop w:val="0"/>
      <w:marBottom w:val="0"/>
      <w:divBdr>
        <w:top w:val="none" w:sz="0" w:space="0" w:color="auto"/>
        <w:left w:val="none" w:sz="0" w:space="0" w:color="auto"/>
        <w:bottom w:val="none" w:sz="0" w:space="0" w:color="auto"/>
        <w:right w:val="none" w:sz="0" w:space="0" w:color="auto"/>
      </w:divBdr>
    </w:div>
    <w:div w:id="1114712179">
      <w:bodyDiv w:val="1"/>
      <w:marLeft w:val="0"/>
      <w:marRight w:val="0"/>
      <w:marTop w:val="0"/>
      <w:marBottom w:val="0"/>
      <w:divBdr>
        <w:top w:val="none" w:sz="0" w:space="0" w:color="auto"/>
        <w:left w:val="none" w:sz="0" w:space="0" w:color="auto"/>
        <w:bottom w:val="none" w:sz="0" w:space="0" w:color="auto"/>
        <w:right w:val="none" w:sz="0" w:space="0" w:color="auto"/>
      </w:divBdr>
    </w:div>
    <w:div w:id="1114716428">
      <w:bodyDiv w:val="1"/>
      <w:marLeft w:val="0"/>
      <w:marRight w:val="0"/>
      <w:marTop w:val="0"/>
      <w:marBottom w:val="0"/>
      <w:divBdr>
        <w:top w:val="none" w:sz="0" w:space="0" w:color="auto"/>
        <w:left w:val="none" w:sz="0" w:space="0" w:color="auto"/>
        <w:bottom w:val="none" w:sz="0" w:space="0" w:color="auto"/>
        <w:right w:val="none" w:sz="0" w:space="0" w:color="auto"/>
      </w:divBdr>
    </w:div>
    <w:div w:id="1114787082">
      <w:bodyDiv w:val="1"/>
      <w:marLeft w:val="0"/>
      <w:marRight w:val="0"/>
      <w:marTop w:val="0"/>
      <w:marBottom w:val="0"/>
      <w:divBdr>
        <w:top w:val="none" w:sz="0" w:space="0" w:color="auto"/>
        <w:left w:val="none" w:sz="0" w:space="0" w:color="auto"/>
        <w:bottom w:val="none" w:sz="0" w:space="0" w:color="auto"/>
        <w:right w:val="none" w:sz="0" w:space="0" w:color="auto"/>
      </w:divBdr>
    </w:div>
    <w:div w:id="1115057955">
      <w:bodyDiv w:val="1"/>
      <w:marLeft w:val="0"/>
      <w:marRight w:val="0"/>
      <w:marTop w:val="0"/>
      <w:marBottom w:val="0"/>
      <w:divBdr>
        <w:top w:val="none" w:sz="0" w:space="0" w:color="auto"/>
        <w:left w:val="none" w:sz="0" w:space="0" w:color="auto"/>
        <w:bottom w:val="none" w:sz="0" w:space="0" w:color="auto"/>
        <w:right w:val="none" w:sz="0" w:space="0" w:color="auto"/>
      </w:divBdr>
    </w:div>
    <w:div w:id="1115828773">
      <w:bodyDiv w:val="1"/>
      <w:marLeft w:val="0"/>
      <w:marRight w:val="0"/>
      <w:marTop w:val="0"/>
      <w:marBottom w:val="0"/>
      <w:divBdr>
        <w:top w:val="none" w:sz="0" w:space="0" w:color="auto"/>
        <w:left w:val="none" w:sz="0" w:space="0" w:color="auto"/>
        <w:bottom w:val="none" w:sz="0" w:space="0" w:color="auto"/>
        <w:right w:val="none" w:sz="0" w:space="0" w:color="auto"/>
      </w:divBdr>
    </w:div>
    <w:div w:id="1116099573">
      <w:bodyDiv w:val="1"/>
      <w:marLeft w:val="0"/>
      <w:marRight w:val="0"/>
      <w:marTop w:val="0"/>
      <w:marBottom w:val="0"/>
      <w:divBdr>
        <w:top w:val="none" w:sz="0" w:space="0" w:color="auto"/>
        <w:left w:val="none" w:sz="0" w:space="0" w:color="auto"/>
        <w:bottom w:val="none" w:sz="0" w:space="0" w:color="auto"/>
        <w:right w:val="none" w:sz="0" w:space="0" w:color="auto"/>
      </w:divBdr>
    </w:div>
    <w:div w:id="1116220746">
      <w:bodyDiv w:val="1"/>
      <w:marLeft w:val="0"/>
      <w:marRight w:val="0"/>
      <w:marTop w:val="0"/>
      <w:marBottom w:val="0"/>
      <w:divBdr>
        <w:top w:val="none" w:sz="0" w:space="0" w:color="auto"/>
        <w:left w:val="none" w:sz="0" w:space="0" w:color="auto"/>
        <w:bottom w:val="none" w:sz="0" w:space="0" w:color="auto"/>
        <w:right w:val="none" w:sz="0" w:space="0" w:color="auto"/>
      </w:divBdr>
    </w:div>
    <w:div w:id="1116944833">
      <w:bodyDiv w:val="1"/>
      <w:marLeft w:val="0"/>
      <w:marRight w:val="0"/>
      <w:marTop w:val="0"/>
      <w:marBottom w:val="0"/>
      <w:divBdr>
        <w:top w:val="none" w:sz="0" w:space="0" w:color="auto"/>
        <w:left w:val="none" w:sz="0" w:space="0" w:color="auto"/>
        <w:bottom w:val="none" w:sz="0" w:space="0" w:color="auto"/>
        <w:right w:val="none" w:sz="0" w:space="0" w:color="auto"/>
      </w:divBdr>
    </w:div>
    <w:div w:id="1117329425">
      <w:bodyDiv w:val="1"/>
      <w:marLeft w:val="0"/>
      <w:marRight w:val="0"/>
      <w:marTop w:val="0"/>
      <w:marBottom w:val="0"/>
      <w:divBdr>
        <w:top w:val="none" w:sz="0" w:space="0" w:color="auto"/>
        <w:left w:val="none" w:sz="0" w:space="0" w:color="auto"/>
        <w:bottom w:val="none" w:sz="0" w:space="0" w:color="auto"/>
        <w:right w:val="none" w:sz="0" w:space="0" w:color="auto"/>
      </w:divBdr>
    </w:div>
    <w:div w:id="1118644412">
      <w:bodyDiv w:val="1"/>
      <w:marLeft w:val="0"/>
      <w:marRight w:val="0"/>
      <w:marTop w:val="0"/>
      <w:marBottom w:val="0"/>
      <w:divBdr>
        <w:top w:val="none" w:sz="0" w:space="0" w:color="auto"/>
        <w:left w:val="none" w:sz="0" w:space="0" w:color="auto"/>
        <w:bottom w:val="none" w:sz="0" w:space="0" w:color="auto"/>
        <w:right w:val="none" w:sz="0" w:space="0" w:color="auto"/>
      </w:divBdr>
    </w:div>
    <w:div w:id="1120878975">
      <w:bodyDiv w:val="1"/>
      <w:marLeft w:val="0"/>
      <w:marRight w:val="0"/>
      <w:marTop w:val="0"/>
      <w:marBottom w:val="0"/>
      <w:divBdr>
        <w:top w:val="none" w:sz="0" w:space="0" w:color="auto"/>
        <w:left w:val="none" w:sz="0" w:space="0" w:color="auto"/>
        <w:bottom w:val="none" w:sz="0" w:space="0" w:color="auto"/>
        <w:right w:val="none" w:sz="0" w:space="0" w:color="auto"/>
      </w:divBdr>
    </w:div>
    <w:div w:id="1120958324">
      <w:bodyDiv w:val="1"/>
      <w:marLeft w:val="0"/>
      <w:marRight w:val="0"/>
      <w:marTop w:val="0"/>
      <w:marBottom w:val="0"/>
      <w:divBdr>
        <w:top w:val="none" w:sz="0" w:space="0" w:color="auto"/>
        <w:left w:val="none" w:sz="0" w:space="0" w:color="auto"/>
        <w:bottom w:val="none" w:sz="0" w:space="0" w:color="auto"/>
        <w:right w:val="none" w:sz="0" w:space="0" w:color="auto"/>
      </w:divBdr>
    </w:div>
    <w:div w:id="1121731640">
      <w:bodyDiv w:val="1"/>
      <w:marLeft w:val="0"/>
      <w:marRight w:val="0"/>
      <w:marTop w:val="0"/>
      <w:marBottom w:val="0"/>
      <w:divBdr>
        <w:top w:val="none" w:sz="0" w:space="0" w:color="auto"/>
        <w:left w:val="none" w:sz="0" w:space="0" w:color="auto"/>
        <w:bottom w:val="none" w:sz="0" w:space="0" w:color="auto"/>
        <w:right w:val="none" w:sz="0" w:space="0" w:color="auto"/>
      </w:divBdr>
    </w:div>
    <w:div w:id="1124227699">
      <w:bodyDiv w:val="1"/>
      <w:marLeft w:val="0"/>
      <w:marRight w:val="0"/>
      <w:marTop w:val="0"/>
      <w:marBottom w:val="0"/>
      <w:divBdr>
        <w:top w:val="none" w:sz="0" w:space="0" w:color="auto"/>
        <w:left w:val="none" w:sz="0" w:space="0" w:color="auto"/>
        <w:bottom w:val="none" w:sz="0" w:space="0" w:color="auto"/>
        <w:right w:val="none" w:sz="0" w:space="0" w:color="auto"/>
      </w:divBdr>
    </w:div>
    <w:div w:id="1124615524">
      <w:bodyDiv w:val="1"/>
      <w:marLeft w:val="0"/>
      <w:marRight w:val="0"/>
      <w:marTop w:val="0"/>
      <w:marBottom w:val="0"/>
      <w:divBdr>
        <w:top w:val="none" w:sz="0" w:space="0" w:color="auto"/>
        <w:left w:val="none" w:sz="0" w:space="0" w:color="auto"/>
        <w:bottom w:val="none" w:sz="0" w:space="0" w:color="auto"/>
        <w:right w:val="none" w:sz="0" w:space="0" w:color="auto"/>
      </w:divBdr>
    </w:div>
    <w:div w:id="1124621623">
      <w:bodyDiv w:val="1"/>
      <w:marLeft w:val="0"/>
      <w:marRight w:val="0"/>
      <w:marTop w:val="0"/>
      <w:marBottom w:val="0"/>
      <w:divBdr>
        <w:top w:val="none" w:sz="0" w:space="0" w:color="auto"/>
        <w:left w:val="none" w:sz="0" w:space="0" w:color="auto"/>
        <w:bottom w:val="none" w:sz="0" w:space="0" w:color="auto"/>
        <w:right w:val="none" w:sz="0" w:space="0" w:color="auto"/>
      </w:divBdr>
    </w:div>
    <w:div w:id="1127773460">
      <w:bodyDiv w:val="1"/>
      <w:marLeft w:val="0"/>
      <w:marRight w:val="0"/>
      <w:marTop w:val="0"/>
      <w:marBottom w:val="0"/>
      <w:divBdr>
        <w:top w:val="none" w:sz="0" w:space="0" w:color="auto"/>
        <w:left w:val="none" w:sz="0" w:space="0" w:color="auto"/>
        <w:bottom w:val="none" w:sz="0" w:space="0" w:color="auto"/>
        <w:right w:val="none" w:sz="0" w:space="0" w:color="auto"/>
      </w:divBdr>
    </w:div>
    <w:div w:id="1128355942">
      <w:bodyDiv w:val="1"/>
      <w:marLeft w:val="0"/>
      <w:marRight w:val="0"/>
      <w:marTop w:val="0"/>
      <w:marBottom w:val="0"/>
      <w:divBdr>
        <w:top w:val="none" w:sz="0" w:space="0" w:color="auto"/>
        <w:left w:val="none" w:sz="0" w:space="0" w:color="auto"/>
        <w:bottom w:val="none" w:sz="0" w:space="0" w:color="auto"/>
        <w:right w:val="none" w:sz="0" w:space="0" w:color="auto"/>
      </w:divBdr>
    </w:div>
    <w:div w:id="1129205340">
      <w:bodyDiv w:val="1"/>
      <w:marLeft w:val="0"/>
      <w:marRight w:val="0"/>
      <w:marTop w:val="0"/>
      <w:marBottom w:val="0"/>
      <w:divBdr>
        <w:top w:val="none" w:sz="0" w:space="0" w:color="auto"/>
        <w:left w:val="none" w:sz="0" w:space="0" w:color="auto"/>
        <w:bottom w:val="none" w:sz="0" w:space="0" w:color="auto"/>
        <w:right w:val="none" w:sz="0" w:space="0" w:color="auto"/>
      </w:divBdr>
    </w:div>
    <w:div w:id="1129206716">
      <w:bodyDiv w:val="1"/>
      <w:marLeft w:val="0"/>
      <w:marRight w:val="0"/>
      <w:marTop w:val="0"/>
      <w:marBottom w:val="0"/>
      <w:divBdr>
        <w:top w:val="none" w:sz="0" w:space="0" w:color="auto"/>
        <w:left w:val="none" w:sz="0" w:space="0" w:color="auto"/>
        <w:bottom w:val="none" w:sz="0" w:space="0" w:color="auto"/>
        <w:right w:val="none" w:sz="0" w:space="0" w:color="auto"/>
      </w:divBdr>
    </w:div>
    <w:div w:id="1129710178">
      <w:bodyDiv w:val="1"/>
      <w:marLeft w:val="0"/>
      <w:marRight w:val="0"/>
      <w:marTop w:val="0"/>
      <w:marBottom w:val="0"/>
      <w:divBdr>
        <w:top w:val="none" w:sz="0" w:space="0" w:color="auto"/>
        <w:left w:val="none" w:sz="0" w:space="0" w:color="auto"/>
        <w:bottom w:val="none" w:sz="0" w:space="0" w:color="auto"/>
        <w:right w:val="none" w:sz="0" w:space="0" w:color="auto"/>
      </w:divBdr>
    </w:div>
    <w:div w:id="1130056164">
      <w:bodyDiv w:val="1"/>
      <w:marLeft w:val="0"/>
      <w:marRight w:val="0"/>
      <w:marTop w:val="0"/>
      <w:marBottom w:val="0"/>
      <w:divBdr>
        <w:top w:val="none" w:sz="0" w:space="0" w:color="auto"/>
        <w:left w:val="none" w:sz="0" w:space="0" w:color="auto"/>
        <w:bottom w:val="none" w:sz="0" w:space="0" w:color="auto"/>
        <w:right w:val="none" w:sz="0" w:space="0" w:color="auto"/>
      </w:divBdr>
    </w:div>
    <w:div w:id="1130396073">
      <w:bodyDiv w:val="1"/>
      <w:marLeft w:val="0"/>
      <w:marRight w:val="0"/>
      <w:marTop w:val="0"/>
      <w:marBottom w:val="0"/>
      <w:divBdr>
        <w:top w:val="none" w:sz="0" w:space="0" w:color="auto"/>
        <w:left w:val="none" w:sz="0" w:space="0" w:color="auto"/>
        <w:bottom w:val="none" w:sz="0" w:space="0" w:color="auto"/>
        <w:right w:val="none" w:sz="0" w:space="0" w:color="auto"/>
      </w:divBdr>
    </w:div>
    <w:div w:id="1130709231">
      <w:bodyDiv w:val="1"/>
      <w:marLeft w:val="0"/>
      <w:marRight w:val="0"/>
      <w:marTop w:val="0"/>
      <w:marBottom w:val="0"/>
      <w:divBdr>
        <w:top w:val="none" w:sz="0" w:space="0" w:color="auto"/>
        <w:left w:val="none" w:sz="0" w:space="0" w:color="auto"/>
        <w:bottom w:val="none" w:sz="0" w:space="0" w:color="auto"/>
        <w:right w:val="none" w:sz="0" w:space="0" w:color="auto"/>
      </w:divBdr>
    </w:div>
    <w:div w:id="1130896454">
      <w:bodyDiv w:val="1"/>
      <w:marLeft w:val="0"/>
      <w:marRight w:val="0"/>
      <w:marTop w:val="0"/>
      <w:marBottom w:val="0"/>
      <w:divBdr>
        <w:top w:val="none" w:sz="0" w:space="0" w:color="auto"/>
        <w:left w:val="none" w:sz="0" w:space="0" w:color="auto"/>
        <w:bottom w:val="none" w:sz="0" w:space="0" w:color="auto"/>
        <w:right w:val="none" w:sz="0" w:space="0" w:color="auto"/>
      </w:divBdr>
    </w:div>
    <w:div w:id="1130900611">
      <w:bodyDiv w:val="1"/>
      <w:marLeft w:val="0"/>
      <w:marRight w:val="0"/>
      <w:marTop w:val="0"/>
      <w:marBottom w:val="0"/>
      <w:divBdr>
        <w:top w:val="none" w:sz="0" w:space="0" w:color="auto"/>
        <w:left w:val="none" w:sz="0" w:space="0" w:color="auto"/>
        <w:bottom w:val="none" w:sz="0" w:space="0" w:color="auto"/>
        <w:right w:val="none" w:sz="0" w:space="0" w:color="auto"/>
      </w:divBdr>
    </w:div>
    <w:div w:id="1131439418">
      <w:bodyDiv w:val="1"/>
      <w:marLeft w:val="0"/>
      <w:marRight w:val="0"/>
      <w:marTop w:val="0"/>
      <w:marBottom w:val="0"/>
      <w:divBdr>
        <w:top w:val="none" w:sz="0" w:space="0" w:color="auto"/>
        <w:left w:val="none" w:sz="0" w:space="0" w:color="auto"/>
        <w:bottom w:val="none" w:sz="0" w:space="0" w:color="auto"/>
        <w:right w:val="none" w:sz="0" w:space="0" w:color="auto"/>
      </w:divBdr>
    </w:div>
    <w:div w:id="1131553356">
      <w:bodyDiv w:val="1"/>
      <w:marLeft w:val="0"/>
      <w:marRight w:val="0"/>
      <w:marTop w:val="0"/>
      <w:marBottom w:val="0"/>
      <w:divBdr>
        <w:top w:val="none" w:sz="0" w:space="0" w:color="auto"/>
        <w:left w:val="none" w:sz="0" w:space="0" w:color="auto"/>
        <w:bottom w:val="none" w:sz="0" w:space="0" w:color="auto"/>
        <w:right w:val="none" w:sz="0" w:space="0" w:color="auto"/>
      </w:divBdr>
    </w:div>
    <w:div w:id="1132016853">
      <w:bodyDiv w:val="1"/>
      <w:marLeft w:val="0"/>
      <w:marRight w:val="0"/>
      <w:marTop w:val="0"/>
      <w:marBottom w:val="0"/>
      <w:divBdr>
        <w:top w:val="none" w:sz="0" w:space="0" w:color="auto"/>
        <w:left w:val="none" w:sz="0" w:space="0" w:color="auto"/>
        <w:bottom w:val="none" w:sz="0" w:space="0" w:color="auto"/>
        <w:right w:val="none" w:sz="0" w:space="0" w:color="auto"/>
      </w:divBdr>
    </w:div>
    <w:div w:id="1132287742">
      <w:bodyDiv w:val="1"/>
      <w:marLeft w:val="0"/>
      <w:marRight w:val="0"/>
      <w:marTop w:val="0"/>
      <w:marBottom w:val="0"/>
      <w:divBdr>
        <w:top w:val="none" w:sz="0" w:space="0" w:color="auto"/>
        <w:left w:val="none" w:sz="0" w:space="0" w:color="auto"/>
        <w:bottom w:val="none" w:sz="0" w:space="0" w:color="auto"/>
        <w:right w:val="none" w:sz="0" w:space="0" w:color="auto"/>
      </w:divBdr>
    </w:div>
    <w:div w:id="1132527976">
      <w:bodyDiv w:val="1"/>
      <w:marLeft w:val="0"/>
      <w:marRight w:val="0"/>
      <w:marTop w:val="0"/>
      <w:marBottom w:val="0"/>
      <w:divBdr>
        <w:top w:val="none" w:sz="0" w:space="0" w:color="auto"/>
        <w:left w:val="none" w:sz="0" w:space="0" w:color="auto"/>
        <w:bottom w:val="none" w:sz="0" w:space="0" w:color="auto"/>
        <w:right w:val="none" w:sz="0" w:space="0" w:color="auto"/>
      </w:divBdr>
    </w:div>
    <w:div w:id="1132862949">
      <w:bodyDiv w:val="1"/>
      <w:marLeft w:val="0"/>
      <w:marRight w:val="0"/>
      <w:marTop w:val="0"/>
      <w:marBottom w:val="0"/>
      <w:divBdr>
        <w:top w:val="none" w:sz="0" w:space="0" w:color="auto"/>
        <w:left w:val="none" w:sz="0" w:space="0" w:color="auto"/>
        <w:bottom w:val="none" w:sz="0" w:space="0" w:color="auto"/>
        <w:right w:val="none" w:sz="0" w:space="0" w:color="auto"/>
      </w:divBdr>
    </w:div>
    <w:div w:id="1133019017">
      <w:bodyDiv w:val="1"/>
      <w:marLeft w:val="0"/>
      <w:marRight w:val="0"/>
      <w:marTop w:val="0"/>
      <w:marBottom w:val="0"/>
      <w:divBdr>
        <w:top w:val="none" w:sz="0" w:space="0" w:color="auto"/>
        <w:left w:val="none" w:sz="0" w:space="0" w:color="auto"/>
        <w:bottom w:val="none" w:sz="0" w:space="0" w:color="auto"/>
        <w:right w:val="none" w:sz="0" w:space="0" w:color="auto"/>
      </w:divBdr>
    </w:div>
    <w:div w:id="1134172894">
      <w:bodyDiv w:val="1"/>
      <w:marLeft w:val="0"/>
      <w:marRight w:val="0"/>
      <w:marTop w:val="0"/>
      <w:marBottom w:val="0"/>
      <w:divBdr>
        <w:top w:val="none" w:sz="0" w:space="0" w:color="auto"/>
        <w:left w:val="none" w:sz="0" w:space="0" w:color="auto"/>
        <w:bottom w:val="none" w:sz="0" w:space="0" w:color="auto"/>
        <w:right w:val="none" w:sz="0" w:space="0" w:color="auto"/>
      </w:divBdr>
    </w:div>
    <w:div w:id="1134177628">
      <w:bodyDiv w:val="1"/>
      <w:marLeft w:val="0"/>
      <w:marRight w:val="0"/>
      <w:marTop w:val="0"/>
      <w:marBottom w:val="0"/>
      <w:divBdr>
        <w:top w:val="none" w:sz="0" w:space="0" w:color="auto"/>
        <w:left w:val="none" w:sz="0" w:space="0" w:color="auto"/>
        <w:bottom w:val="none" w:sz="0" w:space="0" w:color="auto"/>
        <w:right w:val="none" w:sz="0" w:space="0" w:color="auto"/>
      </w:divBdr>
    </w:div>
    <w:div w:id="1134446570">
      <w:bodyDiv w:val="1"/>
      <w:marLeft w:val="0"/>
      <w:marRight w:val="0"/>
      <w:marTop w:val="0"/>
      <w:marBottom w:val="0"/>
      <w:divBdr>
        <w:top w:val="none" w:sz="0" w:space="0" w:color="auto"/>
        <w:left w:val="none" w:sz="0" w:space="0" w:color="auto"/>
        <w:bottom w:val="none" w:sz="0" w:space="0" w:color="auto"/>
        <w:right w:val="none" w:sz="0" w:space="0" w:color="auto"/>
      </w:divBdr>
    </w:div>
    <w:div w:id="1135411462">
      <w:bodyDiv w:val="1"/>
      <w:marLeft w:val="0"/>
      <w:marRight w:val="0"/>
      <w:marTop w:val="0"/>
      <w:marBottom w:val="0"/>
      <w:divBdr>
        <w:top w:val="none" w:sz="0" w:space="0" w:color="auto"/>
        <w:left w:val="none" w:sz="0" w:space="0" w:color="auto"/>
        <w:bottom w:val="none" w:sz="0" w:space="0" w:color="auto"/>
        <w:right w:val="none" w:sz="0" w:space="0" w:color="auto"/>
      </w:divBdr>
    </w:div>
    <w:div w:id="1136263476">
      <w:bodyDiv w:val="1"/>
      <w:marLeft w:val="0"/>
      <w:marRight w:val="0"/>
      <w:marTop w:val="0"/>
      <w:marBottom w:val="0"/>
      <w:divBdr>
        <w:top w:val="none" w:sz="0" w:space="0" w:color="auto"/>
        <w:left w:val="none" w:sz="0" w:space="0" w:color="auto"/>
        <w:bottom w:val="none" w:sz="0" w:space="0" w:color="auto"/>
        <w:right w:val="none" w:sz="0" w:space="0" w:color="auto"/>
      </w:divBdr>
    </w:div>
    <w:div w:id="1137381990">
      <w:bodyDiv w:val="1"/>
      <w:marLeft w:val="0"/>
      <w:marRight w:val="0"/>
      <w:marTop w:val="0"/>
      <w:marBottom w:val="0"/>
      <w:divBdr>
        <w:top w:val="none" w:sz="0" w:space="0" w:color="auto"/>
        <w:left w:val="none" w:sz="0" w:space="0" w:color="auto"/>
        <w:bottom w:val="none" w:sz="0" w:space="0" w:color="auto"/>
        <w:right w:val="none" w:sz="0" w:space="0" w:color="auto"/>
      </w:divBdr>
    </w:div>
    <w:div w:id="1139231145">
      <w:bodyDiv w:val="1"/>
      <w:marLeft w:val="0"/>
      <w:marRight w:val="0"/>
      <w:marTop w:val="0"/>
      <w:marBottom w:val="0"/>
      <w:divBdr>
        <w:top w:val="none" w:sz="0" w:space="0" w:color="auto"/>
        <w:left w:val="none" w:sz="0" w:space="0" w:color="auto"/>
        <w:bottom w:val="none" w:sz="0" w:space="0" w:color="auto"/>
        <w:right w:val="none" w:sz="0" w:space="0" w:color="auto"/>
      </w:divBdr>
    </w:div>
    <w:div w:id="1140152704">
      <w:bodyDiv w:val="1"/>
      <w:marLeft w:val="0"/>
      <w:marRight w:val="0"/>
      <w:marTop w:val="0"/>
      <w:marBottom w:val="0"/>
      <w:divBdr>
        <w:top w:val="none" w:sz="0" w:space="0" w:color="auto"/>
        <w:left w:val="none" w:sz="0" w:space="0" w:color="auto"/>
        <w:bottom w:val="none" w:sz="0" w:space="0" w:color="auto"/>
        <w:right w:val="none" w:sz="0" w:space="0" w:color="auto"/>
      </w:divBdr>
    </w:div>
    <w:div w:id="1141341195">
      <w:bodyDiv w:val="1"/>
      <w:marLeft w:val="0"/>
      <w:marRight w:val="0"/>
      <w:marTop w:val="0"/>
      <w:marBottom w:val="0"/>
      <w:divBdr>
        <w:top w:val="none" w:sz="0" w:space="0" w:color="auto"/>
        <w:left w:val="none" w:sz="0" w:space="0" w:color="auto"/>
        <w:bottom w:val="none" w:sz="0" w:space="0" w:color="auto"/>
        <w:right w:val="none" w:sz="0" w:space="0" w:color="auto"/>
      </w:divBdr>
    </w:div>
    <w:div w:id="1141846361">
      <w:bodyDiv w:val="1"/>
      <w:marLeft w:val="0"/>
      <w:marRight w:val="0"/>
      <w:marTop w:val="0"/>
      <w:marBottom w:val="0"/>
      <w:divBdr>
        <w:top w:val="none" w:sz="0" w:space="0" w:color="auto"/>
        <w:left w:val="none" w:sz="0" w:space="0" w:color="auto"/>
        <w:bottom w:val="none" w:sz="0" w:space="0" w:color="auto"/>
        <w:right w:val="none" w:sz="0" w:space="0" w:color="auto"/>
      </w:divBdr>
    </w:div>
    <w:div w:id="1141923861">
      <w:bodyDiv w:val="1"/>
      <w:marLeft w:val="0"/>
      <w:marRight w:val="0"/>
      <w:marTop w:val="0"/>
      <w:marBottom w:val="0"/>
      <w:divBdr>
        <w:top w:val="none" w:sz="0" w:space="0" w:color="auto"/>
        <w:left w:val="none" w:sz="0" w:space="0" w:color="auto"/>
        <w:bottom w:val="none" w:sz="0" w:space="0" w:color="auto"/>
        <w:right w:val="none" w:sz="0" w:space="0" w:color="auto"/>
      </w:divBdr>
    </w:div>
    <w:div w:id="1142776186">
      <w:bodyDiv w:val="1"/>
      <w:marLeft w:val="0"/>
      <w:marRight w:val="0"/>
      <w:marTop w:val="0"/>
      <w:marBottom w:val="0"/>
      <w:divBdr>
        <w:top w:val="none" w:sz="0" w:space="0" w:color="auto"/>
        <w:left w:val="none" w:sz="0" w:space="0" w:color="auto"/>
        <w:bottom w:val="none" w:sz="0" w:space="0" w:color="auto"/>
        <w:right w:val="none" w:sz="0" w:space="0" w:color="auto"/>
      </w:divBdr>
    </w:div>
    <w:div w:id="1142884985">
      <w:bodyDiv w:val="1"/>
      <w:marLeft w:val="0"/>
      <w:marRight w:val="0"/>
      <w:marTop w:val="0"/>
      <w:marBottom w:val="0"/>
      <w:divBdr>
        <w:top w:val="none" w:sz="0" w:space="0" w:color="auto"/>
        <w:left w:val="none" w:sz="0" w:space="0" w:color="auto"/>
        <w:bottom w:val="none" w:sz="0" w:space="0" w:color="auto"/>
        <w:right w:val="none" w:sz="0" w:space="0" w:color="auto"/>
      </w:divBdr>
    </w:div>
    <w:div w:id="1143814924">
      <w:bodyDiv w:val="1"/>
      <w:marLeft w:val="0"/>
      <w:marRight w:val="0"/>
      <w:marTop w:val="0"/>
      <w:marBottom w:val="0"/>
      <w:divBdr>
        <w:top w:val="none" w:sz="0" w:space="0" w:color="auto"/>
        <w:left w:val="none" w:sz="0" w:space="0" w:color="auto"/>
        <w:bottom w:val="none" w:sz="0" w:space="0" w:color="auto"/>
        <w:right w:val="none" w:sz="0" w:space="0" w:color="auto"/>
      </w:divBdr>
    </w:div>
    <w:div w:id="1144272918">
      <w:bodyDiv w:val="1"/>
      <w:marLeft w:val="0"/>
      <w:marRight w:val="0"/>
      <w:marTop w:val="0"/>
      <w:marBottom w:val="0"/>
      <w:divBdr>
        <w:top w:val="none" w:sz="0" w:space="0" w:color="auto"/>
        <w:left w:val="none" w:sz="0" w:space="0" w:color="auto"/>
        <w:bottom w:val="none" w:sz="0" w:space="0" w:color="auto"/>
        <w:right w:val="none" w:sz="0" w:space="0" w:color="auto"/>
      </w:divBdr>
    </w:div>
    <w:div w:id="1145006160">
      <w:bodyDiv w:val="1"/>
      <w:marLeft w:val="0"/>
      <w:marRight w:val="0"/>
      <w:marTop w:val="0"/>
      <w:marBottom w:val="0"/>
      <w:divBdr>
        <w:top w:val="none" w:sz="0" w:space="0" w:color="auto"/>
        <w:left w:val="none" w:sz="0" w:space="0" w:color="auto"/>
        <w:bottom w:val="none" w:sz="0" w:space="0" w:color="auto"/>
        <w:right w:val="none" w:sz="0" w:space="0" w:color="auto"/>
      </w:divBdr>
    </w:div>
    <w:div w:id="1145708612">
      <w:bodyDiv w:val="1"/>
      <w:marLeft w:val="0"/>
      <w:marRight w:val="0"/>
      <w:marTop w:val="0"/>
      <w:marBottom w:val="0"/>
      <w:divBdr>
        <w:top w:val="none" w:sz="0" w:space="0" w:color="auto"/>
        <w:left w:val="none" w:sz="0" w:space="0" w:color="auto"/>
        <w:bottom w:val="none" w:sz="0" w:space="0" w:color="auto"/>
        <w:right w:val="none" w:sz="0" w:space="0" w:color="auto"/>
      </w:divBdr>
    </w:div>
    <w:div w:id="1146119737">
      <w:bodyDiv w:val="1"/>
      <w:marLeft w:val="0"/>
      <w:marRight w:val="0"/>
      <w:marTop w:val="0"/>
      <w:marBottom w:val="0"/>
      <w:divBdr>
        <w:top w:val="none" w:sz="0" w:space="0" w:color="auto"/>
        <w:left w:val="none" w:sz="0" w:space="0" w:color="auto"/>
        <w:bottom w:val="none" w:sz="0" w:space="0" w:color="auto"/>
        <w:right w:val="none" w:sz="0" w:space="0" w:color="auto"/>
      </w:divBdr>
    </w:div>
    <w:div w:id="1146316621">
      <w:bodyDiv w:val="1"/>
      <w:marLeft w:val="0"/>
      <w:marRight w:val="0"/>
      <w:marTop w:val="0"/>
      <w:marBottom w:val="0"/>
      <w:divBdr>
        <w:top w:val="none" w:sz="0" w:space="0" w:color="auto"/>
        <w:left w:val="none" w:sz="0" w:space="0" w:color="auto"/>
        <w:bottom w:val="none" w:sz="0" w:space="0" w:color="auto"/>
        <w:right w:val="none" w:sz="0" w:space="0" w:color="auto"/>
      </w:divBdr>
    </w:div>
    <w:div w:id="1146356191">
      <w:bodyDiv w:val="1"/>
      <w:marLeft w:val="0"/>
      <w:marRight w:val="0"/>
      <w:marTop w:val="0"/>
      <w:marBottom w:val="0"/>
      <w:divBdr>
        <w:top w:val="none" w:sz="0" w:space="0" w:color="auto"/>
        <w:left w:val="none" w:sz="0" w:space="0" w:color="auto"/>
        <w:bottom w:val="none" w:sz="0" w:space="0" w:color="auto"/>
        <w:right w:val="none" w:sz="0" w:space="0" w:color="auto"/>
      </w:divBdr>
    </w:div>
    <w:div w:id="1146507484">
      <w:bodyDiv w:val="1"/>
      <w:marLeft w:val="0"/>
      <w:marRight w:val="0"/>
      <w:marTop w:val="0"/>
      <w:marBottom w:val="0"/>
      <w:divBdr>
        <w:top w:val="none" w:sz="0" w:space="0" w:color="auto"/>
        <w:left w:val="none" w:sz="0" w:space="0" w:color="auto"/>
        <w:bottom w:val="none" w:sz="0" w:space="0" w:color="auto"/>
        <w:right w:val="none" w:sz="0" w:space="0" w:color="auto"/>
      </w:divBdr>
    </w:div>
    <w:div w:id="1146627631">
      <w:bodyDiv w:val="1"/>
      <w:marLeft w:val="0"/>
      <w:marRight w:val="0"/>
      <w:marTop w:val="0"/>
      <w:marBottom w:val="0"/>
      <w:divBdr>
        <w:top w:val="none" w:sz="0" w:space="0" w:color="auto"/>
        <w:left w:val="none" w:sz="0" w:space="0" w:color="auto"/>
        <w:bottom w:val="none" w:sz="0" w:space="0" w:color="auto"/>
        <w:right w:val="none" w:sz="0" w:space="0" w:color="auto"/>
      </w:divBdr>
    </w:div>
    <w:div w:id="1147017979">
      <w:bodyDiv w:val="1"/>
      <w:marLeft w:val="0"/>
      <w:marRight w:val="0"/>
      <w:marTop w:val="0"/>
      <w:marBottom w:val="0"/>
      <w:divBdr>
        <w:top w:val="none" w:sz="0" w:space="0" w:color="auto"/>
        <w:left w:val="none" w:sz="0" w:space="0" w:color="auto"/>
        <w:bottom w:val="none" w:sz="0" w:space="0" w:color="auto"/>
        <w:right w:val="none" w:sz="0" w:space="0" w:color="auto"/>
      </w:divBdr>
    </w:div>
    <w:div w:id="1147938449">
      <w:bodyDiv w:val="1"/>
      <w:marLeft w:val="0"/>
      <w:marRight w:val="0"/>
      <w:marTop w:val="0"/>
      <w:marBottom w:val="0"/>
      <w:divBdr>
        <w:top w:val="none" w:sz="0" w:space="0" w:color="auto"/>
        <w:left w:val="none" w:sz="0" w:space="0" w:color="auto"/>
        <w:bottom w:val="none" w:sz="0" w:space="0" w:color="auto"/>
        <w:right w:val="none" w:sz="0" w:space="0" w:color="auto"/>
      </w:divBdr>
    </w:div>
    <w:div w:id="1149706799">
      <w:bodyDiv w:val="1"/>
      <w:marLeft w:val="0"/>
      <w:marRight w:val="0"/>
      <w:marTop w:val="0"/>
      <w:marBottom w:val="0"/>
      <w:divBdr>
        <w:top w:val="none" w:sz="0" w:space="0" w:color="auto"/>
        <w:left w:val="none" w:sz="0" w:space="0" w:color="auto"/>
        <w:bottom w:val="none" w:sz="0" w:space="0" w:color="auto"/>
        <w:right w:val="none" w:sz="0" w:space="0" w:color="auto"/>
      </w:divBdr>
    </w:div>
    <w:div w:id="1149859922">
      <w:bodyDiv w:val="1"/>
      <w:marLeft w:val="0"/>
      <w:marRight w:val="0"/>
      <w:marTop w:val="0"/>
      <w:marBottom w:val="0"/>
      <w:divBdr>
        <w:top w:val="none" w:sz="0" w:space="0" w:color="auto"/>
        <w:left w:val="none" w:sz="0" w:space="0" w:color="auto"/>
        <w:bottom w:val="none" w:sz="0" w:space="0" w:color="auto"/>
        <w:right w:val="none" w:sz="0" w:space="0" w:color="auto"/>
      </w:divBdr>
    </w:div>
    <w:div w:id="1149981032">
      <w:bodyDiv w:val="1"/>
      <w:marLeft w:val="0"/>
      <w:marRight w:val="0"/>
      <w:marTop w:val="0"/>
      <w:marBottom w:val="0"/>
      <w:divBdr>
        <w:top w:val="none" w:sz="0" w:space="0" w:color="auto"/>
        <w:left w:val="none" w:sz="0" w:space="0" w:color="auto"/>
        <w:bottom w:val="none" w:sz="0" w:space="0" w:color="auto"/>
        <w:right w:val="none" w:sz="0" w:space="0" w:color="auto"/>
      </w:divBdr>
    </w:div>
    <w:div w:id="1150092537">
      <w:bodyDiv w:val="1"/>
      <w:marLeft w:val="0"/>
      <w:marRight w:val="0"/>
      <w:marTop w:val="0"/>
      <w:marBottom w:val="0"/>
      <w:divBdr>
        <w:top w:val="none" w:sz="0" w:space="0" w:color="auto"/>
        <w:left w:val="none" w:sz="0" w:space="0" w:color="auto"/>
        <w:bottom w:val="none" w:sz="0" w:space="0" w:color="auto"/>
        <w:right w:val="none" w:sz="0" w:space="0" w:color="auto"/>
      </w:divBdr>
    </w:div>
    <w:div w:id="1150705887">
      <w:bodyDiv w:val="1"/>
      <w:marLeft w:val="0"/>
      <w:marRight w:val="0"/>
      <w:marTop w:val="0"/>
      <w:marBottom w:val="0"/>
      <w:divBdr>
        <w:top w:val="none" w:sz="0" w:space="0" w:color="auto"/>
        <w:left w:val="none" w:sz="0" w:space="0" w:color="auto"/>
        <w:bottom w:val="none" w:sz="0" w:space="0" w:color="auto"/>
        <w:right w:val="none" w:sz="0" w:space="0" w:color="auto"/>
      </w:divBdr>
    </w:div>
    <w:div w:id="1151599017">
      <w:bodyDiv w:val="1"/>
      <w:marLeft w:val="0"/>
      <w:marRight w:val="0"/>
      <w:marTop w:val="0"/>
      <w:marBottom w:val="0"/>
      <w:divBdr>
        <w:top w:val="none" w:sz="0" w:space="0" w:color="auto"/>
        <w:left w:val="none" w:sz="0" w:space="0" w:color="auto"/>
        <w:bottom w:val="none" w:sz="0" w:space="0" w:color="auto"/>
        <w:right w:val="none" w:sz="0" w:space="0" w:color="auto"/>
      </w:divBdr>
    </w:div>
    <w:div w:id="1154831634">
      <w:bodyDiv w:val="1"/>
      <w:marLeft w:val="0"/>
      <w:marRight w:val="0"/>
      <w:marTop w:val="0"/>
      <w:marBottom w:val="0"/>
      <w:divBdr>
        <w:top w:val="none" w:sz="0" w:space="0" w:color="auto"/>
        <w:left w:val="none" w:sz="0" w:space="0" w:color="auto"/>
        <w:bottom w:val="none" w:sz="0" w:space="0" w:color="auto"/>
        <w:right w:val="none" w:sz="0" w:space="0" w:color="auto"/>
      </w:divBdr>
    </w:div>
    <w:div w:id="1155948363">
      <w:bodyDiv w:val="1"/>
      <w:marLeft w:val="0"/>
      <w:marRight w:val="0"/>
      <w:marTop w:val="0"/>
      <w:marBottom w:val="0"/>
      <w:divBdr>
        <w:top w:val="none" w:sz="0" w:space="0" w:color="auto"/>
        <w:left w:val="none" w:sz="0" w:space="0" w:color="auto"/>
        <w:bottom w:val="none" w:sz="0" w:space="0" w:color="auto"/>
        <w:right w:val="none" w:sz="0" w:space="0" w:color="auto"/>
      </w:divBdr>
    </w:div>
    <w:div w:id="1156263877">
      <w:bodyDiv w:val="1"/>
      <w:marLeft w:val="0"/>
      <w:marRight w:val="0"/>
      <w:marTop w:val="0"/>
      <w:marBottom w:val="0"/>
      <w:divBdr>
        <w:top w:val="none" w:sz="0" w:space="0" w:color="auto"/>
        <w:left w:val="none" w:sz="0" w:space="0" w:color="auto"/>
        <w:bottom w:val="none" w:sz="0" w:space="0" w:color="auto"/>
        <w:right w:val="none" w:sz="0" w:space="0" w:color="auto"/>
      </w:divBdr>
    </w:div>
    <w:div w:id="1156382895">
      <w:bodyDiv w:val="1"/>
      <w:marLeft w:val="0"/>
      <w:marRight w:val="0"/>
      <w:marTop w:val="0"/>
      <w:marBottom w:val="0"/>
      <w:divBdr>
        <w:top w:val="none" w:sz="0" w:space="0" w:color="auto"/>
        <w:left w:val="none" w:sz="0" w:space="0" w:color="auto"/>
        <w:bottom w:val="none" w:sz="0" w:space="0" w:color="auto"/>
        <w:right w:val="none" w:sz="0" w:space="0" w:color="auto"/>
      </w:divBdr>
    </w:div>
    <w:div w:id="1156412760">
      <w:bodyDiv w:val="1"/>
      <w:marLeft w:val="0"/>
      <w:marRight w:val="0"/>
      <w:marTop w:val="0"/>
      <w:marBottom w:val="0"/>
      <w:divBdr>
        <w:top w:val="none" w:sz="0" w:space="0" w:color="auto"/>
        <w:left w:val="none" w:sz="0" w:space="0" w:color="auto"/>
        <w:bottom w:val="none" w:sz="0" w:space="0" w:color="auto"/>
        <w:right w:val="none" w:sz="0" w:space="0" w:color="auto"/>
      </w:divBdr>
    </w:div>
    <w:div w:id="1156454286">
      <w:bodyDiv w:val="1"/>
      <w:marLeft w:val="0"/>
      <w:marRight w:val="0"/>
      <w:marTop w:val="0"/>
      <w:marBottom w:val="0"/>
      <w:divBdr>
        <w:top w:val="none" w:sz="0" w:space="0" w:color="auto"/>
        <w:left w:val="none" w:sz="0" w:space="0" w:color="auto"/>
        <w:bottom w:val="none" w:sz="0" w:space="0" w:color="auto"/>
        <w:right w:val="none" w:sz="0" w:space="0" w:color="auto"/>
      </w:divBdr>
    </w:div>
    <w:div w:id="1158305324">
      <w:bodyDiv w:val="1"/>
      <w:marLeft w:val="0"/>
      <w:marRight w:val="0"/>
      <w:marTop w:val="0"/>
      <w:marBottom w:val="0"/>
      <w:divBdr>
        <w:top w:val="none" w:sz="0" w:space="0" w:color="auto"/>
        <w:left w:val="none" w:sz="0" w:space="0" w:color="auto"/>
        <w:bottom w:val="none" w:sz="0" w:space="0" w:color="auto"/>
        <w:right w:val="none" w:sz="0" w:space="0" w:color="auto"/>
      </w:divBdr>
    </w:div>
    <w:div w:id="1159659590">
      <w:bodyDiv w:val="1"/>
      <w:marLeft w:val="0"/>
      <w:marRight w:val="0"/>
      <w:marTop w:val="0"/>
      <w:marBottom w:val="0"/>
      <w:divBdr>
        <w:top w:val="none" w:sz="0" w:space="0" w:color="auto"/>
        <w:left w:val="none" w:sz="0" w:space="0" w:color="auto"/>
        <w:bottom w:val="none" w:sz="0" w:space="0" w:color="auto"/>
        <w:right w:val="none" w:sz="0" w:space="0" w:color="auto"/>
      </w:divBdr>
    </w:div>
    <w:div w:id="1160580815">
      <w:bodyDiv w:val="1"/>
      <w:marLeft w:val="0"/>
      <w:marRight w:val="0"/>
      <w:marTop w:val="0"/>
      <w:marBottom w:val="0"/>
      <w:divBdr>
        <w:top w:val="none" w:sz="0" w:space="0" w:color="auto"/>
        <w:left w:val="none" w:sz="0" w:space="0" w:color="auto"/>
        <w:bottom w:val="none" w:sz="0" w:space="0" w:color="auto"/>
        <w:right w:val="none" w:sz="0" w:space="0" w:color="auto"/>
      </w:divBdr>
    </w:div>
    <w:div w:id="1161122532">
      <w:bodyDiv w:val="1"/>
      <w:marLeft w:val="0"/>
      <w:marRight w:val="0"/>
      <w:marTop w:val="0"/>
      <w:marBottom w:val="0"/>
      <w:divBdr>
        <w:top w:val="none" w:sz="0" w:space="0" w:color="auto"/>
        <w:left w:val="none" w:sz="0" w:space="0" w:color="auto"/>
        <w:bottom w:val="none" w:sz="0" w:space="0" w:color="auto"/>
        <w:right w:val="none" w:sz="0" w:space="0" w:color="auto"/>
      </w:divBdr>
    </w:div>
    <w:div w:id="1161501128">
      <w:bodyDiv w:val="1"/>
      <w:marLeft w:val="0"/>
      <w:marRight w:val="0"/>
      <w:marTop w:val="0"/>
      <w:marBottom w:val="0"/>
      <w:divBdr>
        <w:top w:val="none" w:sz="0" w:space="0" w:color="auto"/>
        <w:left w:val="none" w:sz="0" w:space="0" w:color="auto"/>
        <w:bottom w:val="none" w:sz="0" w:space="0" w:color="auto"/>
        <w:right w:val="none" w:sz="0" w:space="0" w:color="auto"/>
      </w:divBdr>
    </w:div>
    <w:div w:id="1161504297">
      <w:bodyDiv w:val="1"/>
      <w:marLeft w:val="0"/>
      <w:marRight w:val="0"/>
      <w:marTop w:val="0"/>
      <w:marBottom w:val="0"/>
      <w:divBdr>
        <w:top w:val="none" w:sz="0" w:space="0" w:color="auto"/>
        <w:left w:val="none" w:sz="0" w:space="0" w:color="auto"/>
        <w:bottom w:val="none" w:sz="0" w:space="0" w:color="auto"/>
        <w:right w:val="none" w:sz="0" w:space="0" w:color="auto"/>
      </w:divBdr>
    </w:div>
    <w:div w:id="1161703591">
      <w:bodyDiv w:val="1"/>
      <w:marLeft w:val="0"/>
      <w:marRight w:val="0"/>
      <w:marTop w:val="0"/>
      <w:marBottom w:val="0"/>
      <w:divBdr>
        <w:top w:val="none" w:sz="0" w:space="0" w:color="auto"/>
        <w:left w:val="none" w:sz="0" w:space="0" w:color="auto"/>
        <w:bottom w:val="none" w:sz="0" w:space="0" w:color="auto"/>
        <w:right w:val="none" w:sz="0" w:space="0" w:color="auto"/>
      </w:divBdr>
    </w:div>
    <w:div w:id="1162043927">
      <w:bodyDiv w:val="1"/>
      <w:marLeft w:val="0"/>
      <w:marRight w:val="0"/>
      <w:marTop w:val="0"/>
      <w:marBottom w:val="0"/>
      <w:divBdr>
        <w:top w:val="none" w:sz="0" w:space="0" w:color="auto"/>
        <w:left w:val="none" w:sz="0" w:space="0" w:color="auto"/>
        <w:bottom w:val="none" w:sz="0" w:space="0" w:color="auto"/>
        <w:right w:val="none" w:sz="0" w:space="0" w:color="auto"/>
      </w:divBdr>
    </w:div>
    <w:div w:id="1163010847">
      <w:bodyDiv w:val="1"/>
      <w:marLeft w:val="0"/>
      <w:marRight w:val="0"/>
      <w:marTop w:val="0"/>
      <w:marBottom w:val="0"/>
      <w:divBdr>
        <w:top w:val="none" w:sz="0" w:space="0" w:color="auto"/>
        <w:left w:val="none" w:sz="0" w:space="0" w:color="auto"/>
        <w:bottom w:val="none" w:sz="0" w:space="0" w:color="auto"/>
        <w:right w:val="none" w:sz="0" w:space="0" w:color="auto"/>
      </w:divBdr>
    </w:div>
    <w:div w:id="1165320308">
      <w:bodyDiv w:val="1"/>
      <w:marLeft w:val="0"/>
      <w:marRight w:val="0"/>
      <w:marTop w:val="0"/>
      <w:marBottom w:val="0"/>
      <w:divBdr>
        <w:top w:val="none" w:sz="0" w:space="0" w:color="auto"/>
        <w:left w:val="none" w:sz="0" w:space="0" w:color="auto"/>
        <w:bottom w:val="none" w:sz="0" w:space="0" w:color="auto"/>
        <w:right w:val="none" w:sz="0" w:space="0" w:color="auto"/>
      </w:divBdr>
    </w:div>
    <w:div w:id="1166088412">
      <w:bodyDiv w:val="1"/>
      <w:marLeft w:val="0"/>
      <w:marRight w:val="0"/>
      <w:marTop w:val="0"/>
      <w:marBottom w:val="0"/>
      <w:divBdr>
        <w:top w:val="none" w:sz="0" w:space="0" w:color="auto"/>
        <w:left w:val="none" w:sz="0" w:space="0" w:color="auto"/>
        <w:bottom w:val="none" w:sz="0" w:space="0" w:color="auto"/>
        <w:right w:val="none" w:sz="0" w:space="0" w:color="auto"/>
      </w:divBdr>
    </w:div>
    <w:div w:id="1166434682">
      <w:bodyDiv w:val="1"/>
      <w:marLeft w:val="0"/>
      <w:marRight w:val="0"/>
      <w:marTop w:val="0"/>
      <w:marBottom w:val="0"/>
      <w:divBdr>
        <w:top w:val="none" w:sz="0" w:space="0" w:color="auto"/>
        <w:left w:val="none" w:sz="0" w:space="0" w:color="auto"/>
        <w:bottom w:val="none" w:sz="0" w:space="0" w:color="auto"/>
        <w:right w:val="none" w:sz="0" w:space="0" w:color="auto"/>
      </w:divBdr>
    </w:div>
    <w:div w:id="1166743284">
      <w:bodyDiv w:val="1"/>
      <w:marLeft w:val="0"/>
      <w:marRight w:val="0"/>
      <w:marTop w:val="0"/>
      <w:marBottom w:val="0"/>
      <w:divBdr>
        <w:top w:val="none" w:sz="0" w:space="0" w:color="auto"/>
        <w:left w:val="none" w:sz="0" w:space="0" w:color="auto"/>
        <w:bottom w:val="none" w:sz="0" w:space="0" w:color="auto"/>
        <w:right w:val="none" w:sz="0" w:space="0" w:color="auto"/>
      </w:divBdr>
    </w:div>
    <w:div w:id="1168247308">
      <w:bodyDiv w:val="1"/>
      <w:marLeft w:val="0"/>
      <w:marRight w:val="0"/>
      <w:marTop w:val="0"/>
      <w:marBottom w:val="0"/>
      <w:divBdr>
        <w:top w:val="none" w:sz="0" w:space="0" w:color="auto"/>
        <w:left w:val="none" w:sz="0" w:space="0" w:color="auto"/>
        <w:bottom w:val="none" w:sz="0" w:space="0" w:color="auto"/>
        <w:right w:val="none" w:sz="0" w:space="0" w:color="auto"/>
      </w:divBdr>
    </w:div>
    <w:div w:id="1168594668">
      <w:bodyDiv w:val="1"/>
      <w:marLeft w:val="0"/>
      <w:marRight w:val="0"/>
      <w:marTop w:val="0"/>
      <w:marBottom w:val="0"/>
      <w:divBdr>
        <w:top w:val="none" w:sz="0" w:space="0" w:color="auto"/>
        <w:left w:val="none" w:sz="0" w:space="0" w:color="auto"/>
        <w:bottom w:val="none" w:sz="0" w:space="0" w:color="auto"/>
        <w:right w:val="none" w:sz="0" w:space="0" w:color="auto"/>
      </w:divBdr>
    </w:div>
    <w:div w:id="1169755736">
      <w:bodyDiv w:val="1"/>
      <w:marLeft w:val="0"/>
      <w:marRight w:val="0"/>
      <w:marTop w:val="0"/>
      <w:marBottom w:val="0"/>
      <w:divBdr>
        <w:top w:val="none" w:sz="0" w:space="0" w:color="auto"/>
        <w:left w:val="none" w:sz="0" w:space="0" w:color="auto"/>
        <w:bottom w:val="none" w:sz="0" w:space="0" w:color="auto"/>
        <w:right w:val="none" w:sz="0" w:space="0" w:color="auto"/>
      </w:divBdr>
    </w:div>
    <w:div w:id="1172643922">
      <w:bodyDiv w:val="1"/>
      <w:marLeft w:val="0"/>
      <w:marRight w:val="0"/>
      <w:marTop w:val="0"/>
      <w:marBottom w:val="0"/>
      <w:divBdr>
        <w:top w:val="none" w:sz="0" w:space="0" w:color="auto"/>
        <w:left w:val="none" w:sz="0" w:space="0" w:color="auto"/>
        <w:bottom w:val="none" w:sz="0" w:space="0" w:color="auto"/>
        <w:right w:val="none" w:sz="0" w:space="0" w:color="auto"/>
      </w:divBdr>
    </w:div>
    <w:div w:id="1173565217">
      <w:bodyDiv w:val="1"/>
      <w:marLeft w:val="0"/>
      <w:marRight w:val="0"/>
      <w:marTop w:val="0"/>
      <w:marBottom w:val="0"/>
      <w:divBdr>
        <w:top w:val="none" w:sz="0" w:space="0" w:color="auto"/>
        <w:left w:val="none" w:sz="0" w:space="0" w:color="auto"/>
        <w:bottom w:val="none" w:sz="0" w:space="0" w:color="auto"/>
        <w:right w:val="none" w:sz="0" w:space="0" w:color="auto"/>
      </w:divBdr>
    </w:div>
    <w:div w:id="1173648790">
      <w:bodyDiv w:val="1"/>
      <w:marLeft w:val="0"/>
      <w:marRight w:val="0"/>
      <w:marTop w:val="0"/>
      <w:marBottom w:val="0"/>
      <w:divBdr>
        <w:top w:val="none" w:sz="0" w:space="0" w:color="auto"/>
        <w:left w:val="none" w:sz="0" w:space="0" w:color="auto"/>
        <w:bottom w:val="none" w:sz="0" w:space="0" w:color="auto"/>
        <w:right w:val="none" w:sz="0" w:space="0" w:color="auto"/>
      </w:divBdr>
    </w:div>
    <w:div w:id="1173954707">
      <w:bodyDiv w:val="1"/>
      <w:marLeft w:val="0"/>
      <w:marRight w:val="0"/>
      <w:marTop w:val="0"/>
      <w:marBottom w:val="0"/>
      <w:divBdr>
        <w:top w:val="none" w:sz="0" w:space="0" w:color="auto"/>
        <w:left w:val="none" w:sz="0" w:space="0" w:color="auto"/>
        <w:bottom w:val="none" w:sz="0" w:space="0" w:color="auto"/>
        <w:right w:val="none" w:sz="0" w:space="0" w:color="auto"/>
      </w:divBdr>
    </w:div>
    <w:div w:id="1174107197">
      <w:bodyDiv w:val="1"/>
      <w:marLeft w:val="0"/>
      <w:marRight w:val="0"/>
      <w:marTop w:val="0"/>
      <w:marBottom w:val="0"/>
      <w:divBdr>
        <w:top w:val="none" w:sz="0" w:space="0" w:color="auto"/>
        <w:left w:val="none" w:sz="0" w:space="0" w:color="auto"/>
        <w:bottom w:val="none" w:sz="0" w:space="0" w:color="auto"/>
        <w:right w:val="none" w:sz="0" w:space="0" w:color="auto"/>
      </w:divBdr>
    </w:div>
    <w:div w:id="1174297475">
      <w:bodyDiv w:val="1"/>
      <w:marLeft w:val="0"/>
      <w:marRight w:val="0"/>
      <w:marTop w:val="0"/>
      <w:marBottom w:val="0"/>
      <w:divBdr>
        <w:top w:val="none" w:sz="0" w:space="0" w:color="auto"/>
        <w:left w:val="none" w:sz="0" w:space="0" w:color="auto"/>
        <w:bottom w:val="none" w:sz="0" w:space="0" w:color="auto"/>
        <w:right w:val="none" w:sz="0" w:space="0" w:color="auto"/>
      </w:divBdr>
    </w:div>
    <w:div w:id="1174302754">
      <w:bodyDiv w:val="1"/>
      <w:marLeft w:val="0"/>
      <w:marRight w:val="0"/>
      <w:marTop w:val="0"/>
      <w:marBottom w:val="0"/>
      <w:divBdr>
        <w:top w:val="none" w:sz="0" w:space="0" w:color="auto"/>
        <w:left w:val="none" w:sz="0" w:space="0" w:color="auto"/>
        <w:bottom w:val="none" w:sz="0" w:space="0" w:color="auto"/>
        <w:right w:val="none" w:sz="0" w:space="0" w:color="auto"/>
      </w:divBdr>
    </w:div>
    <w:div w:id="1175220973">
      <w:bodyDiv w:val="1"/>
      <w:marLeft w:val="0"/>
      <w:marRight w:val="0"/>
      <w:marTop w:val="0"/>
      <w:marBottom w:val="0"/>
      <w:divBdr>
        <w:top w:val="none" w:sz="0" w:space="0" w:color="auto"/>
        <w:left w:val="none" w:sz="0" w:space="0" w:color="auto"/>
        <w:bottom w:val="none" w:sz="0" w:space="0" w:color="auto"/>
        <w:right w:val="none" w:sz="0" w:space="0" w:color="auto"/>
      </w:divBdr>
    </w:div>
    <w:div w:id="1175343560">
      <w:bodyDiv w:val="1"/>
      <w:marLeft w:val="0"/>
      <w:marRight w:val="0"/>
      <w:marTop w:val="0"/>
      <w:marBottom w:val="0"/>
      <w:divBdr>
        <w:top w:val="none" w:sz="0" w:space="0" w:color="auto"/>
        <w:left w:val="none" w:sz="0" w:space="0" w:color="auto"/>
        <w:bottom w:val="none" w:sz="0" w:space="0" w:color="auto"/>
        <w:right w:val="none" w:sz="0" w:space="0" w:color="auto"/>
      </w:divBdr>
    </w:div>
    <w:div w:id="1175388747">
      <w:bodyDiv w:val="1"/>
      <w:marLeft w:val="0"/>
      <w:marRight w:val="0"/>
      <w:marTop w:val="0"/>
      <w:marBottom w:val="0"/>
      <w:divBdr>
        <w:top w:val="none" w:sz="0" w:space="0" w:color="auto"/>
        <w:left w:val="none" w:sz="0" w:space="0" w:color="auto"/>
        <w:bottom w:val="none" w:sz="0" w:space="0" w:color="auto"/>
        <w:right w:val="none" w:sz="0" w:space="0" w:color="auto"/>
      </w:divBdr>
    </w:div>
    <w:div w:id="1176847869">
      <w:bodyDiv w:val="1"/>
      <w:marLeft w:val="0"/>
      <w:marRight w:val="0"/>
      <w:marTop w:val="0"/>
      <w:marBottom w:val="0"/>
      <w:divBdr>
        <w:top w:val="none" w:sz="0" w:space="0" w:color="auto"/>
        <w:left w:val="none" w:sz="0" w:space="0" w:color="auto"/>
        <w:bottom w:val="none" w:sz="0" w:space="0" w:color="auto"/>
        <w:right w:val="none" w:sz="0" w:space="0" w:color="auto"/>
      </w:divBdr>
    </w:div>
    <w:div w:id="1178538063">
      <w:bodyDiv w:val="1"/>
      <w:marLeft w:val="0"/>
      <w:marRight w:val="0"/>
      <w:marTop w:val="0"/>
      <w:marBottom w:val="0"/>
      <w:divBdr>
        <w:top w:val="none" w:sz="0" w:space="0" w:color="auto"/>
        <w:left w:val="none" w:sz="0" w:space="0" w:color="auto"/>
        <w:bottom w:val="none" w:sz="0" w:space="0" w:color="auto"/>
        <w:right w:val="none" w:sz="0" w:space="0" w:color="auto"/>
      </w:divBdr>
    </w:div>
    <w:div w:id="1179009315">
      <w:bodyDiv w:val="1"/>
      <w:marLeft w:val="0"/>
      <w:marRight w:val="0"/>
      <w:marTop w:val="0"/>
      <w:marBottom w:val="0"/>
      <w:divBdr>
        <w:top w:val="none" w:sz="0" w:space="0" w:color="auto"/>
        <w:left w:val="none" w:sz="0" w:space="0" w:color="auto"/>
        <w:bottom w:val="none" w:sz="0" w:space="0" w:color="auto"/>
        <w:right w:val="none" w:sz="0" w:space="0" w:color="auto"/>
      </w:divBdr>
    </w:div>
    <w:div w:id="1179154217">
      <w:bodyDiv w:val="1"/>
      <w:marLeft w:val="0"/>
      <w:marRight w:val="0"/>
      <w:marTop w:val="0"/>
      <w:marBottom w:val="0"/>
      <w:divBdr>
        <w:top w:val="none" w:sz="0" w:space="0" w:color="auto"/>
        <w:left w:val="none" w:sz="0" w:space="0" w:color="auto"/>
        <w:bottom w:val="none" w:sz="0" w:space="0" w:color="auto"/>
        <w:right w:val="none" w:sz="0" w:space="0" w:color="auto"/>
      </w:divBdr>
    </w:div>
    <w:div w:id="1179270098">
      <w:bodyDiv w:val="1"/>
      <w:marLeft w:val="0"/>
      <w:marRight w:val="0"/>
      <w:marTop w:val="0"/>
      <w:marBottom w:val="0"/>
      <w:divBdr>
        <w:top w:val="none" w:sz="0" w:space="0" w:color="auto"/>
        <w:left w:val="none" w:sz="0" w:space="0" w:color="auto"/>
        <w:bottom w:val="none" w:sz="0" w:space="0" w:color="auto"/>
        <w:right w:val="none" w:sz="0" w:space="0" w:color="auto"/>
      </w:divBdr>
    </w:div>
    <w:div w:id="1179387231">
      <w:bodyDiv w:val="1"/>
      <w:marLeft w:val="0"/>
      <w:marRight w:val="0"/>
      <w:marTop w:val="0"/>
      <w:marBottom w:val="0"/>
      <w:divBdr>
        <w:top w:val="none" w:sz="0" w:space="0" w:color="auto"/>
        <w:left w:val="none" w:sz="0" w:space="0" w:color="auto"/>
        <w:bottom w:val="none" w:sz="0" w:space="0" w:color="auto"/>
        <w:right w:val="none" w:sz="0" w:space="0" w:color="auto"/>
      </w:divBdr>
    </w:div>
    <w:div w:id="1179464903">
      <w:bodyDiv w:val="1"/>
      <w:marLeft w:val="0"/>
      <w:marRight w:val="0"/>
      <w:marTop w:val="0"/>
      <w:marBottom w:val="0"/>
      <w:divBdr>
        <w:top w:val="none" w:sz="0" w:space="0" w:color="auto"/>
        <w:left w:val="none" w:sz="0" w:space="0" w:color="auto"/>
        <w:bottom w:val="none" w:sz="0" w:space="0" w:color="auto"/>
        <w:right w:val="none" w:sz="0" w:space="0" w:color="auto"/>
      </w:divBdr>
    </w:div>
    <w:div w:id="1179854070">
      <w:bodyDiv w:val="1"/>
      <w:marLeft w:val="0"/>
      <w:marRight w:val="0"/>
      <w:marTop w:val="0"/>
      <w:marBottom w:val="0"/>
      <w:divBdr>
        <w:top w:val="none" w:sz="0" w:space="0" w:color="auto"/>
        <w:left w:val="none" w:sz="0" w:space="0" w:color="auto"/>
        <w:bottom w:val="none" w:sz="0" w:space="0" w:color="auto"/>
        <w:right w:val="none" w:sz="0" w:space="0" w:color="auto"/>
      </w:divBdr>
    </w:div>
    <w:div w:id="1180656295">
      <w:bodyDiv w:val="1"/>
      <w:marLeft w:val="0"/>
      <w:marRight w:val="0"/>
      <w:marTop w:val="0"/>
      <w:marBottom w:val="0"/>
      <w:divBdr>
        <w:top w:val="none" w:sz="0" w:space="0" w:color="auto"/>
        <w:left w:val="none" w:sz="0" w:space="0" w:color="auto"/>
        <w:bottom w:val="none" w:sz="0" w:space="0" w:color="auto"/>
        <w:right w:val="none" w:sz="0" w:space="0" w:color="auto"/>
      </w:divBdr>
    </w:div>
    <w:div w:id="1182738637">
      <w:bodyDiv w:val="1"/>
      <w:marLeft w:val="0"/>
      <w:marRight w:val="0"/>
      <w:marTop w:val="0"/>
      <w:marBottom w:val="0"/>
      <w:divBdr>
        <w:top w:val="none" w:sz="0" w:space="0" w:color="auto"/>
        <w:left w:val="none" w:sz="0" w:space="0" w:color="auto"/>
        <w:bottom w:val="none" w:sz="0" w:space="0" w:color="auto"/>
        <w:right w:val="none" w:sz="0" w:space="0" w:color="auto"/>
      </w:divBdr>
    </w:div>
    <w:div w:id="1182862066">
      <w:bodyDiv w:val="1"/>
      <w:marLeft w:val="0"/>
      <w:marRight w:val="0"/>
      <w:marTop w:val="0"/>
      <w:marBottom w:val="0"/>
      <w:divBdr>
        <w:top w:val="none" w:sz="0" w:space="0" w:color="auto"/>
        <w:left w:val="none" w:sz="0" w:space="0" w:color="auto"/>
        <w:bottom w:val="none" w:sz="0" w:space="0" w:color="auto"/>
        <w:right w:val="none" w:sz="0" w:space="0" w:color="auto"/>
      </w:divBdr>
    </w:div>
    <w:div w:id="1183282133">
      <w:bodyDiv w:val="1"/>
      <w:marLeft w:val="0"/>
      <w:marRight w:val="0"/>
      <w:marTop w:val="0"/>
      <w:marBottom w:val="0"/>
      <w:divBdr>
        <w:top w:val="none" w:sz="0" w:space="0" w:color="auto"/>
        <w:left w:val="none" w:sz="0" w:space="0" w:color="auto"/>
        <w:bottom w:val="none" w:sz="0" w:space="0" w:color="auto"/>
        <w:right w:val="none" w:sz="0" w:space="0" w:color="auto"/>
      </w:divBdr>
    </w:div>
    <w:div w:id="1183282409">
      <w:bodyDiv w:val="1"/>
      <w:marLeft w:val="0"/>
      <w:marRight w:val="0"/>
      <w:marTop w:val="0"/>
      <w:marBottom w:val="0"/>
      <w:divBdr>
        <w:top w:val="none" w:sz="0" w:space="0" w:color="auto"/>
        <w:left w:val="none" w:sz="0" w:space="0" w:color="auto"/>
        <w:bottom w:val="none" w:sz="0" w:space="0" w:color="auto"/>
        <w:right w:val="none" w:sz="0" w:space="0" w:color="auto"/>
      </w:divBdr>
    </w:div>
    <w:div w:id="1183519279">
      <w:bodyDiv w:val="1"/>
      <w:marLeft w:val="0"/>
      <w:marRight w:val="0"/>
      <w:marTop w:val="0"/>
      <w:marBottom w:val="0"/>
      <w:divBdr>
        <w:top w:val="none" w:sz="0" w:space="0" w:color="auto"/>
        <w:left w:val="none" w:sz="0" w:space="0" w:color="auto"/>
        <w:bottom w:val="none" w:sz="0" w:space="0" w:color="auto"/>
        <w:right w:val="none" w:sz="0" w:space="0" w:color="auto"/>
      </w:divBdr>
    </w:div>
    <w:div w:id="1184048704">
      <w:bodyDiv w:val="1"/>
      <w:marLeft w:val="0"/>
      <w:marRight w:val="0"/>
      <w:marTop w:val="0"/>
      <w:marBottom w:val="0"/>
      <w:divBdr>
        <w:top w:val="none" w:sz="0" w:space="0" w:color="auto"/>
        <w:left w:val="none" w:sz="0" w:space="0" w:color="auto"/>
        <w:bottom w:val="none" w:sz="0" w:space="0" w:color="auto"/>
        <w:right w:val="none" w:sz="0" w:space="0" w:color="auto"/>
      </w:divBdr>
    </w:div>
    <w:div w:id="1184320834">
      <w:bodyDiv w:val="1"/>
      <w:marLeft w:val="0"/>
      <w:marRight w:val="0"/>
      <w:marTop w:val="0"/>
      <w:marBottom w:val="0"/>
      <w:divBdr>
        <w:top w:val="none" w:sz="0" w:space="0" w:color="auto"/>
        <w:left w:val="none" w:sz="0" w:space="0" w:color="auto"/>
        <w:bottom w:val="none" w:sz="0" w:space="0" w:color="auto"/>
        <w:right w:val="none" w:sz="0" w:space="0" w:color="auto"/>
      </w:divBdr>
    </w:div>
    <w:div w:id="1184637915">
      <w:bodyDiv w:val="1"/>
      <w:marLeft w:val="0"/>
      <w:marRight w:val="0"/>
      <w:marTop w:val="0"/>
      <w:marBottom w:val="0"/>
      <w:divBdr>
        <w:top w:val="none" w:sz="0" w:space="0" w:color="auto"/>
        <w:left w:val="none" w:sz="0" w:space="0" w:color="auto"/>
        <w:bottom w:val="none" w:sz="0" w:space="0" w:color="auto"/>
        <w:right w:val="none" w:sz="0" w:space="0" w:color="auto"/>
      </w:divBdr>
    </w:div>
    <w:div w:id="1185099588">
      <w:bodyDiv w:val="1"/>
      <w:marLeft w:val="0"/>
      <w:marRight w:val="0"/>
      <w:marTop w:val="0"/>
      <w:marBottom w:val="0"/>
      <w:divBdr>
        <w:top w:val="none" w:sz="0" w:space="0" w:color="auto"/>
        <w:left w:val="none" w:sz="0" w:space="0" w:color="auto"/>
        <w:bottom w:val="none" w:sz="0" w:space="0" w:color="auto"/>
        <w:right w:val="none" w:sz="0" w:space="0" w:color="auto"/>
      </w:divBdr>
    </w:div>
    <w:div w:id="1185173913">
      <w:bodyDiv w:val="1"/>
      <w:marLeft w:val="0"/>
      <w:marRight w:val="0"/>
      <w:marTop w:val="0"/>
      <w:marBottom w:val="0"/>
      <w:divBdr>
        <w:top w:val="none" w:sz="0" w:space="0" w:color="auto"/>
        <w:left w:val="none" w:sz="0" w:space="0" w:color="auto"/>
        <w:bottom w:val="none" w:sz="0" w:space="0" w:color="auto"/>
        <w:right w:val="none" w:sz="0" w:space="0" w:color="auto"/>
      </w:divBdr>
    </w:div>
    <w:div w:id="1185287253">
      <w:bodyDiv w:val="1"/>
      <w:marLeft w:val="0"/>
      <w:marRight w:val="0"/>
      <w:marTop w:val="0"/>
      <w:marBottom w:val="0"/>
      <w:divBdr>
        <w:top w:val="none" w:sz="0" w:space="0" w:color="auto"/>
        <w:left w:val="none" w:sz="0" w:space="0" w:color="auto"/>
        <w:bottom w:val="none" w:sz="0" w:space="0" w:color="auto"/>
        <w:right w:val="none" w:sz="0" w:space="0" w:color="auto"/>
      </w:divBdr>
    </w:div>
    <w:div w:id="1185291041">
      <w:bodyDiv w:val="1"/>
      <w:marLeft w:val="0"/>
      <w:marRight w:val="0"/>
      <w:marTop w:val="0"/>
      <w:marBottom w:val="0"/>
      <w:divBdr>
        <w:top w:val="none" w:sz="0" w:space="0" w:color="auto"/>
        <w:left w:val="none" w:sz="0" w:space="0" w:color="auto"/>
        <w:bottom w:val="none" w:sz="0" w:space="0" w:color="auto"/>
        <w:right w:val="none" w:sz="0" w:space="0" w:color="auto"/>
      </w:divBdr>
    </w:div>
    <w:div w:id="1186016713">
      <w:bodyDiv w:val="1"/>
      <w:marLeft w:val="0"/>
      <w:marRight w:val="0"/>
      <w:marTop w:val="0"/>
      <w:marBottom w:val="0"/>
      <w:divBdr>
        <w:top w:val="none" w:sz="0" w:space="0" w:color="auto"/>
        <w:left w:val="none" w:sz="0" w:space="0" w:color="auto"/>
        <w:bottom w:val="none" w:sz="0" w:space="0" w:color="auto"/>
        <w:right w:val="none" w:sz="0" w:space="0" w:color="auto"/>
      </w:divBdr>
    </w:div>
    <w:div w:id="1186216418">
      <w:bodyDiv w:val="1"/>
      <w:marLeft w:val="0"/>
      <w:marRight w:val="0"/>
      <w:marTop w:val="0"/>
      <w:marBottom w:val="0"/>
      <w:divBdr>
        <w:top w:val="none" w:sz="0" w:space="0" w:color="auto"/>
        <w:left w:val="none" w:sz="0" w:space="0" w:color="auto"/>
        <w:bottom w:val="none" w:sz="0" w:space="0" w:color="auto"/>
        <w:right w:val="none" w:sz="0" w:space="0" w:color="auto"/>
      </w:divBdr>
    </w:div>
    <w:div w:id="1186477773">
      <w:bodyDiv w:val="1"/>
      <w:marLeft w:val="0"/>
      <w:marRight w:val="0"/>
      <w:marTop w:val="0"/>
      <w:marBottom w:val="0"/>
      <w:divBdr>
        <w:top w:val="none" w:sz="0" w:space="0" w:color="auto"/>
        <w:left w:val="none" w:sz="0" w:space="0" w:color="auto"/>
        <w:bottom w:val="none" w:sz="0" w:space="0" w:color="auto"/>
        <w:right w:val="none" w:sz="0" w:space="0" w:color="auto"/>
      </w:divBdr>
    </w:div>
    <w:div w:id="1186796778">
      <w:bodyDiv w:val="1"/>
      <w:marLeft w:val="0"/>
      <w:marRight w:val="0"/>
      <w:marTop w:val="0"/>
      <w:marBottom w:val="0"/>
      <w:divBdr>
        <w:top w:val="none" w:sz="0" w:space="0" w:color="auto"/>
        <w:left w:val="none" w:sz="0" w:space="0" w:color="auto"/>
        <w:bottom w:val="none" w:sz="0" w:space="0" w:color="auto"/>
        <w:right w:val="none" w:sz="0" w:space="0" w:color="auto"/>
      </w:divBdr>
    </w:div>
    <w:div w:id="1187013702">
      <w:bodyDiv w:val="1"/>
      <w:marLeft w:val="0"/>
      <w:marRight w:val="0"/>
      <w:marTop w:val="0"/>
      <w:marBottom w:val="0"/>
      <w:divBdr>
        <w:top w:val="none" w:sz="0" w:space="0" w:color="auto"/>
        <w:left w:val="none" w:sz="0" w:space="0" w:color="auto"/>
        <w:bottom w:val="none" w:sz="0" w:space="0" w:color="auto"/>
        <w:right w:val="none" w:sz="0" w:space="0" w:color="auto"/>
      </w:divBdr>
    </w:div>
    <w:div w:id="1187449401">
      <w:bodyDiv w:val="1"/>
      <w:marLeft w:val="0"/>
      <w:marRight w:val="0"/>
      <w:marTop w:val="0"/>
      <w:marBottom w:val="0"/>
      <w:divBdr>
        <w:top w:val="none" w:sz="0" w:space="0" w:color="auto"/>
        <w:left w:val="none" w:sz="0" w:space="0" w:color="auto"/>
        <w:bottom w:val="none" w:sz="0" w:space="0" w:color="auto"/>
        <w:right w:val="none" w:sz="0" w:space="0" w:color="auto"/>
      </w:divBdr>
    </w:div>
    <w:div w:id="1187450253">
      <w:bodyDiv w:val="1"/>
      <w:marLeft w:val="0"/>
      <w:marRight w:val="0"/>
      <w:marTop w:val="0"/>
      <w:marBottom w:val="0"/>
      <w:divBdr>
        <w:top w:val="none" w:sz="0" w:space="0" w:color="auto"/>
        <w:left w:val="none" w:sz="0" w:space="0" w:color="auto"/>
        <w:bottom w:val="none" w:sz="0" w:space="0" w:color="auto"/>
        <w:right w:val="none" w:sz="0" w:space="0" w:color="auto"/>
      </w:divBdr>
    </w:div>
    <w:div w:id="1188760761">
      <w:bodyDiv w:val="1"/>
      <w:marLeft w:val="0"/>
      <w:marRight w:val="0"/>
      <w:marTop w:val="0"/>
      <w:marBottom w:val="0"/>
      <w:divBdr>
        <w:top w:val="none" w:sz="0" w:space="0" w:color="auto"/>
        <w:left w:val="none" w:sz="0" w:space="0" w:color="auto"/>
        <w:bottom w:val="none" w:sz="0" w:space="0" w:color="auto"/>
        <w:right w:val="none" w:sz="0" w:space="0" w:color="auto"/>
      </w:divBdr>
    </w:div>
    <w:div w:id="1188761669">
      <w:bodyDiv w:val="1"/>
      <w:marLeft w:val="0"/>
      <w:marRight w:val="0"/>
      <w:marTop w:val="0"/>
      <w:marBottom w:val="0"/>
      <w:divBdr>
        <w:top w:val="none" w:sz="0" w:space="0" w:color="auto"/>
        <w:left w:val="none" w:sz="0" w:space="0" w:color="auto"/>
        <w:bottom w:val="none" w:sz="0" w:space="0" w:color="auto"/>
        <w:right w:val="none" w:sz="0" w:space="0" w:color="auto"/>
      </w:divBdr>
    </w:div>
    <w:div w:id="1191072763">
      <w:bodyDiv w:val="1"/>
      <w:marLeft w:val="0"/>
      <w:marRight w:val="0"/>
      <w:marTop w:val="0"/>
      <w:marBottom w:val="0"/>
      <w:divBdr>
        <w:top w:val="none" w:sz="0" w:space="0" w:color="auto"/>
        <w:left w:val="none" w:sz="0" w:space="0" w:color="auto"/>
        <w:bottom w:val="none" w:sz="0" w:space="0" w:color="auto"/>
        <w:right w:val="none" w:sz="0" w:space="0" w:color="auto"/>
      </w:divBdr>
    </w:div>
    <w:div w:id="1193373282">
      <w:bodyDiv w:val="1"/>
      <w:marLeft w:val="0"/>
      <w:marRight w:val="0"/>
      <w:marTop w:val="0"/>
      <w:marBottom w:val="0"/>
      <w:divBdr>
        <w:top w:val="none" w:sz="0" w:space="0" w:color="auto"/>
        <w:left w:val="none" w:sz="0" w:space="0" w:color="auto"/>
        <w:bottom w:val="none" w:sz="0" w:space="0" w:color="auto"/>
        <w:right w:val="none" w:sz="0" w:space="0" w:color="auto"/>
      </w:divBdr>
    </w:div>
    <w:div w:id="1194609249">
      <w:bodyDiv w:val="1"/>
      <w:marLeft w:val="0"/>
      <w:marRight w:val="0"/>
      <w:marTop w:val="0"/>
      <w:marBottom w:val="0"/>
      <w:divBdr>
        <w:top w:val="none" w:sz="0" w:space="0" w:color="auto"/>
        <w:left w:val="none" w:sz="0" w:space="0" w:color="auto"/>
        <w:bottom w:val="none" w:sz="0" w:space="0" w:color="auto"/>
        <w:right w:val="none" w:sz="0" w:space="0" w:color="auto"/>
      </w:divBdr>
    </w:div>
    <w:div w:id="1196386838">
      <w:bodyDiv w:val="1"/>
      <w:marLeft w:val="0"/>
      <w:marRight w:val="0"/>
      <w:marTop w:val="0"/>
      <w:marBottom w:val="0"/>
      <w:divBdr>
        <w:top w:val="none" w:sz="0" w:space="0" w:color="auto"/>
        <w:left w:val="none" w:sz="0" w:space="0" w:color="auto"/>
        <w:bottom w:val="none" w:sz="0" w:space="0" w:color="auto"/>
        <w:right w:val="none" w:sz="0" w:space="0" w:color="auto"/>
      </w:divBdr>
    </w:div>
    <w:div w:id="1196771517">
      <w:bodyDiv w:val="1"/>
      <w:marLeft w:val="0"/>
      <w:marRight w:val="0"/>
      <w:marTop w:val="0"/>
      <w:marBottom w:val="0"/>
      <w:divBdr>
        <w:top w:val="none" w:sz="0" w:space="0" w:color="auto"/>
        <w:left w:val="none" w:sz="0" w:space="0" w:color="auto"/>
        <w:bottom w:val="none" w:sz="0" w:space="0" w:color="auto"/>
        <w:right w:val="none" w:sz="0" w:space="0" w:color="auto"/>
      </w:divBdr>
    </w:div>
    <w:div w:id="1198007262">
      <w:bodyDiv w:val="1"/>
      <w:marLeft w:val="0"/>
      <w:marRight w:val="0"/>
      <w:marTop w:val="0"/>
      <w:marBottom w:val="0"/>
      <w:divBdr>
        <w:top w:val="none" w:sz="0" w:space="0" w:color="auto"/>
        <w:left w:val="none" w:sz="0" w:space="0" w:color="auto"/>
        <w:bottom w:val="none" w:sz="0" w:space="0" w:color="auto"/>
        <w:right w:val="none" w:sz="0" w:space="0" w:color="auto"/>
      </w:divBdr>
    </w:div>
    <w:div w:id="1198467522">
      <w:bodyDiv w:val="1"/>
      <w:marLeft w:val="0"/>
      <w:marRight w:val="0"/>
      <w:marTop w:val="0"/>
      <w:marBottom w:val="0"/>
      <w:divBdr>
        <w:top w:val="none" w:sz="0" w:space="0" w:color="auto"/>
        <w:left w:val="none" w:sz="0" w:space="0" w:color="auto"/>
        <w:bottom w:val="none" w:sz="0" w:space="0" w:color="auto"/>
        <w:right w:val="none" w:sz="0" w:space="0" w:color="auto"/>
      </w:divBdr>
    </w:div>
    <w:div w:id="1199850957">
      <w:bodyDiv w:val="1"/>
      <w:marLeft w:val="0"/>
      <w:marRight w:val="0"/>
      <w:marTop w:val="0"/>
      <w:marBottom w:val="0"/>
      <w:divBdr>
        <w:top w:val="none" w:sz="0" w:space="0" w:color="auto"/>
        <w:left w:val="none" w:sz="0" w:space="0" w:color="auto"/>
        <w:bottom w:val="none" w:sz="0" w:space="0" w:color="auto"/>
        <w:right w:val="none" w:sz="0" w:space="0" w:color="auto"/>
      </w:divBdr>
    </w:div>
    <w:div w:id="1200122194">
      <w:bodyDiv w:val="1"/>
      <w:marLeft w:val="0"/>
      <w:marRight w:val="0"/>
      <w:marTop w:val="0"/>
      <w:marBottom w:val="0"/>
      <w:divBdr>
        <w:top w:val="none" w:sz="0" w:space="0" w:color="auto"/>
        <w:left w:val="none" w:sz="0" w:space="0" w:color="auto"/>
        <w:bottom w:val="none" w:sz="0" w:space="0" w:color="auto"/>
        <w:right w:val="none" w:sz="0" w:space="0" w:color="auto"/>
      </w:divBdr>
    </w:div>
    <w:div w:id="1203597185">
      <w:bodyDiv w:val="1"/>
      <w:marLeft w:val="0"/>
      <w:marRight w:val="0"/>
      <w:marTop w:val="0"/>
      <w:marBottom w:val="0"/>
      <w:divBdr>
        <w:top w:val="none" w:sz="0" w:space="0" w:color="auto"/>
        <w:left w:val="none" w:sz="0" w:space="0" w:color="auto"/>
        <w:bottom w:val="none" w:sz="0" w:space="0" w:color="auto"/>
        <w:right w:val="none" w:sz="0" w:space="0" w:color="auto"/>
      </w:divBdr>
    </w:div>
    <w:div w:id="1203861305">
      <w:bodyDiv w:val="1"/>
      <w:marLeft w:val="0"/>
      <w:marRight w:val="0"/>
      <w:marTop w:val="0"/>
      <w:marBottom w:val="0"/>
      <w:divBdr>
        <w:top w:val="none" w:sz="0" w:space="0" w:color="auto"/>
        <w:left w:val="none" w:sz="0" w:space="0" w:color="auto"/>
        <w:bottom w:val="none" w:sz="0" w:space="0" w:color="auto"/>
        <w:right w:val="none" w:sz="0" w:space="0" w:color="auto"/>
      </w:divBdr>
    </w:div>
    <w:div w:id="1204248910">
      <w:bodyDiv w:val="1"/>
      <w:marLeft w:val="0"/>
      <w:marRight w:val="0"/>
      <w:marTop w:val="0"/>
      <w:marBottom w:val="0"/>
      <w:divBdr>
        <w:top w:val="none" w:sz="0" w:space="0" w:color="auto"/>
        <w:left w:val="none" w:sz="0" w:space="0" w:color="auto"/>
        <w:bottom w:val="none" w:sz="0" w:space="0" w:color="auto"/>
        <w:right w:val="none" w:sz="0" w:space="0" w:color="auto"/>
      </w:divBdr>
    </w:div>
    <w:div w:id="1204319609">
      <w:bodyDiv w:val="1"/>
      <w:marLeft w:val="0"/>
      <w:marRight w:val="0"/>
      <w:marTop w:val="0"/>
      <w:marBottom w:val="0"/>
      <w:divBdr>
        <w:top w:val="none" w:sz="0" w:space="0" w:color="auto"/>
        <w:left w:val="none" w:sz="0" w:space="0" w:color="auto"/>
        <w:bottom w:val="none" w:sz="0" w:space="0" w:color="auto"/>
        <w:right w:val="none" w:sz="0" w:space="0" w:color="auto"/>
      </w:divBdr>
    </w:div>
    <w:div w:id="1204901660">
      <w:bodyDiv w:val="1"/>
      <w:marLeft w:val="0"/>
      <w:marRight w:val="0"/>
      <w:marTop w:val="0"/>
      <w:marBottom w:val="0"/>
      <w:divBdr>
        <w:top w:val="none" w:sz="0" w:space="0" w:color="auto"/>
        <w:left w:val="none" w:sz="0" w:space="0" w:color="auto"/>
        <w:bottom w:val="none" w:sz="0" w:space="0" w:color="auto"/>
        <w:right w:val="none" w:sz="0" w:space="0" w:color="auto"/>
      </w:divBdr>
    </w:div>
    <w:div w:id="1205411006">
      <w:bodyDiv w:val="1"/>
      <w:marLeft w:val="0"/>
      <w:marRight w:val="0"/>
      <w:marTop w:val="0"/>
      <w:marBottom w:val="0"/>
      <w:divBdr>
        <w:top w:val="none" w:sz="0" w:space="0" w:color="auto"/>
        <w:left w:val="none" w:sz="0" w:space="0" w:color="auto"/>
        <w:bottom w:val="none" w:sz="0" w:space="0" w:color="auto"/>
        <w:right w:val="none" w:sz="0" w:space="0" w:color="auto"/>
      </w:divBdr>
    </w:div>
    <w:div w:id="1206023846">
      <w:bodyDiv w:val="1"/>
      <w:marLeft w:val="0"/>
      <w:marRight w:val="0"/>
      <w:marTop w:val="0"/>
      <w:marBottom w:val="0"/>
      <w:divBdr>
        <w:top w:val="none" w:sz="0" w:space="0" w:color="auto"/>
        <w:left w:val="none" w:sz="0" w:space="0" w:color="auto"/>
        <w:bottom w:val="none" w:sz="0" w:space="0" w:color="auto"/>
        <w:right w:val="none" w:sz="0" w:space="0" w:color="auto"/>
      </w:divBdr>
    </w:div>
    <w:div w:id="1207334737">
      <w:bodyDiv w:val="1"/>
      <w:marLeft w:val="0"/>
      <w:marRight w:val="0"/>
      <w:marTop w:val="0"/>
      <w:marBottom w:val="0"/>
      <w:divBdr>
        <w:top w:val="none" w:sz="0" w:space="0" w:color="auto"/>
        <w:left w:val="none" w:sz="0" w:space="0" w:color="auto"/>
        <w:bottom w:val="none" w:sz="0" w:space="0" w:color="auto"/>
        <w:right w:val="none" w:sz="0" w:space="0" w:color="auto"/>
      </w:divBdr>
    </w:div>
    <w:div w:id="1207832058">
      <w:bodyDiv w:val="1"/>
      <w:marLeft w:val="0"/>
      <w:marRight w:val="0"/>
      <w:marTop w:val="0"/>
      <w:marBottom w:val="0"/>
      <w:divBdr>
        <w:top w:val="none" w:sz="0" w:space="0" w:color="auto"/>
        <w:left w:val="none" w:sz="0" w:space="0" w:color="auto"/>
        <w:bottom w:val="none" w:sz="0" w:space="0" w:color="auto"/>
        <w:right w:val="none" w:sz="0" w:space="0" w:color="auto"/>
      </w:divBdr>
    </w:div>
    <w:div w:id="1208369318">
      <w:bodyDiv w:val="1"/>
      <w:marLeft w:val="0"/>
      <w:marRight w:val="0"/>
      <w:marTop w:val="0"/>
      <w:marBottom w:val="0"/>
      <w:divBdr>
        <w:top w:val="none" w:sz="0" w:space="0" w:color="auto"/>
        <w:left w:val="none" w:sz="0" w:space="0" w:color="auto"/>
        <w:bottom w:val="none" w:sz="0" w:space="0" w:color="auto"/>
        <w:right w:val="none" w:sz="0" w:space="0" w:color="auto"/>
      </w:divBdr>
    </w:div>
    <w:div w:id="1209957858">
      <w:bodyDiv w:val="1"/>
      <w:marLeft w:val="0"/>
      <w:marRight w:val="0"/>
      <w:marTop w:val="0"/>
      <w:marBottom w:val="0"/>
      <w:divBdr>
        <w:top w:val="none" w:sz="0" w:space="0" w:color="auto"/>
        <w:left w:val="none" w:sz="0" w:space="0" w:color="auto"/>
        <w:bottom w:val="none" w:sz="0" w:space="0" w:color="auto"/>
        <w:right w:val="none" w:sz="0" w:space="0" w:color="auto"/>
      </w:divBdr>
    </w:div>
    <w:div w:id="1210797147">
      <w:bodyDiv w:val="1"/>
      <w:marLeft w:val="0"/>
      <w:marRight w:val="0"/>
      <w:marTop w:val="0"/>
      <w:marBottom w:val="0"/>
      <w:divBdr>
        <w:top w:val="none" w:sz="0" w:space="0" w:color="auto"/>
        <w:left w:val="none" w:sz="0" w:space="0" w:color="auto"/>
        <w:bottom w:val="none" w:sz="0" w:space="0" w:color="auto"/>
        <w:right w:val="none" w:sz="0" w:space="0" w:color="auto"/>
      </w:divBdr>
    </w:div>
    <w:div w:id="1211303426">
      <w:bodyDiv w:val="1"/>
      <w:marLeft w:val="0"/>
      <w:marRight w:val="0"/>
      <w:marTop w:val="0"/>
      <w:marBottom w:val="0"/>
      <w:divBdr>
        <w:top w:val="none" w:sz="0" w:space="0" w:color="auto"/>
        <w:left w:val="none" w:sz="0" w:space="0" w:color="auto"/>
        <w:bottom w:val="none" w:sz="0" w:space="0" w:color="auto"/>
        <w:right w:val="none" w:sz="0" w:space="0" w:color="auto"/>
      </w:divBdr>
    </w:div>
    <w:div w:id="1212033522">
      <w:bodyDiv w:val="1"/>
      <w:marLeft w:val="0"/>
      <w:marRight w:val="0"/>
      <w:marTop w:val="0"/>
      <w:marBottom w:val="0"/>
      <w:divBdr>
        <w:top w:val="none" w:sz="0" w:space="0" w:color="auto"/>
        <w:left w:val="none" w:sz="0" w:space="0" w:color="auto"/>
        <w:bottom w:val="none" w:sz="0" w:space="0" w:color="auto"/>
        <w:right w:val="none" w:sz="0" w:space="0" w:color="auto"/>
      </w:divBdr>
    </w:div>
    <w:div w:id="1212227803">
      <w:bodyDiv w:val="1"/>
      <w:marLeft w:val="0"/>
      <w:marRight w:val="0"/>
      <w:marTop w:val="0"/>
      <w:marBottom w:val="0"/>
      <w:divBdr>
        <w:top w:val="none" w:sz="0" w:space="0" w:color="auto"/>
        <w:left w:val="none" w:sz="0" w:space="0" w:color="auto"/>
        <w:bottom w:val="none" w:sz="0" w:space="0" w:color="auto"/>
        <w:right w:val="none" w:sz="0" w:space="0" w:color="auto"/>
      </w:divBdr>
    </w:div>
    <w:div w:id="1212838129">
      <w:bodyDiv w:val="1"/>
      <w:marLeft w:val="0"/>
      <w:marRight w:val="0"/>
      <w:marTop w:val="0"/>
      <w:marBottom w:val="0"/>
      <w:divBdr>
        <w:top w:val="none" w:sz="0" w:space="0" w:color="auto"/>
        <w:left w:val="none" w:sz="0" w:space="0" w:color="auto"/>
        <w:bottom w:val="none" w:sz="0" w:space="0" w:color="auto"/>
        <w:right w:val="none" w:sz="0" w:space="0" w:color="auto"/>
      </w:divBdr>
    </w:div>
    <w:div w:id="1213149150">
      <w:bodyDiv w:val="1"/>
      <w:marLeft w:val="0"/>
      <w:marRight w:val="0"/>
      <w:marTop w:val="0"/>
      <w:marBottom w:val="0"/>
      <w:divBdr>
        <w:top w:val="none" w:sz="0" w:space="0" w:color="auto"/>
        <w:left w:val="none" w:sz="0" w:space="0" w:color="auto"/>
        <w:bottom w:val="none" w:sz="0" w:space="0" w:color="auto"/>
        <w:right w:val="none" w:sz="0" w:space="0" w:color="auto"/>
      </w:divBdr>
    </w:div>
    <w:div w:id="1213229682">
      <w:bodyDiv w:val="1"/>
      <w:marLeft w:val="0"/>
      <w:marRight w:val="0"/>
      <w:marTop w:val="0"/>
      <w:marBottom w:val="0"/>
      <w:divBdr>
        <w:top w:val="none" w:sz="0" w:space="0" w:color="auto"/>
        <w:left w:val="none" w:sz="0" w:space="0" w:color="auto"/>
        <w:bottom w:val="none" w:sz="0" w:space="0" w:color="auto"/>
        <w:right w:val="none" w:sz="0" w:space="0" w:color="auto"/>
      </w:divBdr>
    </w:div>
    <w:div w:id="1213231464">
      <w:bodyDiv w:val="1"/>
      <w:marLeft w:val="0"/>
      <w:marRight w:val="0"/>
      <w:marTop w:val="0"/>
      <w:marBottom w:val="0"/>
      <w:divBdr>
        <w:top w:val="none" w:sz="0" w:space="0" w:color="auto"/>
        <w:left w:val="none" w:sz="0" w:space="0" w:color="auto"/>
        <w:bottom w:val="none" w:sz="0" w:space="0" w:color="auto"/>
        <w:right w:val="none" w:sz="0" w:space="0" w:color="auto"/>
      </w:divBdr>
    </w:div>
    <w:div w:id="1213343528">
      <w:bodyDiv w:val="1"/>
      <w:marLeft w:val="0"/>
      <w:marRight w:val="0"/>
      <w:marTop w:val="0"/>
      <w:marBottom w:val="0"/>
      <w:divBdr>
        <w:top w:val="none" w:sz="0" w:space="0" w:color="auto"/>
        <w:left w:val="none" w:sz="0" w:space="0" w:color="auto"/>
        <w:bottom w:val="none" w:sz="0" w:space="0" w:color="auto"/>
        <w:right w:val="none" w:sz="0" w:space="0" w:color="auto"/>
      </w:divBdr>
    </w:div>
    <w:div w:id="1213729089">
      <w:bodyDiv w:val="1"/>
      <w:marLeft w:val="0"/>
      <w:marRight w:val="0"/>
      <w:marTop w:val="0"/>
      <w:marBottom w:val="0"/>
      <w:divBdr>
        <w:top w:val="none" w:sz="0" w:space="0" w:color="auto"/>
        <w:left w:val="none" w:sz="0" w:space="0" w:color="auto"/>
        <w:bottom w:val="none" w:sz="0" w:space="0" w:color="auto"/>
        <w:right w:val="none" w:sz="0" w:space="0" w:color="auto"/>
      </w:divBdr>
    </w:div>
    <w:div w:id="1215461446">
      <w:bodyDiv w:val="1"/>
      <w:marLeft w:val="0"/>
      <w:marRight w:val="0"/>
      <w:marTop w:val="0"/>
      <w:marBottom w:val="0"/>
      <w:divBdr>
        <w:top w:val="none" w:sz="0" w:space="0" w:color="auto"/>
        <w:left w:val="none" w:sz="0" w:space="0" w:color="auto"/>
        <w:bottom w:val="none" w:sz="0" w:space="0" w:color="auto"/>
        <w:right w:val="none" w:sz="0" w:space="0" w:color="auto"/>
      </w:divBdr>
    </w:div>
    <w:div w:id="1215776659">
      <w:bodyDiv w:val="1"/>
      <w:marLeft w:val="0"/>
      <w:marRight w:val="0"/>
      <w:marTop w:val="0"/>
      <w:marBottom w:val="0"/>
      <w:divBdr>
        <w:top w:val="none" w:sz="0" w:space="0" w:color="auto"/>
        <w:left w:val="none" w:sz="0" w:space="0" w:color="auto"/>
        <w:bottom w:val="none" w:sz="0" w:space="0" w:color="auto"/>
        <w:right w:val="none" w:sz="0" w:space="0" w:color="auto"/>
      </w:divBdr>
    </w:div>
    <w:div w:id="1217205179">
      <w:bodyDiv w:val="1"/>
      <w:marLeft w:val="0"/>
      <w:marRight w:val="0"/>
      <w:marTop w:val="0"/>
      <w:marBottom w:val="0"/>
      <w:divBdr>
        <w:top w:val="none" w:sz="0" w:space="0" w:color="auto"/>
        <w:left w:val="none" w:sz="0" w:space="0" w:color="auto"/>
        <w:bottom w:val="none" w:sz="0" w:space="0" w:color="auto"/>
        <w:right w:val="none" w:sz="0" w:space="0" w:color="auto"/>
      </w:divBdr>
    </w:div>
    <w:div w:id="1217549084">
      <w:bodyDiv w:val="1"/>
      <w:marLeft w:val="0"/>
      <w:marRight w:val="0"/>
      <w:marTop w:val="0"/>
      <w:marBottom w:val="0"/>
      <w:divBdr>
        <w:top w:val="none" w:sz="0" w:space="0" w:color="auto"/>
        <w:left w:val="none" w:sz="0" w:space="0" w:color="auto"/>
        <w:bottom w:val="none" w:sz="0" w:space="0" w:color="auto"/>
        <w:right w:val="none" w:sz="0" w:space="0" w:color="auto"/>
      </w:divBdr>
    </w:div>
    <w:div w:id="1218325119">
      <w:bodyDiv w:val="1"/>
      <w:marLeft w:val="0"/>
      <w:marRight w:val="0"/>
      <w:marTop w:val="0"/>
      <w:marBottom w:val="0"/>
      <w:divBdr>
        <w:top w:val="none" w:sz="0" w:space="0" w:color="auto"/>
        <w:left w:val="none" w:sz="0" w:space="0" w:color="auto"/>
        <w:bottom w:val="none" w:sz="0" w:space="0" w:color="auto"/>
        <w:right w:val="none" w:sz="0" w:space="0" w:color="auto"/>
      </w:divBdr>
    </w:div>
    <w:div w:id="1218515992">
      <w:bodyDiv w:val="1"/>
      <w:marLeft w:val="0"/>
      <w:marRight w:val="0"/>
      <w:marTop w:val="0"/>
      <w:marBottom w:val="0"/>
      <w:divBdr>
        <w:top w:val="none" w:sz="0" w:space="0" w:color="auto"/>
        <w:left w:val="none" w:sz="0" w:space="0" w:color="auto"/>
        <w:bottom w:val="none" w:sz="0" w:space="0" w:color="auto"/>
        <w:right w:val="none" w:sz="0" w:space="0" w:color="auto"/>
      </w:divBdr>
    </w:div>
    <w:div w:id="1218660189">
      <w:bodyDiv w:val="1"/>
      <w:marLeft w:val="0"/>
      <w:marRight w:val="0"/>
      <w:marTop w:val="0"/>
      <w:marBottom w:val="0"/>
      <w:divBdr>
        <w:top w:val="none" w:sz="0" w:space="0" w:color="auto"/>
        <w:left w:val="none" w:sz="0" w:space="0" w:color="auto"/>
        <w:bottom w:val="none" w:sz="0" w:space="0" w:color="auto"/>
        <w:right w:val="none" w:sz="0" w:space="0" w:color="auto"/>
      </w:divBdr>
    </w:div>
    <w:div w:id="1219323837">
      <w:bodyDiv w:val="1"/>
      <w:marLeft w:val="0"/>
      <w:marRight w:val="0"/>
      <w:marTop w:val="0"/>
      <w:marBottom w:val="0"/>
      <w:divBdr>
        <w:top w:val="none" w:sz="0" w:space="0" w:color="auto"/>
        <w:left w:val="none" w:sz="0" w:space="0" w:color="auto"/>
        <w:bottom w:val="none" w:sz="0" w:space="0" w:color="auto"/>
        <w:right w:val="none" w:sz="0" w:space="0" w:color="auto"/>
      </w:divBdr>
    </w:div>
    <w:div w:id="1219902340">
      <w:bodyDiv w:val="1"/>
      <w:marLeft w:val="0"/>
      <w:marRight w:val="0"/>
      <w:marTop w:val="0"/>
      <w:marBottom w:val="0"/>
      <w:divBdr>
        <w:top w:val="none" w:sz="0" w:space="0" w:color="auto"/>
        <w:left w:val="none" w:sz="0" w:space="0" w:color="auto"/>
        <w:bottom w:val="none" w:sz="0" w:space="0" w:color="auto"/>
        <w:right w:val="none" w:sz="0" w:space="0" w:color="auto"/>
      </w:divBdr>
    </w:div>
    <w:div w:id="1222520777">
      <w:bodyDiv w:val="1"/>
      <w:marLeft w:val="0"/>
      <w:marRight w:val="0"/>
      <w:marTop w:val="0"/>
      <w:marBottom w:val="0"/>
      <w:divBdr>
        <w:top w:val="none" w:sz="0" w:space="0" w:color="auto"/>
        <w:left w:val="none" w:sz="0" w:space="0" w:color="auto"/>
        <w:bottom w:val="none" w:sz="0" w:space="0" w:color="auto"/>
        <w:right w:val="none" w:sz="0" w:space="0" w:color="auto"/>
      </w:divBdr>
    </w:div>
    <w:div w:id="1222525645">
      <w:bodyDiv w:val="1"/>
      <w:marLeft w:val="0"/>
      <w:marRight w:val="0"/>
      <w:marTop w:val="0"/>
      <w:marBottom w:val="0"/>
      <w:divBdr>
        <w:top w:val="none" w:sz="0" w:space="0" w:color="auto"/>
        <w:left w:val="none" w:sz="0" w:space="0" w:color="auto"/>
        <w:bottom w:val="none" w:sz="0" w:space="0" w:color="auto"/>
        <w:right w:val="none" w:sz="0" w:space="0" w:color="auto"/>
      </w:divBdr>
    </w:div>
    <w:div w:id="1224566549">
      <w:bodyDiv w:val="1"/>
      <w:marLeft w:val="0"/>
      <w:marRight w:val="0"/>
      <w:marTop w:val="0"/>
      <w:marBottom w:val="0"/>
      <w:divBdr>
        <w:top w:val="none" w:sz="0" w:space="0" w:color="auto"/>
        <w:left w:val="none" w:sz="0" w:space="0" w:color="auto"/>
        <w:bottom w:val="none" w:sz="0" w:space="0" w:color="auto"/>
        <w:right w:val="none" w:sz="0" w:space="0" w:color="auto"/>
      </w:divBdr>
    </w:div>
    <w:div w:id="1225145265">
      <w:bodyDiv w:val="1"/>
      <w:marLeft w:val="0"/>
      <w:marRight w:val="0"/>
      <w:marTop w:val="0"/>
      <w:marBottom w:val="0"/>
      <w:divBdr>
        <w:top w:val="none" w:sz="0" w:space="0" w:color="auto"/>
        <w:left w:val="none" w:sz="0" w:space="0" w:color="auto"/>
        <w:bottom w:val="none" w:sz="0" w:space="0" w:color="auto"/>
        <w:right w:val="none" w:sz="0" w:space="0" w:color="auto"/>
      </w:divBdr>
    </w:div>
    <w:div w:id="1225986795">
      <w:bodyDiv w:val="1"/>
      <w:marLeft w:val="0"/>
      <w:marRight w:val="0"/>
      <w:marTop w:val="0"/>
      <w:marBottom w:val="0"/>
      <w:divBdr>
        <w:top w:val="none" w:sz="0" w:space="0" w:color="auto"/>
        <w:left w:val="none" w:sz="0" w:space="0" w:color="auto"/>
        <w:bottom w:val="none" w:sz="0" w:space="0" w:color="auto"/>
        <w:right w:val="none" w:sz="0" w:space="0" w:color="auto"/>
      </w:divBdr>
    </w:div>
    <w:div w:id="1226449108">
      <w:bodyDiv w:val="1"/>
      <w:marLeft w:val="0"/>
      <w:marRight w:val="0"/>
      <w:marTop w:val="0"/>
      <w:marBottom w:val="0"/>
      <w:divBdr>
        <w:top w:val="none" w:sz="0" w:space="0" w:color="auto"/>
        <w:left w:val="none" w:sz="0" w:space="0" w:color="auto"/>
        <w:bottom w:val="none" w:sz="0" w:space="0" w:color="auto"/>
        <w:right w:val="none" w:sz="0" w:space="0" w:color="auto"/>
      </w:divBdr>
    </w:div>
    <w:div w:id="1226457132">
      <w:bodyDiv w:val="1"/>
      <w:marLeft w:val="0"/>
      <w:marRight w:val="0"/>
      <w:marTop w:val="0"/>
      <w:marBottom w:val="0"/>
      <w:divBdr>
        <w:top w:val="none" w:sz="0" w:space="0" w:color="auto"/>
        <w:left w:val="none" w:sz="0" w:space="0" w:color="auto"/>
        <w:bottom w:val="none" w:sz="0" w:space="0" w:color="auto"/>
        <w:right w:val="none" w:sz="0" w:space="0" w:color="auto"/>
      </w:divBdr>
    </w:div>
    <w:div w:id="1226989225">
      <w:bodyDiv w:val="1"/>
      <w:marLeft w:val="0"/>
      <w:marRight w:val="0"/>
      <w:marTop w:val="0"/>
      <w:marBottom w:val="0"/>
      <w:divBdr>
        <w:top w:val="none" w:sz="0" w:space="0" w:color="auto"/>
        <w:left w:val="none" w:sz="0" w:space="0" w:color="auto"/>
        <w:bottom w:val="none" w:sz="0" w:space="0" w:color="auto"/>
        <w:right w:val="none" w:sz="0" w:space="0" w:color="auto"/>
      </w:divBdr>
    </w:div>
    <w:div w:id="1227452184">
      <w:bodyDiv w:val="1"/>
      <w:marLeft w:val="0"/>
      <w:marRight w:val="0"/>
      <w:marTop w:val="0"/>
      <w:marBottom w:val="0"/>
      <w:divBdr>
        <w:top w:val="none" w:sz="0" w:space="0" w:color="auto"/>
        <w:left w:val="none" w:sz="0" w:space="0" w:color="auto"/>
        <w:bottom w:val="none" w:sz="0" w:space="0" w:color="auto"/>
        <w:right w:val="none" w:sz="0" w:space="0" w:color="auto"/>
      </w:divBdr>
    </w:div>
    <w:div w:id="1228569731">
      <w:bodyDiv w:val="1"/>
      <w:marLeft w:val="0"/>
      <w:marRight w:val="0"/>
      <w:marTop w:val="0"/>
      <w:marBottom w:val="0"/>
      <w:divBdr>
        <w:top w:val="none" w:sz="0" w:space="0" w:color="auto"/>
        <w:left w:val="none" w:sz="0" w:space="0" w:color="auto"/>
        <w:bottom w:val="none" w:sz="0" w:space="0" w:color="auto"/>
        <w:right w:val="none" w:sz="0" w:space="0" w:color="auto"/>
      </w:divBdr>
    </w:div>
    <w:div w:id="1229266016">
      <w:bodyDiv w:val="1"/>
      <w:marLeft w:val="0"/>
      <w:marRight w:val="0"/>
      <w:marTop w:val="0"/>
      <w:marBottom w:val="0"/>
      <w:divBdr>
        <w:top w:val="none" w:sz="0" w:space="0" w:color="auto"/>
        <w:left w:val="none" w:sz="0" w:space="0" w:color="auto"/>
        <w:bottom w:val="none" w:sz="0" w:space="0" w:color="auto"/>
        <w:right w:val="none" w:sz="0" w:space="0" w:color="auto"/>
      </w:divBdr>
    </w:div>
    <w:div w:id="1230263490">
      <w:bodyDiv w:val="1"/>
      <w:marLeft w:val="0"/>
      <w:marRight w:val="0"/>
      <w:marTop w:val="0"/>
      <w:marBottom w:val="0"/>
      <w:divBdr>
        <w:top w:val="none" w:sz="0" w:space="0" w:color="auto"/>
        <w:left w:val="none" w:sz="0" w:space="0" w:color="auto"/>
        <w:bottom w:val="none" w:sz="0" w:space="0" w:color="auto"/>
        <w:right w:val="none" w:sz="0" w:space="0" w:color="auto"/>
      </w:divBdr>
    </w:div>
    <w:div w:id="1230458171">
      <w:bodyDiv w:val="1"/>
      <w:marLeft w:val="0"/>
      <w:marRight w:val="0"/>
      <w:marTop w:val="0"/>
      <w:marBottom w:val="0"/>
      <w:divBdr>
        <w:top w:val="none" w:sz="0" w:space="0" w:color="auto"/>
        <w:left w:val="none" w:sz="0" w:space="0" w:color="auto"/>
        <w:bottom w:val="none" w:sz="0" w:space="0" w:color="auto"/>
        <w:right w:val="none" w:sz="0" w:space="0" w:color="auto"/>
      </w:divBdr>
    </w:div>
    <w:div w:id="1230459942">
      <w:bodyDiv w:val="1"/>
      <w:marLeft w:val="0"/>
      <w:marRight w:val="0"/>
      <w:marTop w:val="0"/>
      <w:marBottom w:val="0"/>
      <w:divBdr>
        <w:top w:val="none" w:sz="0" w:space="0" w:color="auto"/>
        <w:left w:val="none" w:sz="0" w:space="0" w:color="auto"/>
        <w:bottom w:val="none" w:sz="0" w:space="0" w:color="auto"/>
        <w:right w:val="none" w:sz="0" w:space="0" w:color="auto"/>
      </w:divBdr>
    </w:div>
    <w:div w:id="1230993769">
      <w:bodyDiv w:val="1"/>
      <w:marLeft w:val="0"/>
      <w:marRight w:val="0"/>
      <w:marTop w:val="0"/>
      <w:marBottom w:val="0"/>
      <w:divBdr>
        <w:top w:val="none" w:sz="0" w:space="0" w:color="auto"/>
        <w:left w:val="none" w:sz="0" w:space="0" w:color="auto"/>
        <w:bottom w:val="none" w:sz="0" w:space="0" w:color="auto"/>
        <w:right w:val="none" w:sz="0" w:space="0" w:color="auto"/>
      </w:divBdr>
    </w:div>
    <w:div w:id="1231579639">
      <w:bodyDiv w:val="1"/>
      <w:marLeft w:val="0"/>
      <w:marRight w:val="0"/>
      <w:marTop w:val="0"/>
      <w:marBottom w:val="0"/>
      <w:divBdr>
        <w:top w:val="none" w:sz="0" w:space="0" w:color="auto"/>
        <w:left w:val="none" w:sz="0" w:space="0" w:color="auto"/>
        <w:bottom w:val="none" w:sz="0" w:space="0" w:color="auto"/>
        <w:right w:val="none" w:sz="0" w:space="0" w:color="auto"/>
      </w:divBdr>
    </w:div>
    <w:div w:id="1231773350">
      <w:bodyDiv w:val="1"/>
      <w:marLeft w:val="0"/>
      <w:marRight w:val="0"/>
      <w:marTop w:val="0"/>
      <w:marBottom w:val="0"/>
      <w:divBdr>
        <w:top w:val="none" w:sz="0" w:space="0" w:color="auto"/>
        <w:left w:val="none" w:sz="0" w:space="0" w:color="auto"/>
        <w:bottom w:val="none" w:sz="0" w:space="0" w:color="auto"/>
        <w:right w:val="none" w:sz="0" w:space="0" w:color="auto"/>
      </w:divBdr>
    </w:div>
    <w:div w:id="1232081356">
      <w:bodyDiv w:val="1"/>
      <w:marLeft w:val="0"/>
      <w:marRight w:val="0"/>
      <w:marTop w:val="0"/>
      <w:marBottom w:val="0"/>
      <w:divBdr>
        <w:top w:val="none" w:sz="0" w:space="0" w:color="auto"/>
        <w:left w:val="none" w:sz="0" w:space="0" w:color="auto"/>
        <w:bottom w:val="none" w:sz="0" w:space="0" w:color="auto"/>
        <w:right w:val="none" w:sz="0" w:space="0" w:color="auto"/>
      </w:divBdr>
    </w:div>
    <w:div w:id="1232733626">
      <w:bodyDiv w:val="1"/>
      <w:marLeft w:val="0"/>
      <w:marRight w:val="0"/>
      <w:marTop w:val="0"/>
      <w:marBottom w:val="0"/>
      <w:divBdr>
        <w:top w:val="none" w:sz="0" w:space="0" w:color="auto"/>
        <w:left w:val="none" w:sz="0" w:space="0" w:color="auto"/>
        <w:bottom w:val="none" w:sz="0" w:space="0" w:color="auto"/>
        <w:right w:val="none" w:sz="0" w:space="0" w:color="auto"/>
      </w:divBdr>
    </w:div>
    <w:div w:id="1233196075">
      <w:bodyDiv w:val="1"/>
      <w:marLeft w:val="0"/>
      <w:marRight w:val="0"/>
      <w:marTop w:val="0"/>
      <w:marBottom w:val="0"/>
      <w:divBdr>
        <w:top w:val="none" w:sz="0" w:space="0" w:color="auto"/>
        <w:left w:val="none" w:sz="0" w:space="0" w:color="auto"/>
        <w:bottom w:val="none" w:sz="0" w:space="0" w:color="auto"/>
        <w:right w:val="none" w:sz="0" w:space="0" w:color="auto"/>
      </w:divBdr>
    </w:div>
    <w:div w:id="1233781787">
      <w:bodyDiv w:val="1"/>
      <w:marLeft w:val="0"/>
      <w:marRight w:val="0"/>
      <w:marTop w:val="0"/>
      <w:marBottom w:val="0"/>
      <w:divBdr>
        <w:top w:val="none" w:sz="0" w:space="0" w:color="auto"/>
        <w:left w:val="none" w:sz="0" w:space="0" w:color="auto"/>
        <w:bottom w:val="none" w:sz="0" w:space="0" w:color="auto"/>
        <w:right w:val="none" w:sz="0" w:space="0" w:color="auto"/>
      </w:divBdr>
    </w:div>
    <w:div w:id="1235628517">
      <w:bodyDiv w:val="1"/>
      <w:marLeft w:val="0"/>
      <w:marRight w:val="0"/>
      <w:marTop w:val="0"/>
      <w:marBottom w:val="0"/>
      <w:divBdr>
        <w:top w:val="none" w:sz="0" w:space="0" w:color="auto"/>
        <w:left w:val="none" w:sz="0" w:space="0" w:color="auto"/>
        <w:bottom w:val="none" w:sz="0" w:space="0" w:color="auto"/>
        <w:right w:val="none" w:sz="0" w:space="0" w:color="auto"/>
      </w:divBdr>
    </w:div>
    <w:div w:id="1236747598">
      <w:bodyDiv w:val="1"/>
      <w:marLeft w:val="0"/>
      <w:marRight w:val="0"/>
      <w:marTop w:val="0"/>
      <w:marBottom w:val="0"/>
      <w:divBdr>
        <w:top w:val="none" w:sz="0" w:space="0" w:color="auto"/>
        <w:left w:val="none" w:sz="0" w:space="0" w:color="auto"/>
        <w:bottom w:val="none" w:sz="0" w:space="0" w:color="auto"/>
        <w:right w:val="none" w:sz="0" w:space="0" w:color="auto"/>
      </w:divBdr>
    </w:div>
    <w:div w:id="1237478868">
      <w:bodyDiv w:val="1"/>
      <w:marLeft w:val="0"/>
      <w:marRight w:val="0"/>
      <w:marTop w:val="0"/>
      <w:marBottom w:val="0"/>
      <w:divBdr>
        <w:top w:val="none" w:sz="0" w:space="0" w:color="auto"/>
        <w:left w:val="none" w:sz="0" w:space="0" w:color="auto"/>
        <w:bottom w:val="none" w:sz="0" w:space="0" w:color="auto"/>
        <w:right w:val="none" w:sz="0" w:space="0" w:color="auto"/>
      </w:divBdr>
    </w:div>
    <w:div w:id="1237862302">
      <w:bodyDiv w:val="1"/>
      <w:marLeft w:val="0"/>
      <w:marRight w:val="0"/>
      <w:marTop w:val="0"/>
      <w:marBottom w:val="0"/>
      <w:divBdr>
        <w:top w:val="none" w:sz="0" w:space="0" w:color="auto"/>
        <w:left w:val="none" w:sz="0" w:space="0" w:color="auto"/>
        <w:bottom w:val="none" w:sz="0" w:space="0" w:color="auto"/>
        <w:right w:val="none" w:sz="0" w:space="0" w:color="auto"/>
      </w:divBdr>
    </w:div>
    <w:div w:id="1238323932">
      <w:bodyDiv w:val="1"/>
      <w:marLeft w:val="0"/>
      <w:marRight w:val="0"/>
      <w:marTop w:val="0"/>
      <w:marBottom w:val="0"/>
      <w:divBdr>
        <w:top w:val="none" w:sz="0" w:space="0" w:color="auto"/>
        <w:left w:val="none" w:sz="0" w:space="0" w:color="auto"/>
        <w:bottom w:val="none" w:sz="0" w:space="0" w:color="auto"/>
        <w:right w:val="none" w:sz="0" w:space="0" w:color="auto"/>
      </w:divBdr>
    </w:div>
    <w:div w:id="1239897353">
      <w:bodyDiv w:val="1"/>
      <w:marLeft w:val="0"/>
      <w:marRight w:val="0"/>
      <w:marTop w:val="0"/>
      <w:marBottom w:val="0"/>
      <w:divBdr>
        <w:top w:val="none" w:sz="0" w:space="0" w:color="auto"/>
        <w:left w:val="none" w:sz="0" w:space="0" w:color="auto"/>
        <w:bottom w:val="none" w:sz="0" w:space="0" w:color="auto"/>
        <w:right w:val="none" w:sz="0" w:space="0" w:color="auto"/>
      </w:divBdr>
    </w:div>
    <w:div w:id="1241908419">
      <w:bodyDiv w:val="1"/>
      <w:marLeft w:val="0"/>
      <w:marRight w:val="0"/>
      <w:marTop w:val="0"/>
      <w:marBottom w:val="0"/>
      <w:divBdr>
        <w:top w:val="none" w:sz="0" w:space="0" w:color="auto"/>
        <w:left w:val="none" w:sz="0" w:space="0" w:color="auto"/>
        <w:bottom w:val="none" w:sz="0" w:space="0" w:color="auto"/>
        <w:right w:val="none" w:sz="0" w:space="0" w:color="auto"/>
      </w:divBdr>
    </w:div>
    <w:div w:id="1242181128">
      <w:bodyDiv w:val="1"/>
      <w:marLeft w:val="0"/>
      <w:marRight w:val="0"/>
      <w:marTop w:val="0"/>
      <w:marBottom w:val="0"/>
      <w:divBdr>
        <w:top w:val="none" w:sz="0" w:space="0" w:color="auto"/>
        <w:left w:val="none" w:sz="0" w:space="0" w:color="auto"/>
        <w:bottom w:val="none" w:sz="0" w:space="0" w:color="auto"/>
        <w:right w:val="none" w:sz="0" w:space="0" w:color="auto"/>
      </w:divBdr>
    </w:div>
    <w:div w:id="1242251244">
      <w:bodyDiv w:val="1"/>
      <w:marLeft w:val="0"/>
      <w:marRight w:val="0"/>
      <w:marTop w:val="0"/>
      <w:marBottom w:val="0"/>
      <w:divBdr>
        <w:top w:val="none" w:sz="0" w:space="0" w:color="auto"/>
        <w:left w:val="none" w:sz="0" w:space="0" w:color="auto"/>
        <w:bottom w:val="none" w:sz="0" w:space="0" w:color="auto"/>
        <w:right w:val="none" w:sz="0" w:space="0" w:color="auto"/>
      </w:divBdr>
    </w:div>
    <w:div w:id="1243024582">
      <w:bodyDiv w:val="1"/>
      <w:marLeft w:val="0"/>
      <w:marRight w:val="0"/>
      <w:marTop w:val="0"/>
      <w:marBottom w:val="0"/>
      <w:divBdr>
        <w:top w:val="none" w:sz="0" w:space="0" w:color="auto"/>
        <w:left w:val="none" w:sz="0" w:space="0" w:color="auto"/>
        <w:bottom w:val="none" w:sz="0" w:space="0" w:color="auto"/>
        <w:right w:val="none" w:sz="0" w:space="0" w:color="auto"/>
      </w:divBdr>
    </w:div>
    <w:div w:id="1243099965">
      <w:bodyDiv w:val="1"/>
      <w:marLeft w:val="0"/>
      <w:marRight w:val="0"/>
      <w:marTop w:val="0"/>
      <w:marBottom w:val="0"/>
      <w:divBdr>
        <w:top w:val="none" w:sz="0" w:space="0" w:color="auto"/>
        <w:left w:val="none" w:sz="0" w:space="0" w:color="auto"/>
        <w:bottom w:val="none" w:sz="0" w:space="0" w:color="auto"/>
        <w:right w:val="none" w:sz="0" w:space="0" w:color="auto"/>
      </w:divBdr>
    </w:div>
    <w:div w:id="1243830078">
      <w:bodyDiv w:val="1"/>
      <w:marLeft w:val="0"/>
      <w:marRight w:val="0"/>
      <w:marTop w:val="0"/>
      <w:marBottom w:val="0"/>
      <w:divBdr>
        <w:top w:val="none" w:sz="0" w:space="0" w:color="auto"/>
        <w:left w:val="none" w:sz="0" w:space="0" w:color="auto"/>
        <w:bottom w:val="none" w:sz="0" w:space="0" w:color="auto"/>
        <w:right w:val="none" w:sz="0" w:space="0" w:color="auto"/>
      </w:divBdr>
    </w:div>
    <w:div w:id="1244030113">
      <w:bodyDiv w:val="1"/>
      <w:marLeft w:val="0"/>
      <w:marRight w:val="0"/>
      <w:marTop w:val="0"/>
      <w:marBottom w:val="0"/>
      <w:divBdr>
        <w:top w:val="none" w:sz="0" w:space="0" w:color="auto"/>
        <w:left w:val="none" w:sz="0" w:space="0" w:color="auto"/>
        <w:bottom w:val="none" w:sz="0" w:space="0" w:color="auto"/>
        <w:right w:val="none" w:sz="0" w:space="0" w:color="auto"/>
      </w:divBdr>
    </w:div>
    <w:div w:id="1244267429">
      <w:bodyDiv w:val="1"/>
      <w:marLeft w:val="0"/>
      <w:marRight w:val="0"/>
      <w:marTop w:val="0"/>
      <w:marBottom w:val="0"/>
      <w:divBdr>
        <w:top w:val="none" w:sz="0" w:space="0" w:color="auto"/>
        <w:left w:val="none" w:sz="0" w:space="0" w:color="auto"/>
        <w:bottom w:val="none" w:sz="0" w:space="0" w:color="auto"/>
        <w:right w:val="none" w:sz="0" w:space="0" w:color="auto"/>
      </w:divBdr>
    </w:div>
    <w:div w:id="1245068837">
      <w:bodyDiv w:val="1"/>
      <w:marLeft w:val="0"/>
      <w:marRight w:val="0"/>
      <w:marTop w:val="0"/>
      <w:marBottom w:val="0"/>
      <w:divBdr>
        <w:top w:val="none" w:sz="0" w:space="0" w:color="auto"/>
        <w:left w:val="none" w:sz="0" w:space="0" w:color="auto"/>
        <w:bottom w:val="none" w:sz="0" w:space="0" w:color="auto"/>
        <w:right w:val="none" w:sz="0" w:space="0" w:color="auto"/>
      </w:divBdr>
    </w:div>
    <w:div w:id="1245069066">
      <w:bodyDiv w:val="1"/>
      <w:marLeft w:val="0"/>
      <w:marRight w:val="0"/>
      <w:marTop w:val="0"/>
      <w:marBottom w:val="0"/>
      <w:divBdr>
        <w:top w:val="none" w:sz="0" w:space="0" w:color="auto"/>
        <w:left w:val="none" w:sz="0" w:space="0" w:color="auto"/>
        <w:bottom w:val="none" w:sz="0" w:space="0" w:color="auto"/>
        <w:right w:val="none" w:sz="0" w:space="0" w:color="auto"/>
      </w:divBdr>
    </w:div>
    <w:div w:id="1245334750">
      <w:bodyDiv w:val="1"/>
      <w:marLeft w:val="0"/>
      <w:marRight w:val="0"/>
      <w:marTop w:val="0"/>
      <w:marBottom w:val="0"/>
      <w:divBdr>
        <w:top w:val="none" w:sz="0" w:space="0" w:color="auto"/>
        <w:left w:val="none" w:sz="0" w:space="0" w:color="auto"/>
        <w:bottom w:val="none" w:sz="0" w:space="0" w:color="auto"/>
        <w:right w:val="none" w:sz="0" w:space="0" w:color="auto"/>
      </w:divBdr>
    </w:div>
    <w:div w:id="1246453233">
      <w:bodyDiv w:val="1"/>
      <w:marLeft w:val="0"/>
      <w:marRight w:val="0"/>
      <w:marTop w:val="0"/>
      <w:marBottom w:val="0"/>
      <w:divBdr>
        <w:top w:val="none" w:sz="0" w:space="0" w:color="auto"/>
        <w:left w:val="none" w:sz="0" w:space="0" w:color="auto"/>
        <w:bottom w:val="none" w:sz="0" w:space="0" w:color="auto"/>
        <w:right w:val="none" w:sz="0" w:space="0" w:color="auto"/>
      </w:divBdr>
    </w:div>
    <w:div w:id="1246500643">
      <w:bodyDiv w:val="1"/>
      <w:marLeft w:val="0"/>
      <w:marRight w:val="0"/>
      <w:marTop w:val="0"/>
      <w:marBottom w:val="0"/>
      <w:divBdr>
        <w:top w:val="none" w:sz="0" w:space="0" w:color="auto"/>
        <w:left w:val="none" w:sz="0" w:space="0" w:color="auto"/>
        <w:bottom w:val="none" w:sz="0" w:space="0" w:color="auto"/>
        <w:right w:val="none" w:sz="0" w:space="0" w:color="auto"/>
      </w:divBdr>
    </w:div>
    <w:div w:id="1248884775">
      <w:bodyDiv w:val="1"/>
      <w:marLeft w:val="0"/>
      <w:marRight w:val="0"/>
      <w:marTop w:val="0"/>
      <w:marBottom w:val="0"/>
      <w:divBdr>
        <w:top w:val="none" w:sz="0" w:space="0" w:color="auto"/>
        <w:left w:val="none" w:sz="0" w:space="0" w:color="auto"/>
        <w:bottom w:val="none" w:sz="0" w:space="0" w:color="auto"/>
        <w:right w:val="none" w:sz="0" w:space="0" w:color="auto"/>
      </w:divBdr>
    </w:div>
    <w:div w:id="1249734462">
      <w:bodyDiv w:val="1"/>
      <w:marLeft w:val="0"/>
      <w:marRight w:val="0"/>
      <w:marTop w:val="0"/>
      <w:marBottom w:val="0"/>
      <w:divBdr>
        <w:top w:val="none" w:sz="0" w:space="0" w:color="auto"/>
        <w:left w:val="none" w:sz="0" w:space="0" w:color="auto"/>
        <w:bottom w:val="none" w:sz="0" w:space="0" w:color="auto"/>
        <w:right w:val="none" w:sz="0" w:space="0" w:color="auto"/>
      </w:divBdr>
    </w:div>
    <w:div w:id="1250654065">
      <w:bodyDiv w:val="1"/>
      <w:marLeft w:val="0"/>
      <w:marRight w:val="0"/>
      <w:marTop w:val="0"/>
      <w:marBottom w:val="0"/>
      <w:divBdr>
        <w:top w:val="none" w:sz="0" w:space="0" w:color="auto"/>
        <w:left w:val="none" w:sz="0" w:space="0" w:color="auto"/>
        <w:bottom w:val="none" w:sz="0" w:space="0" w:color="auto"/>
        <w:right w:val="none" w:sz="0" w:space="0" w:color="auto"/>
      </w:divBdr>
    </w:div>
    <w:div w:id="1250849309">
      <w:bodyDiv w:val="1"/>
      <w:marLeft w:val="0"/>
      <w:marRight w:val="0"/>
      <w:marTop w:val="0"/>
      <w:marBottom w:val="0"/>
      <w:divBdr>
        <w:top w:val="none" w:sz="0" w:space="0" w:color="auto"/>
        <w:left w:val="none" w:sz="0" w:space="0" w:color="auto"/>
        <w:bottom w:val="none" w:sz="0" w:space="0" w:color="auto"/>
        <w:right w:val="none" w:sz="0" w:space="0" w:color="auto"/>
      </w:divBdr>
    </w:div>
    <w:div w:id="1253735516">
      <w:bodyDiv w:val="1"/>
      <w:marLeft w:val="0"/>
      <w:marRight w:val="0"/>
      <w:marTop w:val="0"/>
      <w:marBottom w:val="0"/>
      <w:divBdr>
        <w:top w:val="none" w:sz="0" w:space="0" w:color="auto"/>
        <w:left w:val="none" w:sz="0" w:space="0" w:color="auto"/>
        <w:bottom w:val="none" w:sz="0" w:space="0" w:color="auto"/>
        <w:right w:val="none" w:sz="0" w:space="0" w:color="auto"/>
      </w:divBdr>
    </w:div>
    <w:div w:id="1254122572">
      <w:bodyDiv w:val="1"/>
      <w:marLeft w:val="0"/>
      <w:marRight w:val="0"/>
      <w:marTop w:val="0"/>
      <w:marBottom w:val="0"/>
      <w:divBdr>
        <w:top w:val="none" w:sz="0" w:space="0" w:color="auto"/>
        <w:left w:val="none" w:sz="0" w:space="0" w:color="auto"/>
        <w:bottom w:val="none" w:sz="0" w:space="0" w:color="auto"/>
        <w:right w:val="none" w:sz="0" w:space="0" w:color="auto"/>
      </w:divBdr>
    </w:div>
    <w:div w:id="1255046046">
      <w:bodyDiv w:val="1"/>
      <w:marLeft w:val="0"/>
      <w:marRight w:val="0"/>
      <w:marTop w:val="0"/>
      <w:marBottom w:val="0"/>
      <w:divBdr>
        <w:top w:val="none" w:sz="0" w:space="0" w:color="auto"/>
        <w:left w:val="none" w:sz="0" w:space="0" w:color="auto"/>
        <w:bottom w:val="none" w:sz="0" w:space="0" w:color="auto"/>
        <w:right w:val="none" w:sz="0" w:space="0" w:color="auto"/>
      </w:divBdr>
    </w:div>
    <w:div w:id="1257666296">
      <w:bodyDiv w:val="1"/>
      <w:marLeft w:val="0"/>
      <w:marRight w:val="0"/>
      <w:marTop w:val="0"/>
      <w:marBottom w:val="0"/>
      <w:divBdr>
        <w:top w:val="none" w:sz="0" w:space="0" w:color="auto"/>
        <w:left w:val="none" w:sz="0" w:space="0" w:color="auto"/>
        <w:bottom w:val="none" w:sz="0" w:space="0" w:color="auto"/>
        <w:right w:val="none" w:sz="0" w:space="0" w:color="auto"/>
      </w:divBdr>
    </w:div>
    <w:div w:id="1257980197">
      <w:bodyDiv w:val="1"/>
      <w:marLeft w:val="0"/>
      <w:marRight w:val="0"/>
      <w:marTop w:val="0"/>
      <w:marBottom w:val="0"/>
      <w:divBdr>
        <w:top w:val="none" w:sz="0" w:space="0" w:color="auto"/>
        <w:left w:val="none" w:sz="0" w:space="0" w:color="auto"/>
        <w:bottom w:val="none" w:sz="0" w:space="0" w:color="auto"/>
        <w:right w:val="none" w:sz="0" w:space="0" w:color="auto"/>
      </w:divBdr>
    </w:div>
    <w:div w:id="1258362921">
      <w:bodyDiv w:val="1"/>
      <w:marLeft w:val="0"/>
      <w:marRight w:val="0"/>
      <w:marTop w:val="0"/>
      <w:marBottom w:val="0"/>
      <w:divBdr>
        <w:top w:val="none" w:sz="0" w:space="0" w:color="auto"/>
        <w:left w:val="none" w:sz="0" w:space="0" w:color="auto"/>
        <w:bottom w:val="none" w:sz="0" w:space="0" w:color="auto"/>
        <w:right w:val="none" w:sz="0" w:space="0" w:color="auto"/>
      </w:divBdr>
    </w:div>
    <w:div w:id="1259099974">
      <w:bodyDiv w:val="1"/>
      <w:marLeft w:val="0"/>
      <w:marRight w:val="0"/>
      <w:marTop w:val="0"/>
      <w:marBottom w:val="0"/>
      <w:divBdr>
        <w:top w:val="none" w:sz="0" w:space="0" w:color="auto"/>
        <w:left w:val="none" w:sz="0" w:space="0" w:color="auto"/>
        <w:bottom w:val="none" w:sz="0" w:space="0" w:color="auto"/>
        <w:right w:val="none" w:sz="0" w:space="0" w:color="auto"/>
      </w:divBdr>
    </w:div>
    <w:div w:id="1259289054">
      <w:bodyDiv w:val="1"/>
      <w:marLeft w:val="0"/>
      <w:marRight w:val="0"/>
      <w:marTop w:val="0"/>
      <w:marBottom w:val="0"/>
      <w:divBdr>
        <w:top w:val="none" w:sz="0" w:space="0" w:color="auto"/>
        <w:left w:val="none" w:sz="0" w:space="0" w:color="auto"/>
        <w:bottom w:val="none" w:sz="0" w:space="0" w:color="auto"/>
        <w:right w:val="none" w:sz="0" w:space="0" w:color="auto"/>
      </w:divBdr>
    </w:div>
    <w:div w:id="1259632574">
      <w:bodyDiv w:val="1"/>
      <w:marLeft w:val="0"/>
      <w:marRight w:val="0"/>
      <w:marTop w:val="0"/>
      <w:marBottom w:val="0"/>
      <w:divBdr>
        <w:top w:val="none" w:sz="0" w:space="0" w:color="auto"/>
        <w:left w:val="none" w:sz="0" w:space="0" w:color="auto"/>
        <w:bottom w:val="none" w:sz="0" w:space="0" w:color="auto"/>
        <w:right w:val="none" w:sz="0" w:space="0" w:color="auto"/>
      </w:divBdr>
    </w:div>
    <w:div w:id="1260019674">
      <w:bodyDiv w:val="1"/>
      <w:marLeft w:val="0"/>
      <w:marRight w:val="0"/>
      <w:marTop w:val="0"/>
      <w:marBottom w:val="0"/>
      <w:divBdr>
        <w:top w:val="none" w:sz="0" w:space="0" w:color="auto"/>
        <w:left w:val="none" w:sz="0" w:space="0" w:color="auto"/>
        <w:bottom w:val="none" w:sz="0" w:space="0" w:color="auto"/>
        <w:right w:val="none" w:sz="0" w:space="0" w:color="auto"/>
      </w:divBdr>
    </w:div>
    <w:div w:id="1260602745">
      <w:bodyDiv w:val="1"/>
      <w:marLeft w:val="0"/>
      <w:marRight w:val="0"/>
      <w:marTop w:val="0"/>
      <w:marBottom w:val="0"/>
      <w:divBdr>
        <w:top w:val="none" w:sz="0" w:space="0" w:color="auto"/>
        <w:left w:val="none" w:sz="0" w:space="0" w:color="auto"/>
        <w:bottom w:val="none" w:sz="0" w:space="0" w:color="auto"/>
        <w:right w:val="none" w:sz="0" w:space="0" w:color="auto"/>
      </w:divBdr>
    </w:div>
    <w:div w:id="1260721805">
      <w:bodyDiv w:val="1"/>
      <w:marLeft w:val="0"/>
      <w:marRight w:val="0"/>
      <w:marTop w:val="0"/>
      <w:marBottom w:val="0"/>
      <w:divBdr>
        <w:top w:val="none" w:sz="0" w:space="0" w:color="auto"/>
        <w:left w:val="none" w:sz="0" w:space="0" w:color="auto"/>
        <w:bottom w:val="none" w:sz="0" w:space="0" w:color="auto"/>
        <w:right w:val="none" w:sz="0" w:space="0" w:color="auto"/>
      </w:divBdr>
    </w:div>
    <w:div w:id="1260867020">
      <w:bodyDiv w:val="1"/>
      <w:marLeft w:val="0"/>
      <w:marRight w:val="0"/>
      <w:marTop w:val="0"/>
      <w:marBottom w:val="0"/>
      <w:divBdr>
        <w:top w:val="none" w:sz="0" w:space="0" w:color="auto"/>
        <w:left w:val="none" w:sz="0" w:space="0" w:color="auto"/>
        <w:bottom w:val="none" w:sz="0" w:space="0" w:color="auto"/>
        <w:right w:val="none" w:sz="0" w:space="0" w:color="auto"/>
      </w:divBdr>
    </w:div>
    <w:div w:id="1261183828">
      <w:bodyDiv w:val="1"/>
      <w:marLeft w:val="0"/>
      <w:marRight w:val="0"/>
      <w:marTop w:val="0"/>
      <w:marBottom w:val="0"/>
      <w:divBdr>
        <w:top w:val="none" w:sz="0" w:space="0" w:color="auto"/>
        <w:left w:val="none" w:sz="0" w:space="0" w:color="auto"/>
        <w:bottom w:val="none" w:sz="0" w:space="0" w:color="auto"/>
        <w:right w:val="none" w:sz="0" w:space="0" w:color="auto"/>
      </w:divBdr>
    </w:div>
    <w:div w:id="1261765569">
      <w:bodyDiv w:val="1"/>
      <w:marLeft w:val="0"/>
      <w:marRight w:val="0"/>
      <w:marTop w:val="0"/>
      <w:marBottom w:val="0"/>
      <w:divBdr>
        <w:top w:val="none" w:sz="0" w:space="0" w:color="auto"/>
        <w:left w:val="none" w:sz="0" w:space="0" w:color="auto"/>
        <w:bottom w:val="none" w:sz="0" w:space="0" w:color="auto"/>
        <w:right w:val="none" w:sz="0" w:space="0" w:color="auto"/>
      </w:divBdr>
    </w:div>
    <w:div w:id="1261766362">
      <w:bodyDiv w:val="1"/>
      <w:marLeft w:val="0"/>
      <w:marRight w:val="0"/>
      <w:marTop w:val="0"/>
      <w:marBottom w:val="0"/>
      <w:divBdr>
        <w:top w:val="none" w:sz="0" w:space="0" w:color="auto"/>
        <w:left w:val="none" w:sz="0" w:space="0" w:color="auto"/>
        <w:bottom w:val="none" w:sz="0" w:space="0" w:color="auto"/>
        <w:right w:val="none" w:sz="0" w:space="0" w:color="auto"/>
      </w:divBdr>
    </w:div>
    <w:div w:id="1261832556">
      <w:bodyDiv w:val="1"/>
      <w:marLeft w:val="0"/>
      <w:marRight w:val="0"/>
      <w:marTop w:val="0"/>
      <w:marBottom w:val="0"/>
      <w:divBdr>
        <w:top w:val="none" w:sz="0" w:space="0" w:color="auto"/>
        <w:left w:val="none" w:sz="0" w:space="0" w:color="auto"/>
        <w:bottom w:val="none" w:sz="0" w:space="0" w:color="auto"/>
        <w:right w:val="none" w:sz="0" w:space="0" w:color="auto"/>
      </w:divBdr>
    </w:div>
    <w:div w:id="1262034893">
      <w:bodyDiv w:val="1"/>
      <w:marLeft w:val="0"/>
      <w:marRight w:val="0"/>
      <w:marTop w:val="0"/>
      <w:marBottom w:val="0"/>
      <w:divBdr>
        <w:top w:val="none" w:sz="0" w:space="0" w:color="auto"/>
        <w:left w:val="none" w:sz="0" w:space="0" w:color="auto"/>
        <w:bottom w:val="none" w:sz="0" w:space="0" w:color="auto"/>
        <w:right w:val="none" w:sz="0" w:space="0" w:color="auto"/>
      </w:divBdr>
    </w:div>
    <w:div w:id="1262059403">
      <w:bodyDiv w:val="1"/>
      <w:marLeft w:val="0"/>
      <w:marRight w:val="0"/>
      <w:marTop w:val="0"/>
      <w:marBottom w:val="0"/>
      <w:divBdr>
        <w:top w:val="none" w:sz="0" w:space="0" w:color="auto"/>
        <w:left w:val="none" w:sz="0" w:space="0" w:color="auto"/>
        <w:bottom w:val="none" w:sz="0" w:space="0" w:color="auto"/>
        <w:right w:val="none" w:sz="0" w:space="0" w:color="auto"/>
      </w:divBdr>
    </w:div>
    <w:div w:id="1263803804">
      <w:bodyDiv w:val="1"/>
      <w:marLeft w:val="0"/>
      <w:marRight w:val="0"/>
      <w:marTop w:val="0"/>
      <w:marBottom w:val="0"/>
      <w:divBdr>
        <w:top w:val="none" w:sz="0" w:space="0" w:color="auto"/>
        <w:left w:val="none" w:sz="0" w:space="0" w:color="auto"/>
        <w:bottom w:val="none" w:sz="0" w:space="0" w:color="auto"/>
        <w:right w:val="none" w:sz="0" w:space="0" w:color="auto"/>
      </w:divBdr>
    </w:div>
    <w:div w:id="1265455807">
      <w:bodyDiv w:val="1"/>
      <w:marLeft w:val="0"/>
      <w:marRight w:val="0"/>
      <w:marTop w:val="0"/>
      <w:marBottom w:val="0"/>
      <w:divBdr>
        <w:top w:val="none" w:sz="0" w:space="0" w:color="auto"/>
        <w:left w:val="none" w:sz="0" w:space="0" w:color="auto"/>
        <w:bottom w:val="none" w:sz="0" w:space="0" w:color="auto"/>
        <w:right w:val="none" w:sz="0" w:space="0" w:color="auto"/>
      </w:divBdr>
    </w:div>
    <w:div w:id="1265917642">
      <w:bodyDiv w:val="1"/>
      <w:marLeft w:val="0"/>
      <w:marRight w:val="0"/>
      <w:marTop w:val="0"/>
      <w:marBottom w:val="0"/>
      <w:divBdr>
        <w:top w:val="none" w:sz="0" w:space="0" w:color="auto"/>
        <w:left w:val="none" w:sz="0" w:space="0" w:color="auto"/>
        <w:bottom w:val="none" w:sz="0" w:space="0" w:color="auto"/>
        <w:right w:val="none" w:sz="0" w:space="0" w:color="auto"/>
      </w:divBdr>
    </w:div>
    <w:div w:id="1266619542">
      <w:bodyDiv w:val="1"/>
      <w:marLeft w:val="0"/>
      <w:marRight w:val="0"/>
      <w:marTop w:val="0"/>
      <w:marBottom w:val="0"/>
      <w:divBdr>
        <w:top w:val="none" w:sz="0" w:space="0" w:color="auto"/>
        <w:left w:val="none" w:sz="0" w:space="0" w:color="auto"/>
        <w:bottom w:val="none" w:sz="0" w:space="0" w:color="auto"/>
        <w:right w:val="none" w:sz="0" w:space="0" w:color="auto"/>
      </w:divBdr>
    </w:div>
    <w:div w:id="1267497188">
      <w:bodyDiv w:val="1"/>
      <w:marLeft w:val="0"/>
      <w:marRight w:val="0"/>
      <w:marTop w:val="0"/>
      <w:marBottom w:val="0"/>
      <w:divBdr>
        <w:top w:val="none" w:sz="0" w:space="0" w:color="auto"/>
        <w:left w:val="none" w:sz="0" w:space="0" w:color="auto"/>
        <w:bottom w:val="none" w:sz="0" w:space="0" w:color="auto"/>
        <w:right w:val="none" w:sz="0" w:space="0" w:color="auto"/>
      </w:divBdr>
    </w:div>
    <w:div w:id="1267544942">
      <w:bodyDiv w:val="1"/>
      <w:marLeft w:val="0"/>
      <w:marRight w:val="0"/>
      <w:marTop w:val="0"/>
      <w:marBottom w:val="0"/>
      <w:divBdr>
        <w:top w:val="none" w:sz="0" w:space="0" w:color="auto"/>
        <w:left w:val="none" w:sz="0" w:space="0" w:color="auto"/>
        <w:bottom w:val="none" w:sz="0" w:space="0" w:color="auto"/>
        <w:right w:val="none" w:sz="0" w:space="0" w:color="auto"/>
      </w:divBdr>
    </w:div>
    <w:div w:id="1268003262">
      <w:bodyDiv w:val="1"/>
      <w:marLeft w:val="0"/>
      <w:marRight w:val="0"/>
      <w:marTop w:val="0"/>
      <w:marBottom w:val="0"/>
      <w:divBdr>
        <w:top w:val="none" w:sz="0" w:space="0" w:color="auto"/>
        <w:left w:val="none" w:sz="0" w:space="0" w:color="auto"/>
        <w:bottom w:val="none" w:sz="0" w:space="0" w:color="auto"/>
        <w:right w:val="none" w:sz="0" w:space="0" w:color="auto"/>
      </w:divBdr>
    </w:div>
    <w:div w:id="1268276773">
      <w:bodyDiv w:val="1"/>
      <w:marLeft w:val="0"/>
      <w:marRight w:val="0"/>
      <w:marTop w:val="0"/>
      <w:marBottom w:val="0"/>
      <w:divBdr>
        <w:top w:val="none" w:sz="0" w:space="0" w:color="auto"/>
        <w:left w:val="none" w:sz="0" w:space="0" w:color="auto"/>
        <w:bottom w:val="none" w:sz="0" w:space="0" w:color="auto"/>
        <w:right w:val="none" w:sz="0" w:space="0" w:color="auto"/>
      </w:divBdr>
    </w:div>
    <w:div w:id="1268389986">
      <w:bodyDiv w:val="1"/>
      <w:marLeft w:val="0"/>
      <w:marRight w:val="0"/>
      <w:marTop w:val="0"/>
      <w:marBottom w:val="0"/>
      <w:divBdr>
        <w:top w:val="none" w:sz="0" w:space="0" w:color="auto"/>
        <w:left w:val="none" w:sz="0" w:space="0" w:color="auto"/>
        <w:bottom w:val="none" w:sz="0" w:space="0" w:color="auto"/>
        <w:right w:val="none" w:sz="0" w:space="0" w:color="auto"/>
      </w:divBdr>
    </w:div>
    <w:div w:id="1269393872">
      <w:bodyDiv w:val="1"/>
      <w:marLeft w:val="0"/>
      <w:marRight w:val="0"/>
      <w:marTop w:val="0"/>
      <w:marBottom w:val="0"/>
      <w:divBdr>
        <w:top w:val="none" w:sz="0" w:space="0" w:color="auto"/>
        <w:left w:val="none" w:sz="0" w:space="0" w:color="auto"/>
        <w:bottom w:val="none" w:sz="0" w:space="0" w:color="auto"/>
        <w:right w:val="none" w:sz="0" w:space="0" w:color="auto"/>
      </w:divBdr>
    </w:div>
    <w:div w:id="1269660046">
      <w:bodyDiv w:val="1"/>
      <w:marLeft w:val="0"/>
      <w:marRight w:val="0"/>
      <w:marTop w:val="0"/>
      <w:marBottom w:val="0"/>
      <w:divBdr>
        <w:top w:val="none" w:sz="0" w:space="0" w:color="auto"/>
        <w:left w:val="none" w:sz="0" w:space="0" w:color="auto"/>
        <w:bottom w:val="none" w:sz="0" w:space="0" w:color="auto"/>
        <w:right w:val="none" w:sz="0" w:space="0" w:color="auto"/>
      </w:divBdr>
    </w:div>
    <w:div w:id="1269892351">
      <w:bodyDiv w:val="1"/>
      <w:marLeft w:val="0"/>
      <w:marRight w:val="0"/>
      <w:marTop w:val="0"/>
      <w:marBottom w:val="0"/>
      <w:divBdr>
        <w:top w:val="none" w:sz="0" w:space="0" w:color="auto"/>
        <w:left w:val="none" w:sz="0" w:space="0" w:color="auto"/>
        <w:bottom w:val="none" w:sz="0" w:space="0" w:color="auto"/>
        <w:right w:val="none" w:sz="0" w:space="0" w:color="auto"/>
      </w:divBdr>
    </w:div>
    <w:div w:id="1269921911">
      <w:bodyDiv w:val="1"/>
      <w:marLeft w:val="0"/>
      <w:marRight w:val="0"/>
      <w:marTop w:val="0"/>
      <w:marBottom w:val="0"/>
      <w:divBdr>
        <w:top w:val="none" w:sz="0" w:space="0" w:color="auto"/>
        <w:left w:val="none" w:sz="0" w:space="0" w:color="auto"/>
        <w:bottom w:val="none" w:sz="0" w:space="0" w:color="auto"/>
        <w:right w:val="none" w:sz="0" w:space="0" w:color="auto"/>
      </w:divBdr>
    </w:div>
    <w:div w:id="1270357040">
      <w:bodyDiv w:val="1"/>
      <w:marLeft w:val="0"/>
      <w:marRight w:val="0"/>
      <w:marTop w:val="0"/>
      <w:marBottom w:val="0"/>
      <w:divBdr>
        <w:top w:val="none" w:sz="0" w:space="0" w:color="auto"/>
        <w:left w:val="none" w:sz="0" w:space="0" w:color="auto"/>
        <w:bottom w:val="none" w:sz="0" w:space="0" w:color="auto"/>
        <w:right w:val="none" w:sz="0" w:space="0" w:color="auto"/>
      </w:divBdr>
    </w:div>
    <w:div w:id="1270508601">
      <w:bodyDiv w:val="1"/>
      <w:marLeft w:val="0"/>
      <w:marRight w:val="0"/>
      <w:marTop w:val="0"/>
      <w:marBottom w:val="0"/>
      <w:divBdr>
        <w:top w:val="none" w:sz="0" w:space="0" w:color="auto"/>
        <w:left w:val="none" w:sz="0" w:space="0" w:color="auto"/>
        <w:bottom w:val="none" w:sz="0" w:space="0" w:color="auto"/>
        <w:right w:val="none" w:sz="0" w:space="0" w:color="auto"/>
      </w:divBdr>
    </w:div>
    <w:div w:id="1270963749">
      <w:bodyDiv w:val="1"/>
      <w:marLeft w:val="0"/>
      <w:marRight w:val="0"/>
      <w:marTop w:val="0"/>
      <w:marBottom w:val="0"/>
      <w:divBdr>
        <w:top w:val="none" w:sz="0" w:space="0" w:color="auto"/>
        <w:left w:val="none" w:sz="0" w:space="0" w:color="auto"/>
        <w:bottom w:val="none" w:sz="0" w:space="0" w:color="auto"/>
        <w:right w:val="none" w:sz="0" w:space="0" w:color="auto"/>
      </w:divBdr>
    </w:div>
    <w:div w:id="1271353861">
      <w:bodyDiv w:val="1"/>
      <w:marLeft w:val="0"/>
      <w:marRight w:val="0"/>
      <w:marTop w:val="0"/>
      <w:marBottom w:val="0"/>
      <w:divBdr>
        <w:top w:val="none" w:sz="0" w:space="0" w:color="auto"/>
        <w:left w:val="none" w:sz="0" w:space="0" w:color="auto"/>
        <w:bottom w:val="none" w:sz="0" w:space="0" w:color="auto"/>
        <w:right w:val="none" w:sz="0" w:space="0" w:color="auto"/>
      </w:divBdr>
    </w:div>
    <w:div w:id="1271475014">
      <w:bodyDiv w:val="1"/>
      <w:marLeft w:val="0"/>
      <w:marRight w:val="0"/>
      <w:marTop w:val="0"/>
      <w:marBottom w:val="0"/>
      <w:divBdr>
        <w:top w:val="none" w:sz="0" w:space="0" w:color="auto"/>
        <w:left w:val="none" w:sz="0" w:space="0" w:color="auto"/>
        <w:bottom w:val="none" w:sz="0" w:space="0" w:color="auto"/>
        <w:right w:val="none" w:sz="0" w:space="0" w:color="auto"/>
      </w:divBdr>
    </w:div>
    <w:div w:id="1271741060">
      <w:bodyDiv w:val="1"/>
      <w:marLeft w:val="0"/>
      <w:marRight w:val="0"/>
      <w:marTop w:val="0"/>
      <w:marBottom w:val="0"/>
      <w:divBdr>
        <w:top w:val="none" w:sz="0" w:space="0" w:color="auto"/>
        <w:left w:val="none" w:sz="0" w:space="0" w:color="auto"/>
        <w:bottom w:val="none" w:sz="0" w:space="0" w:color="auto"/>
        <w:right w:val="none" w:sz="0" w:space="0" w:color="auto"/>
      </w:divBdr>
    </w:div>
    <w:div w:id="1273826301">
      <w:bodyDiv w:val="1"/>
      <w:marLeft w:val="0"/>
      <w:marRight w:val="0"/>
      <w:marTop w:val="0"/>
      <w:marBottom w:val="0"/>
      <w:divBdr>
        <w:top w:val="none" w:sz="0" w:space="0" w:color="auto"/>
        <w:left w:val="none" w:sz="0" w:space="0" w:color="auto"/>
        <w:bottom w:val="none" w:sz="0" w:space="0" w:color="auto"/>
        <w:right w:val="none" w:sz="0" w:space="0" w:color="auto"/>
      </w:divBdr>
    </w:div>
    <w:div w:id="1273830030">
      <w:bodyDiv w:val="1"/>
      <w:marLeft w:val="0"/>
      <w:marRight w:val="0"/>
      <w:marTop w:val="0"/>
      <w:marBottom w:val="0"/>
      <w:divBdr>
        <w:top w:val="none" w:sz="0" w:space="0" w:color="auto"/>
        <w:left w:val="none" w:sz="0" w:space="0" w:color="auto"/>
        <w:bottom w:val="none" w:sz="0" w:space="0" w:color="auto"/>
        <w:right w:val="none" w:sz="0" w:space="0" w:color="auto"/>
      </w:divBdr>
    </w:div>
    <w:div w:id="1274284615">
      <w:bodyDiv w:val="1"/>
      <w:marLeft w:val="0"/>
      <w:marRight w:val="0"/>
      <w:marTop w:val="0"/>
      <w:marBottom w:val="0"/>
      <w:divBdr>
        <w:top w:val="none" w:sz="0" w:space="0" w:color="auto"/>
        <w:left w:val="none" w:sz="0" w:space="0" w:color="auto"/>
        <w:bottom w:val="none" w:sz="0" w:space="0" w:color="auto"/>
        <w:right w:val="none" w:sz="0" w:space="0" w:color="auto"/>
      </w:divBdr>
    </w:div>
    <w:div w:id="1274484992">
      <w:bodyDiv w:val="1"/>
      <w:marLeft w:val="0"/>
      <w:marRight w:val="0"/>
      <w:marTop w:val="0"/>
      <w:marBottom w:val="0"/>
      <w:divBdr>
        <w:top w:val="none" w:sz="0" w:space="0" w:color="auto"/>
        <w:left w:val="none" w:sz="0" w:space="0" w:color="auto"/>
        <w:bottom w:val="none" w:sz="0" w:space="0" w:color="auto"/>
        <w:right w:val="none" w:sz="0" w:space="0" w:color="auto"/>
      </w:divBdr>
    </w:div>
    <w:div w:id="1274897615">
      <w:bodyDiv w:val="1"/>
      <w:marLeft w:val="0"/>
      <w:marRight w:val="0"/>
      <w:marTop w:val="0"/>
      <w:marBottom w:val="0"/>
      <w:divBdr>
        <w:top w:val="none" w:sz="0" w:space="0" w:color="auto"/>
        <w:left w:val="none" w:sz="0" w:space="0" w:color="auto"/>
        <w:bottom w:val="none" w:sz="0" w:space="0" w:color="auto"/>
        <w:right w:val="none" w:sz="0" w:space="0" w:color="auto"/>
      </w:divBdr>
    </w:div>
    <w:div w:id="1276406232">
      <w:bodyDiv w:val="1"/>
      <w:marLeft w:val="0"/>
      <w:marRight w:val="0"/>
      <w:marTop w:val="0"/>
      <w:marBottom w:val="0"/>
      <w:divBdr>
        <w:top w:val="none" w:sz="0" w:space="0" w:color="auto"/>
        <w:left w:val="none" w:sz="0" w:space="0" w:color="auto"/>
        <w:bottom w:val="none" w:sz="0" w:space="0" w:color="auto"/>
        <w:right w:val="none" w:sz="0" w:space="0" w:color="auto"/>
      </w:divBdr>
    </w:div>
    <w:div w:id="1276449994">
      <w:bodyDiv w:val="1"/>
      <w:marLeft w:val="0"/>
      <w:marRight w:val="0"/>
      <w:marTop w:val="0"/>
      <w:marBottom w:val="0"/>
      <w:divBdr>
        <w:top w:val="none" w:sz="0" w:space="0" w:color="auto"/>
        <w:left w:val="none" w:sz="0" w:space="0" w:color="auto"/>
        <w:bottom w:val="none" w:sz="0" w:space="0" w:color="auto"/>
        <w:right w:val="none" w:sz="0" w:space="0" w:color="auto"/>
      </w:divBdr>
    </w:div>
    <w:div w:id="1276599445">
      <w:bodyDiv w:val="1"/>
      <w:marLeft w:val="0"/>
      <w:marRight w:val="0"/>
      <w:marTop w:val="0"/>
      <w:marBottom w:val="0"/>
      <w:divBdr>
        <w:top w:val="none" w:sz="0" w:space="0" w:color="auto"/>
        <w:left w:val="none" w:sz="0" w:space="0" w:color="auto"/>
        <w:bottom w:val="none" w:sz="0" w:space="0" w:color="auto"/>
        <w:right w:val="none" w:sz="0" w:space="0" w:color="auto"/>
      </w:divBdr>
    </w:div>
    <w:div w:id="1276672353">
      <w:bodyDiv w:val="1"/>
      <w:marLeft w:val="0"/>
      <w:marRight w:val="0"/>
      <w:marTop w:val="0"/>
      <w:marBottom w:val="0"/>
      <w:divBdr>
        <w:top w:val="none" w:sz="0" w:space="0" w:color="auto"/>
        <w:left w:val="none" w:sz="0" w:space="0" w:color="auto"/>
        <w:bottom w:val="none" w:sz="0" w:space="0" w:color="auto"/>
        <w:right w:val="none" w:sz="0" w:space="0" w:color="auto"/>
      </w:divBdr>
    </w:div>
    <w:div w:id="1277181688">
      <w:bodyDiv w:val="1"/>
      <w:marLeft w:val="0"/>
      <w:marRight w:val="0"/>
      <w:marTop w:val="0"/>
      <w:marBottom w:val="0"/>
      <w:divBdr>
        <w:top w:val="none" w:sz="0" w:space="0" w:color="auto"/>
        <w:left w:val="none" w:sz="0" w:space="0" w:color="auto"/>
        <w:bottom w:val="none" w:sz="0" w:space="0" w:color="auto"/>
        <w:right w:val="none" w:sz="0" w:space="0" w:color="auto"/>
      </w:divBdr>
    </w:div>
    <w:div w:id="1277714253">
      <w:bodyDiv w:val="1"/>
      <w:marLeft w:val="0"/>
      <w:marRight w:val="0"/>
      <w:marTop w:val="0"/>
      <w:marBottom w:val="0"/>
      <w:divBdr>
        <w:top w:val="none" w:sz="0" w:space="0" w:color="auto"/>
        <w:left w:val="none" w:sz="0" w:space="0" w:color="auto"/>
        <w:bottom w:val="none" w:sz="0" w:space="0" w:color="auto"/>
        <w:right w:val="none" w:sz="0" w:space="0" w:color="auto"/>
      </w:divBdr>
    </w:div>
    <w:div w:id="1278021287">
      <w:bodyDiv w:val="1"/>
      <w:marLeft w:val="0"/>
      <w:marRight w:val="0"/>
      <w:marTop w:val="0"/>
      <w:marBottom w:val="0"/>
      <w:divBdr>
        <w:top w:val="none" w:sz="0" w:space="0" w:color="auto"/>
        <w:left w:val="none" w:sz="0" w:space="0" w:color="auto"/>
        <w:bottom w:val="none" w:sz="0" w:space="0" w:color="auto"/>
        <w:right w:val="none" w:sz="0" w:space="0" w:color="auto"/>
      </w:divBdr>
    </w:div>
    <w:div w:id="1279027185">
      <w:bodyDiv w:val="1"/>
      <w:marLeft w:val="0"/>
      <w:marRight w:val="0"/>
      <w:marTop w:val="0"/>
      <w:marBottom w:val="0"/>
      <w:divBdr>
        <w:top w:val="none" w:sz="0" w:space="0" w:color="auto"/>
        <w:left w:val="none" w:sz="0" w:space="0" w:color="auto"/>
        <w:bottom w:val="none" w:sz="0" w:space="0" w:color="auto"/>
        <w:right w:val="none" w:sz="0" w:space="0" w:color="auto"/>
      </w:divBdr>
    </w:div>
    <w:div w:id="1279218781">
      <w:bodyDiv w:val="1"/>
      <w:marLeft w:val="0"/>
      <w:marRight w:val="0"/>
      <w:marTop w:val="0"/>
      <w:marBottom w:val="0"/>
      <w:divBdr>
        <w:top w:val="none" w:sz="0" w:space="0" w:color="auto"/>
        <w:left w:val="none" w:sz="0" w:space="0" w:color="auto"/>
        <w:bottom w:val="none" w:sz="0" w:space="0" w:color="auto"/>
        <w:right w:val="none" w:sz="0" w:space="0" w:color="auto"/>
      </w:divBdr>
    </w:div>
    <w:div w:id="1279533998">
      <w:bodyDiv w:val="1"/>
      <w:marLeft w:val="0"/>
      <w:marRight w:val="0"/>
      <w:marTop w:val="0"/>
      <w:marBottom w:val="0"/>
      <w:divBdr>
        <w:top w:val="none" w:sz="0" w:space="0" w:color="auto"/>
        <w:left w:val="none" w:sz="0" w:space="0" w:color="auto"/>
        <w:bottom w:val="none" w:sz="0" w:space="0" w:color="auto"/>
        <w:right w:val="none" w:sz="0" w:space="0" w:color="auto"/>
      </w:divBdr>
    </w:div>
    <w:div w:id="1280259823">
      <w:bodyDiv w:val="1"/>
      <w:marLeft w:val="0"/>
      <w:marRight w:val="0"/>
      <w:marTop w:val="0"/>
      <w:marBottom w:val="0"/>
      <w:divBdr>
        <w:top w:val="none" w:sz="0" w:space="0" w:color="auto"/>
        <w:left w:val="none" w:sz="0" w:space="0" w:color="auto"/>
        <w:bottom w:val="none" w:sz="0" w:space="0" w:color="auto"/>
        <w:right w:val="none" w:sz="0" w:space="0" w:color="auto"/>
      </w:divBdr>
    </w:div>
    <w:div w:id="1280336745">
      <w:bodyDiv w:val="1"/>
      <w:marLeft w:val="0"/>
      <w:marRight w:val="0"/>
      <w:marTop w:val="0"/>
      <w:marBottom w:val="0"/>
      <w:divBdr>
        <w:top w:val="none" w:sz="0" w:space="0" w:color="auto"/>
        <w:left w:val="none" w:sz="0" w:space="0" w:color="auto"/>
        <w:bottom w:val="none" w:sz="0" w:space="0" w:color="auto"/>
        <w:right w:val="none" w:sz="0" w:space="0" w:color="auto"/>
      </w:divBdr>
    </w:div>
    <w:div w:id="1281955543">
      <w:bodyDiv w:val="1"/>
      <w:marLeft w:val="0"/>
      <w:marRight w:val="0"/>
      <w:marTop w:val="0"/>
      <w:marBottom w:val="0"/>
      <w:divBdr>
        <w:top w:val="none" w:sz="0" w:space="0" w:color="auto"/>
        <w:left w:val="none" w:sz="0" w:space="0" w:color="auto"/>
        <w:bottom w:val="none" w:sz="0" w:space="0" w:color="auto"/>
        <w:right w:val="none" w:sz="0" w:space="0" w:color="auto"/>
      </w:divBdr>
    </w:div>
    <w:div w:id="1282416923">
      <w:bodyDiv w:val="1"/>
      <w:marLeft w:val="0"/>
      <w:marRight w:val="0"/>
      <w:marTop w:val="0"/>
      <w:marBottom w:val="0"/>
      <w:divBdr>
        <w:top w:val="none" w:sz="0" w:space="0" w:color="auto"/>
        <w:left w:val="none" w:sz="0" w:space="0" w:color="auto"/>
        <w:bottom w:val="none" w:sz="0" w:space="0" w:color="auto"/>
        <w:right w:val="none" w:sz="0" w:space="0" w:color="auto"/>
      </w:divBdr>
    </w:div>
    <w:div w:id="1283465722">
      <w:bodyDiv w:val="1"/>
      <w:marLeft w:val="0"/>
      <w:marRight w:val="0"/>
      <w:marTop w:val="0"/>
      <w:marBottom w:val="0"/>
      <w:divBdr>
        <w:top w:val="none" w:sz="0" w:space="0" w:color="auto"/>
        <w:left w:val="none" w:sz="0" w:space="0" w:color="auto"/>
        <w:bottom w:val="none" w:sz="0" w:space="0" w:color="auto"/>
        <w:right w:val="none" w:sz="0" w:space="0" w:color="auto"/>
      </w:divBdr>
    </w:div>
    <w:div w:id="1283919148">
      <w:bodyDiv w:val="1"/>
      <w:marLeft w:val="0"/>
      <w:marRight w:val="0"/>
      <w:marTop w:val="0"/>
      <w:marBottom w:val="0"/>
      <w:divBdr>
        <w:top w:val="none" w:sz="0" w:space="0" w:color="auto"/>
        <w:left w:val="none" w:sz="0" w:space="0" w:color="auto"/>
        <w:bottom w:val="none" w:sz="0" w:space="0" w:color="auto"/>
        <w:right w:val="none" w:sz="0" w:space="0" w:color="auto"/>
      </w:divBdr>
    </w:div>
    <w:div w:id="1284193343">
      <w:bodyDiv w:val="1"/>
      <w:marLeft w:val="0"/>
      <w:marRight w:val="0"/>
      <w:marTop w:val="0"/>
      <w:marBottom w:val="0"/>
      <w:divBdr>
        <w:top w:val="none" w:sz="0" w:space="0" w:color="auto"/>
        <w:left w:val="none" w:sz="0" w:space="0" w:color="auto"/>
        <w:bottom w:val="none" w:sz="0" w:space="0" w:color="auto"/>
        <w:right w:val="none" w:sz="0" w:space="0" w:color="auto"/>
      </w:divBdr>
    </w:div>
    <w:div w:id="1285117681">
      <w:bodyDiv w:val="1"/>
      <w:marLeft w:val="0"/>
      <w:marRight w:val="0"/>
      <w:marTop w:val="0"/>
      <w:marBottom w:val="0"/>
      <w:divBdr>
        <w:top w:val="none" w:sz="0" w:space="0" w:color="auto"/>
        <w:left w:val="none" w:sz="0" w:space="0" w:color="auto"/>
        <w:bottom w:val="none" w:sz="0" w:space="0" w:color="auto"/>
        <w:right w:val="none" w:sz="0" w:space="0" w:color="auto"/>
      </w:divBdr>
    </w:div>
    <w:div w:id="1285891863">
      <w:bodyDiv w:val="1"/>
      <w:marLeft w:val="0"/>
      <w:marRight w:val="0"/>
      <w:marTop w:val="0"/>
      <w:marBottom w:val="0"/>
      <w:divBdr>
        <w:top w:val="none" w:sz="0" w:space="0" w:color="auto"/>
        <w:left w:val="none" w:sz="0" w:space="0" w:color="auto"/>
        <w:bottom w:val="none" w:sz="0" w:space="0" w:color="auto"/>
        <w:right w:val="none" w:sz="0" w:space="0" w:color="auto"/>
      </w:divBdr>
    </w:div>
    <w:div w:id="1287467490">
      <w:bodyDiv w:val="1"/>
      <w:marLeft w:val="0"/>
      <w:marRight w:val="0"/>
      <w:marTop w:val="0"/>
      <w:marBottom w:val="0"/>
      <w:divBdr>
        <w:top w:val="none" w:sz="0" w:space="0" w:color="auto"/>
        <w:left w:val="none" w:sz="0" w:space="0" w:color="auto"/>
        <w:bottom w:val="none" w:sz="0" w:space="0" w:color="auto"/>
        <w:right w:val="none" w:sz="0" w:space="0" w:color="auto"/>
      </w:divBdr>
    </w:div>
    <w:div w:id="1287925792">
      <w:bodyDiv w:val="1"/>
      <w:marLeft w:val="0"/>
      <w:marRight w:val="0"/>
      <w:marTop w:val="0"/>
      <w:marBottom w:val="0"/>
      <w:divBdr>
        <w:top w:val="none" w:sz="0" w:space="0" w:color="auto"/>
        <w:left w:val="none" w:sz="0" w:space="0" w:color="auto"/>
        <w:bottom w:val="none" w:sz="0" w:space="0" w:color="auto"/>
        <w:right w:val="none" w:sz="0" w:space="0" w:color="auto"/>
      </w:divBdr>
    </w:div>
    <w:div w:id="1289236827">
      <w:bodyDiv w:val="1"/>
      <w:marLeft w:val="0"/>
      <w:marRight w:val="0"/>
      <w:marTop w:val="0"/>
      <w:marBottom w:val="0"/>
      <w:divBdr>
        <w:top w:val="none" w:sz="0" w:space="0" w:color="auto"/>
        <w:left w:val="none" w:sz="0" w:space="0" w:color="auto"/>
        <w:bottom w:val="none" w:sz="0" w:space="0" w:color="auto"/>
        <w:right w:val="none" w:sz="0" w:space="0" w:color="auto"/>
      </w:divBdr>
    </w:div>
    <w:div w:id="1289748566">
      <w:bodyDiv w:val="1"/>
      <w:marLeft w:val="0"/>
      <w:marRight w:val="0"/>
      <w:marTop w:val="0"/>
      <w:marBottom w:val="0"/>
      <w:divBdr>
        <w:top w:val="none" w:sz="0" w:space="0" w:color="auto"/>
        <w:left w:val="none" w:sz="0" w:space="0" w:color="auto"/>
        <w:bottom w:val="none" w:sz="0" w:space="0" w:color="auto"/>
        <w:right w:val="none" w:sz="0" w:space="0" w:color="auto"/>
      </w:divBdr>
    </w:div>
    <w:div w:id="1291518744">
      <w:bodyDiv w:val="1"/>
      <w:marLeft w:val="0"/>
      <w:marRight w:val="0"/>
      <w:marTop w:val="0"/>
      <w:marBottom w:val="0"/>
      <w:divBdr>
        <w:top w:val="none" w:sz="0" w:space="0" w:color="auto"/>
        <w:left w:val="none" w:sz="0" w:space="0" w:color="auto"/>
        <w:bottom w:val="none" w:sz="0" w:space="0" w:color="auto"/>
        <w:right w:val="none" w:sz="0" w:space="0" w:color="auto"/>
      </w:divBdr>
    </w:div>
    <w:div w:id="1291588266">
      <w:bodyDiv w:val="1"/>
      <w:marLeft w:val="0"/>
      <w:marRight w:val="0"/>
      <w:marTop w:val="0"/>
      <w:marBottom w:val="0"/>
      <w:divBdr>
        <w:top w:val="none" w:sz="0" w:space="0" w:color="auto"/>
        <w:left w:val="none" w:sz="0" w:space="0" w:color="auto"/>
        <w:bottom w:val="none" w:sz="0" w:space="0" w:color="auto"/>
        <w:right w:val="none" w:sz="0" w:space="0" w:color="auto"/>
      </w:divBdr>
    </w:div>
    <w:div w:id="1291669855">
      <w:bodyDiv w:val="1"/>
      <w:marLeft w:val="0"/>
      <w:marRight w:val="0"/>
      <w:marTop w:val="0"/>
      <w:marBottom w:val="0"/>
      <w:divBdr>
        <w:top w:val="none" w:sz="0" w:space="0" w:color="auto"/>
        <w:left w:val="none" w:sz="0" w:space="0" w:color="auto"/>
        <w:bottom w:val="none" w:sz="0" w:space="0" w:color="auto"/>
        <w:right w:val="none" w:sz="0" w:space="0" w:color="auto"/>
      </w:divBdr>
    </w:div>
    <w:div w:id="1291939333">
      <w:bodyDiv w:val="1"/>
      <w:marLeft w:val="0"/>
      <w:marRight w:val="0"/>
      <w:marTop w:val="0"/>
      <w:marBottom w:val="0"/>
      <w:divBdr>
        <w:top w:val="none" w:sz="0" w:space="0" w:color="auto"/>
        <w:left w:val="none" w:sz="0" w:space="0" w:color="auto"/>
        <w:bottom w:val="none" w:sz="0" w:space="0" w:color="auto"/>
        <w:right w:val="none" w:sz="0" w:space="0" w:color="auto"/>
      </w:divBdr>
    </w:div>
    <w:div w:id="1293362308">
      <w:bodyDiv w:val="1"/>
      <w:marLeft w:val="0"/>
      <w:marRight w:val="0"/>
      <w:marTop w:val="0"/>
      <w:marBottom w:val="0"/>
      <w:divBdr>
        <w:top w:val="none" w:sz="0" w:space="0" w:color="auto"/>
        <w:left w:val="none" w:sz="0" w:space="0" w:color="auto"/>
        <w:bottom w:val="none" w:sz="0" w:space="0" w:color="auto"/>
        <w:right w:val="none" w:sz="0" w:space="0" w:color="auto"/>
      </w:divBdr>
    </w:div>
    <w:div w:id="1293831573">
      <w:bodyDiv w:val="1"/>
      <w:marLeft w:val="0"/>
      <w:marRight w:val="0"/>
      <w:marTop w:val="0"/>
      <w:marBottom w:val="0"/>
      <w:divBdr>
        <w:top w:val="none" w:sz="0" w:space="0" w:color="auto"/>
        <w:left w:val="none" w:sz="0" w:space="0" w:color="auto"/>
        <w:bottom w:val="none" w:sz="0" w:space="0" w:color="auto"/>
        <w:right w:val="none" w:sz="0" w:space="0" w:color="auto"/>
      </w:divBdr>
    </w:div>
    <w:div w:id="1293902331">
      <w:bodyDiv w:val="1"/>
      <w:marLeft w:val="0"/>
      <w:marRight w:val="0"/>
      <w:marTop w:val="0"/>
      <w:marBottom w:val="0"/>
      <w:divBdr>
        <w:top w:val="none" w:sz="0" w:space="0" w:color="auto"/>
        <w:left w:val="none" w:sz="0" w:space="0" w:color="auto"/>
        <w:bottom w:val="none" w:sz="0" w:space="0" w:color="auto"/>
        <w:right w:val="none" w:sz="0" w:space="0" w:color="auto"/>
      </w:divBdr>
    </w:div>
    <w:div w:id="1294946281">
      <w:bodyDiv w:val="1"/>
      <w:marLeft w:val="0"/>
      <w:marRight w:val="0"/>
      <w:marTop w:val="0"/>
      <w:marBottom w:val="0"/>
      <w:divBdr>
        <w:top w:val="none" w:sz="0" w:space="0" w:color="auto"/>
        <w:left w:val="none" w:sz="0" w:space="0" w:color="auto"/>
        <w:bottom w:val="none" w:sz="0" w:space="0" w:color="auto"/>
        <w:right w:val="none" w:sz="0" w:space="0" w:color="auto"/>
      </w:divBdr>
    </w:div>
    <w:div w:id="1295015761">
      <w:bodyDiv w:val="1"/>
      <w:marLeft w:val="0"/>
      <w:marRight w:val="0"/>
      <w:marTop w:val="0"/>
      <w:marBottom w:val="0"/>
      <w:divBdr>
        <w:top w:val="none" w:sz="0" w:space="0" w:color="auto"/>
        <w:left w:val="none" w:sz="0" w:space="0" w:color="auto"/>
        <w:bottom w:val="none" w:sz="0" w:space="0" w:color="auto"/>
        <w:right w:val="none" w:sz="0" w:space="0" w:color="auto"/>
      </w:divBdr>
    </w:div>
    <w:div w:id="1295020615">
      <w:bodyDiv w:val="1"/>
      <w:marLeft w:val="0"/>
      <w:marRight w:val="0"/>
      <w:marTop w:val="0"/>
      <w:marBottom w:val="0"/>
      <w:divBdr>
        <w:top w:val="none" w:sz="0" w:space="0" w:color="auto"/>
        <w:left w:val="none" w:sz="0" w:space="0" w:color="auto"/>
        <w:bottom w:val="none" w:sz="0" w:space="0" w:color="auto"/>
        <w:right w:val="none" w:sz="0" w:space="0" w:color="auto"/>
      </w:divBdr>
    </w:div>
    <w:div w:id="1296132939">
      <w:bodyDiv w:val="1"/>
      <w:marLeft w:val="0"/>
      <w:marRight w:val="0"/>
      <w:marTop w:val="0"/>
      <w:marBottom w:val="0"/>
      <w:divBdr>
        <w:top w:val="none" w:sz="0" w:space="0" w:color="auto"/>
        <w:left w:val="none" w:sz="0" w:space="0" w:color="auto"/>
        <w:bottom w:val="none" w:sz="0" w:space="0" w:color="auto"/>
        <w:right w:val="none" w:sz="0" w:space="0" w:color="auto"/>
      </w:divBdr>
    </w:div>
    <w:div w:id="1296259532">
      <w:bodyDiv w:val="1"/>
      <w:marLeft w:val="0"/>
      <w:marRight w:val="0"/>
      <w:marTop w:val="0"/>
      <w:marBottom w:val="0"/>
      <w:divBdr>
        <w:top w:val="none" w:sz="0" w:space="0" w:color="auto"/>
        <w:left w:val="none" w:sz="0" w:space="0" w:color="auto"/>
        <w:bottom w:val="none" w:sz="0" w:space="0" w:color="auto"/>
        <w:right w:val="none" w:sz="0" w:space="0" w:color="auto"/>
      </w:divBdr>
    </w:div>
    <w:div w:id="1296330085">
      <w:bodyDiv w:val="1"/>
      <w:marLeft w:val="0"/>
      <w:marRight w:val="0"/>
      <w:marTop w:val="0"/>
      <w:marBottom w:val="0"/>
      <w:divBdr>
        <w:top w:val="none" w:sz="0" w:space="0" w:color="auto"/>
        <w:left w:val="none" w:sz="0" w:space="0" w:color="auto"/>
        <w:bottom w:val="none" w:sz="0" w:space="0" w:color="auto"/>
        <w:right w:val="none" w:sz="0" w:space="0" w:color="auto"/>
      </w:divBdr>
    </w:div>
    <w:div w:id="1296714801">
      <w:bodyDiv w:val="1"/>
      <w:marLeft w:val="0"/>
      <w:marRight w:val="0"/>
      <w:marTop w:val="0"/>
      <w:marBottom w:val="0"/>
      <w:divBdr>
        <w:top w:val="none" w:sz="0" w:space="0" w:color="auto"/>
        <w:left w:val="none" w:sz="0" w:space="0" w:color="auto"/>
        <w:bottom w:val="none" w:sz="0" w:space="0" w:color="auto"/>
        <w:right w:val="none" w:sz="0" w:space="0" w:color="auto"/>
      </w:divBdr>
    </w:div>
    <w:div w:id="1297298757">
      <w:bodyDiv w:val="1"/>
      <w:marLeft w:val="0"/>
      <w:marRight w:val="0"/>
      <w:marTop w:val="0"/>
      <w:marBottom w:val="0"/>
      <w:divBdr>
        <w:top w:val="none" w:sz="0" w:space="0" w:color="auto"/>
        <w:left w:val="none" w:sz="0" w:space="0" w:color="auto"/>
        <w:bottom w:val="none" w:sz="0" w:space="0" w:color="auto"/>
        <w:right w:val="none" w:sz="0" w:space="0" w:color="auto"/>
      </w:divBdr>
    </w:div>
    <w:div w:id="1298343585">
      <w:bodyDiv w:val="1"/>
      <w:marLeft w:val="0"/>
      <w:marRight w:val="0"/>
      <w:marTop w:val="0"/>
      <w:marBottom w:val="0"/>
      <w:divBdr>
        <w:top w:val="none" w:sz="0" w:space="0" w:color="auto"/>
        <w:left w:val="none" w:sz="0" w:space="0" w:color="auto"/>
        <w:bottom w:val="none" w:sz="0" w:space="0" w:color="auto"/>
        <w:right w:val="none" w:sz="0" w:space="0" w:color="auto"/>
      </w:divBdr>
    </w:div>
    <w:div w:id="1298532846">
      <w:bodyDiv w:val="1"/>
      <w:marLeft w:val="0"/>
      <w:marRight w:val="0"/>
      <w:marTop w:val="0"/>
      <w:marBottom w:val="0"/>
      <w:divBdr>
        <w:top w:val="none" w:sz="0" w:space="0" w:color="auto"/>
        <w:left w:val="none" w:sz="0" w:space="0" w:color="auto"/>
        <w:bottom w:val="none" w:sz="0" w:space="0" w:color="auto"/>
        <w:right w:val="none" w:sz="0" w:space="0" w:color="auto"/>
      </w:divBdr>
    </w:div>
    <w:div w:id="1300645164">
      <w:bodyDiv w:val="1"/>
      <w:marLeft w:val="0"/>
      <w:marRight w:val="0"/>
      <w:marTop w:val="0"/>
      <w:marBottom w:val="0"/>
      <w:divBdr>
        <w:top w:val="none" w:sz="0" w:space="0" w:color="auto"/>
        <w:left w:val="none" w:sz="0" w:space="0" w:color="auto"/>
        <w:bottom w:val="none" w:sz="0" w:space="0" w:color="auto"/>
        <w:right w:val="none" w:sz="0" w:space="0" w:color="auto"/>
      </w:divBdr>
    </w:div>
    <w:div w:id="1300963532">
      <w:bodyDiv w:val="1"/>
      <w:marLeft w:val="0"/>
      <w:marRight w:val="0"/>
      <w:marTop w:val="0"/>
      <w:marBottom w:val="0"/>
      <w:divBdr>
        <w:top w:val="none" w:sz="0" w:space="0" w:color="auto"/>
        <w:left w:val="none" w:sz="0" w:space="0" w:color="auto"/>
        <w:bottom w:val="none" w:sz="0" w:space="0" w:color="auto"/>
        <w:right w:val="none" w:sz="0" w:space="0" w:color="auto"/>
      </w:divBdr>
    </w:div>
    <w:div w:id="1301770544">
      <w:bodyDiv w:val="1"/>
      <w:marLeft w:val="0"/>
      <w:marRight w:val="0"/>
      <w:marTop w:val="0"/>
      <w:marBottom w:val="0"/>
      <w:divBdr>
        <w:top w:val="none" w:sz="0" w:space="0" w:color="auto"/>
        <w:left w:val="none" w:sz="0" w:space="0" w:color="auto"/>
        <w:bottom w:val="none" w:sz="0" w:space="0" w:color="auto"/>
        <w:right w:val="none" w:sz="0" w:space="0" w:color="auto"/>
      </w:divBdr>
    </w:div>
    <w:div w:id="1301886276">
      <w:bodyDiv w:val="1"/>
      <w:marLeft w:val="0"/>
      <w:marRight w:val="0"/>
      <w:marTop w:val="0"/>
      <w:marBottom w:val="0"/>
      <w:divBdr>
        <w:top w:val="none" w:sz="0" w:space="0" w:color="auto"/>
        <w:left w:val="none" w:sz="0" w:space="0" w:color="auto"/>
        <w:bottom w:val="none" w:sz="0" w:space="0" w:color="auto"/>
        <w:right w:val="none" w:sz="0" w:space="0" w:color="auto"/>
      </w:divBdr>
    </w:div>
    <w:div w:id="1303123731">
      <w:bodyDiv w:val="1"/>
      <w:marLeft w:val="0"/>
      <w:marRight w:val="0"/>
      <w:marTop w:val="0"/>
      <w:marBottom w:val="0"/>
      <w:divBdr>
        <w:top w:val="none" w:sz="0" w:space="0" w:color="auto"/>
        <w:left w:val="none" w:sz="0" w:space="0" w:color="auto"/>
        <w:bottom w:val="none" w:sz="0" w:space="0" w:color="auto"/>
        <w:right w:val="none" w:sz="0" w:space="0" w:color="auto"/>
      </w:divBdr>
    </w:div>
    <w:div w:id="1303190650">
      <w:bodyDiv w:val="1"/>
      <w:marLeft w:val="0"/>
      <w:marRight w:val="0"/>
      <w:marTop w:val="0"/>
      <w:marBottom w:val="0"/>
      <w:divBdr>
        <w:top w:val="none" w:sz="0" w:space="0" w:color="auto"/>
        <w:left w:val="none" w:sz="0" w:space="0" w:color="auto"/>
        <w:bottom w:val="none" w:sz="0" w:space="0" w:color="auto"/>
        <w:right w:val="none" w:sz="0" w:space="0" w:color="auto"/>
      </w:divBdr>
    </w:div>
    <w:div w:id="1303265296">
      <w:bodyDiv w:val="1"/>
      <w:marLeft w:val="0"/>
      <w:marRight w:val="0"/>
      <w:marTop w:val="0"/>
      <w:marBottom w:val="0"/>
      <w:divBdr>
        <w:top w:val="none" w:sz="0" w:space="0" w:color="auto"/>
        <w:left w:val="none" w:sz="0" w:space="0" w:color="auto"/>
        <w:bottom w:val="none" w:sz="0" w:space="0" w:color="auto"/>
        <w:right w:val="none" w:sz="0" w:space="0" w:color="auto"/>
      </w:divBdr>
    </w:div>
    <w:div w:id="1304847273">
      <w:bodyDiv w:val="1"/>
      <w:marLeft w:val="0"/>
      <w:marRight w:val="0"/>
      <w:marTop w:val="0"/>
      <w:marBottom w:val="0"/>
      <w:divBdr>
        <w:top w:val="none" w:sz="0" w:space="0" w:color="auto"/>
        <w:left w:val="none" w:sz="0" w:space="0" w:color="auto"/>
        <w:bottom w:val="none" w:sz="0" w:space="0" w:color="auto"/>
        <w:right w:val="none" w:sz="0" w:space="0" w:color="auto"/>
      </w:divBdr>
    </w:div>
    <w:div w:id="1305044423">
      <w:bodyDiv w:val="1"/>
      <w:marLeft w:val="0"/>
      <w:marRight w:val="0"/>
      <w:marTop w:val="0"/>
      <w:marBottom w:val="0"/>
      <w:divBdr>
        <w:top w:val="none" w:sz="0" w:space="0" w:color="auto"/>
        <w:left w:val="none" w:sz="0" w:space="0" w:color="auto"/>
        <w:bottom w:val="none" w:sz="0" w:space="0" w:color="auto"/>
        <w:right w:val="none" w:sz="0" w:space="0" w:color="auto"/>
      </w:divBdr>
    </w:div>
    <w:div w:id="1305504163">
      <w:bodyDiv w:val="1"/>
      <w:marLeft w:val="0"/>
      <w:marRight w:val="0"/>
      <w:marTop w:val="0"/>
      <w:marBottom w:val="0"/>
      <w:divBdr>
        <w:top w:val="none" w:sz="0" w:space="0" w:color="auto"/>
        <w:left w:val="none" w:sz="0" w:space="0" w:color="auto"/>
        <w:bottom w:val="none" w:sz="0" w:space="0" w:color="auto"/>
        <w:right w:val="none" w:sz="0" w:space="0" w:color="auto"/>
      </w:divBdr>
    </w:div>
    <w:div w:id="1306085800">
      <w:bodyDiv w:val="1"/>
      <w:marLeft w:val="0"/>
      <w:marRight w:val="0"/>
      <w:marTop w:val="0"/>
      <w:marBottom w:val="0"/>
      <w:divBdr>
        <w:top w:val="none" w:sz="0" w:space="0" w:color="auto"/>
        <w:left w:val="none" w:sz="0" w:space="0" w:color="auto"/>
        <w:bottom w:val="none" w:sz="0" w:space="0" w:color="auto"/>
        <w:right w:val="none" w:sz="0" w:space="0" w:color="auto"/>
      </w:divBdr>
    </w:div>
    <w:div w:id="1306622440">
      <w:bodyDiv w:val="1"/>
      <w:marLeft w:val="0"/>
      <w:marRight w:val="0"/>
      <w:marTop w:val="0"/>
      <w:marBottom w:val="0"/>
      <w:divBdr>
        <w:top w:val="none" w:sz="0" w:space="0" w:color="auto"/>
        <w:left w:val="none" w:sz="0" w:space="0" w:color="auto"/>
        <w:bottom w:val="none" w:sz="0" w:space="0" w:color="auto"/>
        <w:right w:val="none" w:sz="0" w:space="0" w:color="auto"/>
      </w:divBdr>
    </w:div>
    <w:div w:id="1308785422">
      <w:bodyDiv w:val="1"/>
      <w:marLeft w:val="0"/>
      <w:marRight w:val="0"/>
      <w:marTop w:val="0"/>
      <w:marBottom w:val="0"/>
      <w:divBdr>
        <w:top w:val="none" w:sz="0" w:space="0" w:color="auto"/>
        <w:left w:val="none" w:sz="0" w:space="0" w:color="auto"/>
        <w:bottom w:val="none" w:sz="0" w:space="0" w:color="auto"/>
        <w:right w:val="none" w:sz="0" w:space="0" w:color="auto"/>
      </w:divBdr>
    </w:div>
    <w:div w:id="1310011615">
      <w:bodyDiv w:val="1"/>
      <w:marLeft w:val="0"/>
      <w:marRight w:val="0"/>
      <w:marTop w:val="0"/>
      <w:marBottom w:val="0"/>
      <w:divBdr>
        <w:top w:val="none" w:sz="0" w:space="0" w:color="auto"/>
        <w:left w:val="none" w:sz="0" w:space="0" w:color="auto"/>
        <w:bottom w:val="none" w:sz="0" w:space="0" w:color="auto"/>
        <w:right w:val="none" w:sz="0" w:space="0" w:color="auto"/>
      </w:divBdr>
    </w:div>
    <w:div w:id="1310747991">
      <w:bodyDiv w:val="1"/>
      <w:marLeft w:val="0"/>
      <w:marRight w:val="0"/>
      <w:marTop w:val="0"/>
      <w:marBottom w:val="0"/>
      <w:divBdr>
        <w:top w:val="none" w:sz="0" w:space="0" w:color="auto"/>
        <w:left w:val="none" w:sz="0" w:space="0" w:color="auto"/>
        <w:bottom w:val="none" w:sz="0" w:space="0" w:color="auto"/>
        <w:right w:val="none" w:sz="0" w:space="0" w:color="auto"/>
      </w:divBdr>
    </w:div>
    <w:div w:id="1310867201">
      <w:bodyDiv w:val="1"/>
      <w:marLeft w:val="0"/>
      <w:marRight w:val="0"/>
      <w:marTop w:val="0"/>
      <w:marBottom w:val="0"/>
      <w:divBdr>
        <w:top w:val="none" w:sz="0" w:space="0" w:color="auto"/>
        <w:left w:val="none" w:sz="0" w:space="0" w:color="auto"/>
        <w:bottom w:val="none" w:sz="0" w:space="0" w:color="auto"/>
        <w:right w:val="none" w:sz="0" w:space="0" w:color="auto"/>
      </w:divBdr>
    </w:div>
    <w:div w:id="1312058891">
      <w:bodyDiv w:val="1"/>
      <w:marLeft w:val="0"/>
      <w:marRight w:val="0"/>
      <w:marTop w:val="0"/>
      <w:marBottom w:val="0"/>
      <w:divBdr>
        <w:top w:val="none" w:sz="0" w:space="0" w:color="auto"/>
        <w:left w:val="none" w:sz="0" w:space="0" w:color="auto"/>
        <w:bottom w:val="none" w:sz="0" w:space="0" w:color="auto"/>
        <w:right w:val="none" w:sz="0" w:space="0" w:color="auto"/>
      </w:divBdr>
    </w:div>
    <w:div w:id="1312370403">
      <w:bodyDiv w:val="1"/>
      <w:marLeft w:val="0"/>
      <w:marRight w:val="0"/>
      <w:marTop w:val="0"/>
      <w:marBottom w:val="0"/>
      <w:divBdr>
        <w:top w:val="none" w:sz="0" w:space="0" w:color="auto"/>
        <w:left w:val="none" w:sz="0" w:space="0" w:color="auto"/>
        <w:bottom w:val="none" w:sz="0" w:space="0" w:color="auto"/>
        <w:right w:val="none" w:sz="0" w:space="0" w:color="auto"/>
      </w:divBdr>
    </w:div>
    <w:div w:id="1314456210">
      <w:bodyDiv w:val="1"/>
      <w:marLeft w:val="0"/>
      <w:marRight w:val="0"/>
      <w:marTop w:val="0"/>
      <w:marBottom w:val="0"/>
      <w:divBdr>
        <w:top w:val="none" w:sz="0" w:space="0" w:color="auto"/>
        <w:left w:val="none" w:sz="0" w:space="0" w:color="auto"/>
        <w:bottom w:val="none" w:sz="0" w:space="0" w:color="auto"/>
        <w:right w:val="none" w:sz="0" w:space="0" w:color="auto"/>
      </w:divBdr>
    </w:div>
    <w:div w:id="1314870262">
      <w:bodyDiv w:val="1"/>
      <w:marLeft w:val="0"/>
      <w:marRight w:val="0"/>
      <w:marTop w:val="0"/>
      <w:marBottom w:val="0"/>
      <w:divBdr>
        <w:top w:val="none" w:sz="0" w:space="0" w:color="auto"/>
        <w:left w:val="none" w:sz="0" w:space="0" w:color="auto"/>
        <w:bottom w:val="none" w:sz="0" w:space="0" w:color="auto"/>
        <w:right w:val="none" w:sz="0" w:space="0" w:color="auto"/>
      </w:divBdr>
    </w:div>
    <w:div w:id="1317344195">
      <w:bodyDiv w:val="1"/>
      <w:marLeft w:val="0"/>
      <w:marRight w:val="0"/>
      <w:marTop w:val="0"/>
      <w:marBottom w:val="0"/>
      <w:divBdr>
        <w:top w:val="none" w:sz="0" w:space="0" w:color="auto"/>
        <w:left w:val="none" w:sz="0" w:space="0" w:color="auto"/>
        <w:bottom w:val="none" w:sz="0" w:space="0" w:color="auto"/>
        <w:right w:val="none" w:sz="0" w:space="0" w:color="auto"/>
      </w:divBdr>
    </w:div>
    <w:div w:id="1318653672">
      <w:bodyDiv w:val="1"/>
      <w:marLeft w:val="0"/>
      <w:marRight w:val="0"/>
      <w:marTop w:val="0"/>
      <w:marBottom w:val="0"/>
      <w:divBdr>
        <w:top w:val="none" w:sz="0" w:space="0" w:color="auto"/>
        <w:left w:val="none" w:sz="0" w:space="0" w:color="auto"/>
        <w:bottom w:val="none" w:sz="0" w:space="0" w:color="auto"/>
        <w:right w:val="none" w:sz="0" w:space="0" w:color="auto"/>
      </w:divBdr>
    </w:div>
    <w:div w:id="1318847773">
      <w:bodyDiv w:val="1"/>
      <w:marLeft w:val="0"/>
      <w:marRight w:val="0"/>
      <w:marTop w:val="0"/>
      <w:marBottom w:val="0"/>
      <w:divBdr>
        <w:top w:val="none" w:sz="0" w:space="0" w:color="auto"/>
        <w:left w:val="none" w:sz="0" w:space="0" w:color="auto"/>
        <w:bottom w:val="none" w:sz="0" w:space="0" w:color="auto"/>
        <w:right w:val="none" w:sz="0" w:space="0" w:color="auto"/>
      </w:divBdr>
    </w:div>
    <w:div w:id="1319380163">
      <w:bodyDiv w:val="1"/>
      <w:marLeft w:val="0"/>
      <w:marRight w:val="0"/>
      <w:marTop w:val="0"/>
      <w:marBottom w:val="0"/>
      <w:divBdr>
        <w:top w:val="none" w:sz="0" w:space="0" w:color="auto"/>
        <w:left w:val="none" w:sz="0" w:space="0" w:color="auto"/>
        <w:bottom w:val="none" w:sz="0" w:space="0" w:color="auto"/>
        <w:right w:val="none" w:sz="0" w:space="0" w:color="auto"/>
      </w:divBdr>
    </w:div>
    <w:div w:id="1319916613">
      <w:bodyDiv w:val="1"/>
      <w:marLeft w:val="0"/>
      <w:marRight w:val="0"/>
      <w:marTop w:val="0"/>
      <w:marBottom w:val="0"/>
      <w:divBdr>
        <w:top w:val="none" w:sz="0" w:space="0" w:color="auto"/>
        <w:left w:val="none" w:sz="0" w:space="0" w:color="auto"/>
        <w:bottom w:val="none" w:sz="0" w:space="0" w:color="auto"/>
        <w:right w:val="none" w:sz="0" w:space="0" w:color="auto"/>
      </w:divBdr>
    </w:div>
    <w:div w:id="1320383985">
      <w:bodyDiv w:val="1"/>
      <w:marLeft w:val="0"/>
      <w:marRight w:val="0"/>
      <w:marTop w:val="0"/>
      <w:marBottom w:val="0"/>
      <w:divBdr>
        <w:top w:val="none" w:sz="0" w:space="0" w:color="auto"/>
        <w:left w:val="none" w:sz="0" w:space="0" w:color="auto"/>
        <w:bottom w:val="none" w:sz="0" w:space="0" w:color="auto"/>
        <w:right w:val="none" w:sz="0" w:space="0" w:color="auto"/>
      </w:divBdr>
    </w:div>
    <w:div w:id="1320423838">
      <w:bodyDiv w:val="1"/>
      <w:marLeft w:val="0"/>
      <w:marRight w:val="0"/>
      <w:marTop w:val="0"/>
      <w:marBottom w:val="0"/>
      <w:divBdr>
        <w:top w:val="none" w:sz="0" w:space="0" w:color="auto"/>
        <w:left w:val="none" w:sz="0" w:space="0" w:color="auto"/>
        <w:bottom w:val="none" w:sz="0" w:space="0" w:color="auto"/>
        <w:right w:val="none" w:sz="0" w:space="0" w:color="auto"/>
      </w:divBdr>
    </w:div>
    <w:div w:id="1320885944">
      <w:bodyDiv w:val="1"/>
      <w:marLeft w:val="0"/>
      <w:marRight w:val="0"/>
      <w:marTop w:val="0"/>
      <w:marBottom w:val="0"/>
      <w:divBdr>
        <w:top w:val="none" w:sz="0" w:space="0" w:color="auto"/>
        <w:left w:val="none" w:sz="0" w:space="0" w:color="auto"/>
        <w:bottom w:val="none" w:sz="0" w:space="0" w:color="auto"/>
        <w:right w:val="none" w:sz="0" w:space="0" w:color="auto"/>
      </w:divBdr>
    </w:div>
    <w:div w:id="1321303409">
      <w:bodyDiv w:val="1"/>
      <w:marLeft w:val="0"/>
      <w:marRight w:val="0"/>
      <w:marTop w:val="0"/>
      <w:marBottom w:val="0"/>
      <w:divBdr>
        <w:top w:val="none" w:sz="0" w:space="0" w:color="auto"/>
        <w:left w:val="none" w:sz="0" w:space="0" w:color="auto"/>
        <w:bottom w:val="none" w:sz="0" w:space="0" w:color="auto"/>
        <w:right w:val="none" w:sz="0" w:space="0" w:color="auto"/>
      </w:divBdr>
    </w:div>
    <w:div w:id="1321541767">
      <w:bodyDiv w:val="1"/>
      <w:marLeft w:val="0"/>
      <w:marRight w:val="0"/>
      <w:marTop w:val="0"/>
      <w:marBottom w:val="0"/>
      <w:divBdr>
        <w:top w:val="none" w:sz="0" w:space="0" w:color="auto"/>
        <w:left w:val="none" w:sz="0" w:space="0" w:color="auto"/>
        <w:bottom w:val="none" w:sz="0" w:space="0" w:color="auto"/>
        <w:right w:val="none" w:sz="0" w:space="0" w:color="auto"/>
      </w:divBdr>
    </w:div>
    <w:div w:id="1322584658">
      <w:bodyDiv w:val="1"/>
      <w:marLeft w:val="0"/>
      <w:marRight w:val="0"/>
      <w:marTop w:val="0"/>
      <w:marBottom w:val="0"/>
      <w:divBdr>
        <w:top w:val="none" w:sz="0" w:space="0" w:color="auto"/>
        <w:left w:val="none" w:sz="0" w:space="0" w:color="auto"/>
        <w:bottom w:val="none" w:sz="0" w:space="0" w:color="auto"/>
        <w:right w:val="none" w:sz="0" w:space="0" w:color="auto"/>
      </w:divBdr>
    </w:div>
    <w:div w:id="1322586396">
      <w:bodyDiv w:val="1"/>
      <w:marLeft w:val="0"/>
      <w:marRight w:val="0"/>
      <w:marTop w:val="0"/>
      <w:marBottom w:val="0"/>
      <w:divBdr>
        <w:top w:val="none" w:sz="0" w:space="0" w:color="auto"/>
        <w:left w:val="none" w:sz="0" w:space="0" w:color="auto"/>
        <w:bottom w:val="none" w:sz="0" w:space="0" w:color="auto"/>
        <w:right w:val="none" w:sz="0" w:space="0" w:color="auto"/>
      </w:divBdr>
    </w:div>
    <w:div w:id="1324313989">
      <w:bodyDiv w:val="1"/>
      <w:marLeft w:val="0"/>
      <w:marRight w:val="0"/>
      <w:marTop w:val="0"/>
      <w:marBottom w:val="0"/>
      <w:divBdr>
        <w:top w:val="none" w:sz="0" w:space="0" w:color="auto"/>
        <w:left w:val="none" w:sz="0" w:space="0" w:color="auto"/>
        <w:bottom w:val="none" w:sz="0" w:space="0" w:color="auto"/>
        <w:right w:val="none" w:sz="0" w:space="0" w:color="auto"/>
      </w:divBdr>
    </w:div>
    <w:div w:id="1325090057">
      <w:bodyDiv w:val="1"/>
      <w:marLeft w:val="0"/>
      <w:marRight w:val="0"/>
      <w:marTop w:val="0"/>
      <w:marBottom w:val="0"/>
      <w:divBdr>
        <w:top w:val="none" w:sz="0" w:space="0" w:color="auto"/>
        <w:left w:val="none" w:sz="0" w:space="0" w:color="auto"/>
        <w:bottom w:val="none" w:sz="0" w:space="0" w:color="auto"/>
        <w:right w:val="none" w:sz="0" w:space="0" w:color="auto"/>
      </w:divBdr>
    </w:div>
    <w:div w:id="1325166725">
      <w:bodyDiv w:val="1"/>
      <w:marLeft w:val="0"/>
      <w:marRight w:val="0"/>
      <w:marTop w:val="0"/>
      <w:marBottom w:val="0"/>
      <w:divBdr>
        <w:top w:val="none" w:sz="0" w:space="0" w:color="auto"/>
        <w:left w:val="none" w:sz="0" w:space="0" w:color="auto"/>
        <w:bottom w:val="none" w:sz="0" w:space="0" w:color="auto"/>
        <w:right w:val="none" w:sz="0" w:space="0" w:color="auto"/>
      </w:divBdr>
    </w:div>
    <w:div w:id="1325545212">
      <w:bodyDiv w:val="1"/>
      <w:marLeft w:val="0"/>
      <w:marRight w:val="0"/>
      <w:marTop w:val="0"/>
      <w:marBottom w:val="0"/>
      <w:divBdr>
        <w:top w:val="none" w:sz="0" w:space="0" w:color="auto"/>
        <w:left w:val="none" w:sz="0" w:space="0" w:color="auto"/>
        <w:bottom w:val="none" w:sz="0" w:space="0" w:color="auto"/>
        <w:right w:val="none" w:sz="0" w:space="0" w:color="auto"/>
      </w:divBdr>
    </w:div>
    <w:div w:id="1327130224">
      <w:bodyDiv w:val="1"/>
      <w:marLeft w:val="0"/>
      <w:marRight w:val="0"/>
      <w:marTop w:val="0"/>
      <w:marBottom w:val="0"/>
      <w:divBdr>
        <w:top w:val="none" w:sz="0" w:space="0" w:color="auto"/>
        <w:left w:val="none" w:sz="0" w:space="0" w:color="auto"/>
        <w:bottom w:val="none" w:sz="0" w:space="0" w:color="auto"/>
        <w:right w:val="none" w:sz="0" w:space="0" w:color="auto"/>
      </w:divBdr>
    </w:div>
    <w:div w:id="1327393924">
      <w:bodyDiv w:val="1"/>
      <w:marLeft w:val="0"/>
      <w:marRight w:val="0"/>
      <w:marTop w:val="0"/>
      <w:marBottom w:val="0"/>
      <w:divBdr>
        <w:top w:val="none" w:sz="0" w:space="0" w:color="auto"/>
        <w:left w:val="none" w:sz="0" w:space="0" w:color="auto"/>
        <w:bottom w:val="none" w:sz="0" w:space="0" w:color="auto"/>
        <w:right w:val="none" w:sz="0" w:space="0" w:color="auto"/>
      </w:divBdr>
    </w:div>
    <w:div w:id="1329864072">
      <w:bodyDiv w:val="1"/>
      <w:marLeft w:val="0"/>
      <w:marRight w:val="0"/>
      <w:marTop w:val="0"/>
      <w:marBottom w:val="0"/>
      <w:divBdr>
        <w:top w:val="none" w:sz="0" w:space="0" w:color="auto"/>
        <w:left w:val="none" w:sz="0" w:space="0" w:color="auto"/>
        <w:bottom w:val="none" w:sz="0" w:space="0" w:color="auto"/>
        <w:right w:val="none" w:sz="0" w:space="0" w:color="auto"/>
      </w:divBdr>
    </w:div>
    <w:div w:id="1330061113">
      <w:bodyDiv w:val="1"/>
      <w:marLeft w:val="0"/>
      <w:marRight w:val="0"/>
      <w:marTop w:val="0"/>
      <w:marBottom w:val="0"/>
      <w:divBdr>
        <w:top w:val="none" w:sz="0" w:space="0" w:color="auto"/>
        <w:left w:val="none" w:sz="0" w:space="0" w:color="auto"/>
        <w:bottom w:val="none" w:sz="0" w:space="0" w:color="auto"/>
        <w:right w:val="none" w:sz="0" w:space="0" w:color="auto"/>
      </w:divBdr>
    </w:div>
    <w:div w:id="1330131855">
      <w:bodyDiv w:val="1"/>
      <w:marLeft w:val="0"/>
      <w:marRight w:val="0"/>
      <w:marTop w:val="0"/>
      <w:marBottom w:val="0"/>
      <w:divBdr>
        <w:top w:val="none" w:sz="0" w:space="0" w:color="auto"/>
        <w:left w:val="none" w:sz="0" w:space="0" w:color="auto"/>
        <w:bottom w:val="none" w:sz="0" w:space="0" w:color="auto"/>
        <w:right w:val="none" w:sz="0" w:space="0" w:color="auto"/>
      </w:divBdr>
    </w:div>
    <w:div w:id="1331064199">
      <w:bodyDiv w:val="1"/>
      <w:marLeft w:val="0"/>
      <w:marRight w:val="0"/>
      <w:marTop w:val="0"/>
      <w:marBottom w:val="0"/>
      <w:divBdr>
        <w:top w:val="none" w:sz="0" w:space="0" w:color="auto"/>
        <w:left w:val="none" w:sz="0" w:space="0" w:color="auto"/>
        <w:bottom w:val="none" w:sz="0" w:space="0" w:color="auto"/>
        <w:right w:val="none" w:sz="0" w:space="0" w:color="auto"/>
      </w:divBdr>
    </w:div>
    <w:div w:id="1332176878">
      <w:bodyDiv w:val="1"/>
      <w:marLeft w:val="0"/>
      <w:marRight w:val="0"/>
      <w:marTop w:val="0"/>
      <w:marBottom w:val="0"/>
      <w:divBdr>
        <w:top w:val="none" w:sz="0" w:space="0" w:color="auto"/>
        <w:left w:val="none" w:sz="0" w:space="0" w:color="auto"/>
        <w:bottom w:val="none" w:sz="0" w:space="0" w:color="auto"/>
        <w:right w:val="none" w:sz="0" w:space="0" w:color="auto"/>
      </w:divBdr>
    </w:div>
    <w:div w:id="1334990045">
      <w:bodyDiv w:val="1"/>
      <w:marLeft w:val="0"/>
      <w:marRight w:val="0"/>
      <w:marTop w:val="0"/>
      <w:marBottom w:val="0"/>
      <w:divBdr>
        <w:top w:val="none" w:sz="0" w:space="0" w:color="auto"/>
        <w:left w:val="none" w:sz="0" w:space="0" w:color="auto"/>
        <w:bottom w:val="none" w:sz="0" w:space="0" w:color="auto"/>
        <w:right w:val="none" w:sz="0" w:space="0" w:color="auto"/>
      </w:divBdr>
    </w:div>
    <w:div w:id="1335188557">
      <w:bodyDiv w:val="1"/>
      <w:marLeft w:val="0"/>
      <w:marRight w:val="0"/>
      <w:marTop w:val="0"/>
      <w:marBottom w:val="0"/>
      <w:divBdr>
        <w:top w:val="none" w:sz="0" w:space="0" w:color="auto"/>
        <w:left w:val="none" w:sz="0" w:space="0" w:color="auto"/>
        <w:bottom w:val="none" w:sz="0" w:space="0" w:color="auto"/>
        <w:right w:val="none" w:sz="0" w:space="0" w:color="auto"/>
      </w:divBdr>
    </w:div>
    <w:div w:id="1335378040">
      <w:bodyDiv w:val="1"/>
      <w:marLeft w:val="0"/>
      <w:marRight w:val="0"/>
      <w:marTop w:val="0"/>
      <w:marBottom w:val="0"/>
      <w:divBdr>
        <w:top w:val="none" w:sz="0" w:space="0" w:color="auto"/>
        <w:left w:val="none" w:sz="0" w:space="0" w:color="auto"/>
        <w:bottom w:val="none" w:sz="0" w:space="0" w:color="auto"/>
        <w:right w:val="none" w:sz="0" w:space="0" w:color="auto"/>
      </w:divBdr>
    </w:div>
    <w:div w:id="1337735313">
      <w:bodyDiv w:val="1"/>
      <w:marLeft w:val="0"/>
      <w:marRight w:val="0"/>
      <w:marTop w:val="0"/>
      <w:marBottom w:val="0"/>
      <w:divBdr>
        <w:top w:val="none" w:sz="0" w:space="0" w:color="auto"/>
        <w:left w:val="none" w:sz="0" w:space="0" w:color="auto"/>
        <w:bottom w:val="none" w:sz="0" w:space="0" w:color="auto"/>
        <w:right w:val="none" w:sz="0" w:space="0" w:color="auto"/>
      </w:divBdr>
    </w:div>
    <w:div w:id="1338263150">
      <w:bodyDiv w:val="1"/>
      <w:marLeft w:val="0"/>
      <w:marRight w:val="0"/>
      <w:marTop w:val="0"/>
      <w:marBottom w:val="0"/>
      <w:divBdr>
        <w:top w:val="none" w:sz="0" w:space="0" w:color="auto"/>
        <w:left w:val="none" w:sz="0" w:space="0" w:color="auto"/>
        <w:bottom w:val="none" w:sz="0" w:space="0" w:color="auto"/>
        <w:right w:val="none" w:sz="0" w:space="0" w:color="auto"/>
      </w:divBdr>
    </w:div>
    <w:div w:id="1338582279">
      <w:bodyDiv w:val="1"/>
      <w:marLeft w:val="0"/>
      <w:marRight w:val="0"/>
      <w:marTop w:val="0"/>
      <w:marBottom w:val="0"/>
      <w:divBdr>
        <w:top w:val="none" w:sz="0" w:space="0" w:color="auto"/>
        <w:left w:val="none" w:sz="0" w:space="0" w:color="auto"/>
        <w:bottom w:val="none" w:sz="0" w:space="0" w:color="auto"/>
        <w:right w:val="none" w:sz="0" w:space="0" w:color="auto"/>
      </w:divBdr>
    </w:div>
    <w:div w:id="1339043340">
      <w:bodyDiv w:val="1"/>
      <w:marLeft w:val="0"/>
      <w:marRight w:val="0"/>
      <w:marTop w:val="0"/>
      <w:marBottom w:val="0"/>
      <w:divBdr>
        <w:top w:val="none" w:sz="0" w:space="0" w:color="auto"/>
        <w:left w:val="none" w:sz="0" w:space="0" w:color="auto"/>
        <w:bottom w:val="none" w:sz="0" w:space="0" w:color="auto"/>
        <w:right w:val="none" w:sz="0" w:space="0" w:color="auto"/>
      </w:divBdr>
    </w:div>
    <w:div w:id="1341852891">
      <w:bodyDiv w:val="1"/>
      <w:marLeft w:val="0"/>
      <w:marRight w:val="0"/>
      <w:marTop w:val="0"/>
      <w:marBottom w:val="0"/>
      <w:divBdr>
        <w:top w:val="none" w:sz="0" w:space="0" w:color="auto"/>
        <w:left w:val="none" w:sz="0" w:space="0" w:color="auto"/>
        <w:bottom w:val="none" w:sz="0" w:space="0" w:color="auto"/>
        <w:right w:val="none" w:sz="0" w:space="0" w:color="auto"/>
      </w:divBdr>
    </w:div>
    <w:div w:id="1342468286">
      <w:bodyDiv w:val="1"/>
      <w:marLeft w:val="0"/>
      <w:marRight w:val="0"/>
      <w:marTop w:val="0"/>
      <w:marBottom w:val="0"/>
      <w:divBdr>
        <w:top w:val="none" w:sz="0" w:space="0" w:color="auto"/>
        <w:left w:val="none" w:sz="0" w:space="0" w:color="auto"/>
        <w:bottom w:val="none" w:sz="0" w:space="0" w:color="auto"/>
        <w:right w:val="none" w:sz="0" w:space="0" w:color="auto"/>
      </w:divBdr>
    </w:div>
    <w:div w:id="1342926740">
      <w:bodyDiv w:val="1"/>
      <w:marLeft w:val="0"/>
      <w:marRight w:val="0"/>
      <w:marTop w:val="0"/>
      <w:marBottom w:val="0"/>
      <w:divBdr>
        <w:top w:val="none" w:sz="0" w:space="0" w:color="auto"/>
        <w:left w:val="none" w:sz="0" w:space="0" w:color="auto"/>
        <w:bottom w:val="none" w:sz="0" w:space="0" w:color="auto"/>
        <w:right w:val="none" w:sz="0" w:space="0" w:color="auto"/>
      </w:divBdr>
    </w:div>
    <w:div w:id="1343125057">
      <w:bodyDiv w:val="1"/>
      <w:marLeft w:val="0"/>
      <w:marRight w:val="0"/>
      <w:marTop w:val="0"/>
      <w:marBottom w:val="0"/>
      <w:divBdr>
        <w:top w:val="none" w:sz="0" w:space="0" w:color="auto"/>
        <w:left w:val="none" w:sz="0" w:space="0" w:color="auto"/>
        <w:bottom w:val="none" w:sz="0" w:space="0" w:color="auto"/>
        <w:right w:val="none" w:sz="0" w:space="0" w:color="auto"/>
      </w:divBdr>
    </w:div>
    <w:div w:id="1343125994">
      <w:bodyDiv w:val="1"/>
      <w:marLeft w:val="0"/>
      <w:marRight w:val="0"/>
      <w:marTop w:val="0"/>
      <w:marBottom w:val="0"/>
      <w:divBdr>
        <w:top w:val="none" w:sz="0" w:space="0" w:color="auto"/>
        <w:left w:val="none" w:sz="0" w:space="0" w:color="auto"/>
        <w:bottom w:val="none" w:sz="0" w:space="0" w:color="auto"/>
        <w:right w:val="none" w:sz="0" w:space="0" w:color="auto"/>
      </w:divBdr>
    </w:div>
    <w:div w:id="1343358372">
      <w:bodyDiv w:val="1"/>
      <w:marLeft w:val="0"/>
      <w:marRight w:val="0"/>
      <w:marTop w:val="0"/>
      <w:marBottom w:val="0"/>
      <w:divBdr>
        <w:top w:val="none" w:sz="0" w:space="0" w:color="auto"/>
        <w:left w:val="none" w:sz="0" w:space="0" w:color="auto"/>
        <w:bottom w:val="none" w:sz="0" w:space="0" w:color="auto"/>
        <w:right w:val="none" w:sz="0" w:space="0" w:color="auto"/>
      </w:divBdr>
    </w:div>
    <w:div w:id="1343822190">
      <w:bodyDiv w:val="1"/>
      <w:marLeft w:val="0"/>
      <w:marRight w:val="0"/>
      <w:marTop w:val="0"/>
      <w:marBottom w:val="0"/>
      <w:divBdr>
        <w:top w:val="none" w:sz="0" w:space="0" w:color="auto"/>
        <w:left w:val="none" w:sz="0" w:space="0" w:color="auto"/>
        <w:bottom w:val="none" w:sz="0" w:space="0" w:color="auto"/>
        <w:right w:val="none" w:sz="0" w:space="0" w:color="auto"/>
      </w:divBdr>
    </w:div>
    <w:div w:id="1344551066">
      <w:bodyDiv w:val="1"/>
      <w:marLeft w:val="0"/>
      <w:marRight w:val="0"/>
      <w:marTop w:val="0"/>
      <w:marBottom w:val="0"/>
      <w:divBdr>
        <w:top w:val="none" w:sz="0" w:space="0" w:color="auto"/>
        <w:left w:val="none" w:sz="0" w:space="0" w:color="auto"/>
        <w:bottom w:val="none" w:sz="0" w:space="0" w:color="auto"/>
        <w:right w:val="none" w:sz="0" w:space="0" w:color="auto"/>
      </w:divBdr>
    </w:div>
    <w:div w:id="1344555184">
      <w:bodyDiv w:val="1"/>
      <w:marLeft w:val="0"/>
      <w:marRight w:val="0"/>
      <w:marTop w:val="0"/>
      <w:marBottom w:val="0"/>
      <w:divBdr>
        <w:top w:val="none" w:sz="0" w:space="0" w:color="auto"/>
        <w:left w:val="none" w:sz="0" w:space="0" w:color="auto"/>
        <w:bottom w:val="none" w:sz="0" w:space="0" w:color="auto"/>
        <w:right w:val="none" w:sz="0" w:space="0" w:color="auto"/>
      </w:divBdr>
    </w:div>
    <w:div w:id="1345671056">
      <w:bodyDiv w:val="1"/>
      <w:marLeft w:val="0"/>
      <w:marRight w:val="0"/>
      <w:marTop w:val="0"/>
      <w:marBottom w:val="0"/>
      <w:divBdr>
        <w:top w:val="none" w:sz="0" w:space="0" w:color="auto"/>
        <w:left w:val="none" w:sz="0" w:space="0" w:color="auto"/>
        <w:bottom w:val="none" w:sz="0" w:space="0" w:color="auto"/>
        <w:right w:val="none" w:sz="0" w:space="0" w:color="auto"/>
      </w:divBdr>
    </w:div>
    <w:div w:id="1345672811">
      <w:bodyDiv w:val="1"/>
      <w:marLeft w:val="0"/>
      <w:marRight w:val="0"/>
      <w:marTop w:val="0"/>
      <w:marBottom w:val="0"/>
      <w:divBdr>
        <w:top w:val="none" w:sz="0" w:space="0" w:color="auto"/>
        <w:left w:val="none" w:sz="0" w:space="0" w:color="auto"/>
        <w:bottom w:val="none" w:sz="0" w:space="0" w:color="auto"/>
        <w:right w:val="none" w:sz="0" w:space="0" w:color="auto"/>
      </w:divBdr>
    </w:div>
    <w:div w:id="1345673313">
      <w:bodyDiv w:val="1"/>
      <w:marLeft w:val="0"/>
      <w:marRight w:val="0"/>
      <w:marTop w:val="0"/>
      <w:marBottom w:val="0"/>
      <w:divBdr>
        <w:top w:val="none" w:sz="0" w:space="0" w:color="auto"/>
        <w:left w:val="none" w:sz="0" w:space="0" w:color="auto"/>
        <w:bottom w:val="none" w:sz="0" w:space="0" w:color="auto"/>
        <w:right w:val="none" w:sz="0" w:space="0" w:color="auto"/>
      </w:divBdr>
    </w:div>
    <w:div w:id="1346058069">
      <w:bodyDiv w:val="1"/>
      <w:marLeft w:val="0"/>
      <w:marRight w:val="0"/>
      <w:marTop w:val="0"/>
      <w:marBottom w:val="0"/>
      <w:divBdr>
        <w:top w:val="none" w:sz="0" w:space="0" w:color="auto"/>
        <w:left w:val="none" w:sz="0" w:space="0" w:color="auto"/>
        <w:bottom w:val="none" w:sz="0" w:space="0" w:color="auto"/>
        <w:right w:val="none" w:sz="0" w:space="0" w:color="auto"/>
      </w:divBdr>
    </w:div>
    <w:div w:id="1346519865">
      <w:bodyDiv w:val="1"/>
      <w:marLeft w:val="0"/>
      <w:marRight w:val="0"/>
      <w:marTop w:val="0"/>
      <w:marBottom w:val="0"/>
      <w:divBdr>
        <w:top w:val="none" w:sz="0" w:space="0" w:color="auto"/>
        <w:left w:val="none" w:sz="0" w:space="0" w:color="auto"/>
        <w:bottom w:val="none" w:sz="0" w:space="0" w:color="auto"/>
        <w:right w:val="none" w:sz="0" w:space="0" w:color="auto"/>
      </w:divBdr>
    </w:div>
    <w:div w:id="1346589821">
      <w:bodyDiv w:val="1"/>
      <w:marLeft w:val="0"/>
      <w:marRight w:val="0"/>
      <w:marTop w:val="0"/>
      <w:marBottom w:val="0"/>
      <w:divBdr>
        <w:top w:val="none" w:sz="0" w:space="0" w:color="auto"/>
        <w:left w:val="none" w:sz="0" w:space="0" w:color="auto"/>
        <w:bottom w:val="none" w:sz="0" w:space="0" w:color="auto"/>
        <w:right w:val="none" w:sz="0" w:space="0" w:color="auto"/>
      </w:divBdr>
    </w:div>
    <w:div w:id="1347099797">
      <w:bodyDiv w:val="1"/>
      <w:marLeft w:val="0"/>
      <w:marRight w:val="0"/>
      <w:marTop w:val="0"/>
      <w:marBottom w:val="0"/>
      <w:divBdr>
        <w:top w:val="none" w:sz="0" w:space="0" w:color="auto"/>
        <w:left w:val="none" w:sz="0" w:space="0" w:color="auto"/>
        <w:bottom w:val="none" w:sz="0" w:space="0" w:color="auto"/>
        <w:right w:val="none" w:sz="0" w:space="0" w:color="auto"/>
      </w:divBdr>
    </w:div>
    <w:div w:id="1348369991">
      <w:bodyDiv w:val="1"/>
      <w:marLeft w:val="0"/>
      <w:marRight w:val="0"/>
      <w:marTop w:val="0"/>
      <w:marBottom w:val="0"/>
      <w:divBdr>
        <w:top w:val="none" w:sz="0" w:space="0" w:color="auto"/>
        <w:left w:val="none" w:sz="0" w:space="0" w:color="auto"/>
        <w:bottom w:val="none" w:sz="0" w:space="0" w:color="auto"/>
        <w:right w:val="none" w:sz="0" w:space="0" w:color="auto"/>
      </w:divBdr>
    </w:div>
    <w:div w:id="1349522807">
      <w:bodyDiv w:val="1"/>
      <w:marLeft w:val="0"/>
      <w:marRight w:val="0"/>
      <w:marTop w:val="0"/>
      <w:marBottom w:val="0"/>
      <w:divBdr>
        <w:top w:val="none" w:sz="0" w:space="0" w:color="auto"/>
        <w:left w:val="none" w:sz="0" w:space="0" w:color="auto"/>
        <w:bottom w:val="none" w:sz="0" w:space="0" w:color="auto"/>
        <w:right w:val="none" w:sz="0" w:space="0" w:color="auto"/>
      </w:divBdr>
    </w:div>
    <w:div w:id="1349601794">
      <w:bodyDiv w:val="1"/>
      <w:marLeft w:val="0"/>
      <w:marRight w:val="0"/>
      <w:marTop w:val="0"/>
      <w:marBottom w:val="0"/>
      <w:divBdr>
        <w:top w:val="none" w:sz="0" w:space="0" w:color="auto"/>
        <w:left w:val="none" w:sz="0" w:space="0" w:color="auto"/>
        <w:bottom w:val="none" w:sz="0" w:space="0" w:color="auto"/>
        <w:right w:val="none" w:sz="0" w:space="0" w:color="auto"/>
      </w:divBdr>
    </w:div>
    <w:div w:id="1349603013">
      <w:bodyDiv w:val="1"/>
      <w:marLeft w:val="0"/>
      <w:marRight w:val="0"/>
      <w:marTop w:val="0"/>
      <w:marBottom w:val="0"/>
      <w:divBdr>
        <w:top w:val="none" w:sz="0" w:space="0" w:color="auto"/>
        <w:left w:val="none" w:sz="0" w:space="0" w:color="auto"/>
        <w:bottom w:val="none" w:sz="0" w:space="0" w:color="auto"/>
        <w:right w:val="none" w:sz="0" w:space="0" w:color="auto"/>
      </w:divBdr>
    </w:div>
    <w:div w:id="1349794394">
      <w:bodyDiv w:val="1"/>
      <w:marLeft w:val="0"/>
      <w:marRight w:val="0"/>
      <w:marTop w:val="0"/>
      <w:marBottom w:val="0"/>
      <w:divBdr>
        <w:top w:val="none" w:sz="0" w:space="0" w:color="auto"/>
        <w:left w:val="none" w:sz="0" w:space="0" w:color="auto"/>
        <w:bottom w:val="none" w:sz="0" w:space="0" w:color="auto"/>
        <w:right w:val="none" w:sz="0" w:space="0" w:color="auto"/>
      </w:divBdr>
    </w:div>
    <w:div w:id="1349913699">
      <w:bodyDiv w:val="1"/>
      <w:marLeft w:val="0"/>
      <w:marRight w:val="0"/>
      <w:marTop w:val="0"/>
      <w:marBottom w:val="0"/>
      <w:divBdr>
        <w:top w:val="none" w:sz="0" w:space="0" w:color="auto"/>
        <w:left w:val="none" w:sz="0" w:space="0" w:color="auto"/>
        <w:bottom w:val="none" w:sz="0" w:space="0" w:color="auto"/>
        <w:right w:val="none" w:sz="0" w:space="0" w:color="auto"/>
      </w:divBdr>
    </w:div>
    <w:div w:id="1351756447">
      <w:bodyDiv w:val="1"/>
      <w:marLeft w:val="0"/>
      <w:marRight w:val="0"/>
      <w:marTop w:val="0"/>
      <w:marBottom w:val="0"/>
      <w:divBdr>
        <w:top w:val="none" w:sz="0" w:space="0" w:color="auto"/>
        <w:left w:val="none" w:sz="0" w:space="0" w:color="auto"/>
        <w:bottom w:val="none" w:sz="0" w:space="0" w:color="auto"/>
        <w:right w:val="none" w:sz="0" w:space="0" w:color="auto"/>
      </w:divBdr>
    </w:div>
    <w:div w:id="1351878270">
      <w:bodyDiv w:val="1"/>
      <w:marLeft w:val="0"/>
      <w:marRight w:val="0"/>
      <w:marTop w:val="0"/>
      <w:marBottom w:val="0"/>
      <w:divBdr>
        <w:top w:val="none" w:sz="0" w:space="0" w:color="auto"/>
        <w:left w:val="none" w:sz="0" w:space="0" w:color="auto"/>
        <w:bottom w:val="none" w:sz="0" w:space="0" w:color="auto"/>
        <w:right w:val="none" w:sz="0" w:space="0" w:color="auto"/>
      </w:divBdr>
    </w:div>
    <w:div w:id="1352218687">
      <w:bodyDiv w:val="1"/>
      <w:marLeft w:val="0"/>
      <w:marRight w:val="0"/>
      <w:marTop w:val="0"/>
      <w:marBottom w:val="0"/>
      <w:divBdr>
        <w:top w:val="none" w:sz="0" w:space="0" w:color="auto"/>
        <w:left w:val="none" w:sz="0" w:space="0" w:color="auto"/>
        <w:bottom w:val="none" w:sz="0" w:space="0" w:color="auto"/>
        <w:right w:val="none" w:sz="0" w:space="0" w:color="auto"/>
      </w:divBdr>
    </w:div>
    <w:div w:id="1352341665">
      <w:bodyDiv w:val="1"/>
      <w:marLeft w:val="0"/>
      <w:marRight w:val="0"/>
      <w:marTop w:val="0"/>
      <w:marBottom w:val="0"/>
      <w:divBdr>
        <w:top w:val="none" w:sz="0" w:space="0" w:color="auto"/>
        <w:left w:val="none" w:sz="0" w:space="0" w:color="auto"/>
        <w:bottom w:val="none" w:sz="0" w:space="0" w:color="auto"/>
        <w:right w:val="none" w:sz="0" w:space="0" w:color="auto"/>
      </w:divBdr>
    </w:div>
    <w:div w:id="1352610378">
      <w:bodyDiv w:val="1"/>
      <w:marLeft w:val="0"/>
      <w:marRight w:val="0"/>
      <w:marTop w:val="0"/>
      <w:marBottom w:val="0"/>
      <w:divBdr>
        <w:top w:val="none" w:sz="0" w:space="0" w:color="auto"/>
        <w:left w:val="none" w:sz="0" w:space="0" w:color="auto"/>
        <w:bottom w:val="none" w:sz="0" w:space="0" w:color="auto"/>
        <w:right w:val="none" w:sz="0" w:space="0" w:color="auto"/>
      </w:divBdr>
    </w:div>
    <w:div w:id="1354108041">
      <w:bodyDiv w:val="1"/>
      <w:marLeft w:val="0"/>
      <w:marRight w:val="0"/>
      <w:marTop w:val="0"/>
      <w:marBottom w:val="0"/>
      <w:divBdr>
        <w:top w:val="none" w:sz="0" w:space="0" w:color="auto"/>
        <w:left w:val="none" w:sz="0" w:space="0" w:color="auto"/>
        <w:bottom w:val="none" w:sz="0" w:space="0" w:color="auto"/>
        <w:right w:val="none" w:sz="0" w:space="0" w:color="auto"/>
      </w:divBdr>
    </w:div>
    <w:div w:id="1354258868">
      <w:bodyDiv w:val="1"/>
      <w:marLeft w:val="0"/>
      <w:marRight w:val="0"/>
      <w:marTop w:val="0"/>
      <w:marBottom w:val="0"/>
      <w:divBdr>
        <w:top w:val="none" w:sz="0" w:space="0" w:color="auto"/>
        <w:left w:val="none" w:sz="0" w:space="0" w:color="auto"/>
        <w:bottom w:val="none" w:sz="0" w:space="0" w:color="auto"/>
        <w:right w:val="none" w:sz="0" w:space="0" w:color="auto"/>
      </w:divBdr>
    </w:div>
    <w:div w:id="1354451327">
      <w:bodyDiv w:val="1"/>
      <w:marLeft w:val="0"/>
      <w:marRight w:val="0"/>
      <w:marTop w:val="0"/>
      <w:marBottom w:val="0"/>
      <w:divBdr>
        <w:top w:val="none" w:sz="0" w:space="0" w:color="auto"/>
        <w:left w:val="none" w:sz="0" w:space="0" w:color="auto"/>
        <w:bottom w:val="none" w:sz="0" w:space="0" w:color="auto"/>
        <w:right w:val="none" w:sz="0" w:space="0" w:color="auto"/>
      </w:divBdr>
    </w:div>
    <w:div w:id="1354457739">
      <w:bodyDiv w:val="1"/>
      <w:marLeft w:val="0"/>
      <w:marRight w:val="0"/>
      <w:marTop w:val="0"/>
      <w:marBottom w:val="0"/>
      <w:divBdr>
        <w:top w:val="none" w:sz="0" w:space="0" w:color="auto"/>
        <w:left w:val="none" w:sz="0" w:space="0" w:color="auto"/>
        <w:bottom w:val="none" w:sz="0" w:space="0" w:color="auto"/>
        <w:right w:val="none" w:sz="0" w:space="0" w:color="auto"/>
      </w:divBdr>
    </w:div>
    <w:div w:id="1354769289">
      <w:bodyDiv w:val="1"/>
      <w:marLeft w:val="0"/>
      <w:marRight w:val="0"/>
      <w:marTop w:val="0"/>
      <w:marBottom w:val="0"/>
      <w:divBdr>
        <w:top w:val="none" w:sz="0" w:space="0" w:color="auto"/>
        <w:left w:val="none" w:sz="0" w:space="0" w:color="auto"/>
        <w:bottom w:val="none" w:sz="0" w:space="0" w:color="auto"/>
        <w:right w:val="none" w:sz="0" w:space="0" w:color="auto"/>
      </w:divBdr>
    </w:div>
    <w:div w:id="1355612470">
      <w:bodyDiv w:val="1"/>
      <w:marLeft w:val="0"/>
      <w:marRight w:val="0"/>
      <w:marTop w:val="0"/>
      <w:marBottom w:val="0"/>
      <w:divBdr>
        <w:top w:val="none" w:sz="0" w:space="0" w:color="auto"/>
        <w:left w:val="none" w:sz="0" w:space="0" w:color="auto"/>
        <w:bottom w:val="none" w:sz="0" w:space="0" w:color="auto"/>
        <w:right w:val="none" w:sz="0" w:space="0" w:color="auto"/>
      </w:divBdr>
    </w:div>
    <w:div w:id="1355763471">
      <w:bodyDiv w:val="1"/>
      <w:marLeft w:val="0"/>
      <w:marRight w:val="0"/>
      <w:marTop w:val="0"/>
      <w:marBottom w:val="0"/>
      <w:divBdr>
        <w:top w:val="none" w:sz="0" w:space="0" w:color="auto"/>
        <w:left w:val="none" w:sz="0" w:space="0" w:color="auto"/>
        <w:bottom w:val="none" w:sz="0" w:space="0" w:color="auto"/>
        <w:right w:val="none" w:sz="0" w:space="0" w:color="auto"/>
      </w:divBdr>
    </w:div>
    <w:div w:id="1355770734">
      <w:bodyDiv w:val="1"/>
      <w:marLeft w:val="0"/>
      <w:marRight w:val="0"/>
      <w:marTop w:val="0"/>
      <w:marBottom w:val="0"/>
      <w:divBdr>
        <w:top w:val="none" w:sz="0" w:space="0" w:color="auto"/>
        <w:left w:val="none" w:sz="0" w:space="0" w:color="auto"/>
        <w:bottom w:val="none" w:sz="0" w:space="0" w:color="auto"/>
        <w:right w:val="none" w:sz="0" w:space="0" w:color="auto"/>
      </w:divBdr>
    </w:div>
    <w:div w:id="1356228395">
      <w:bodyDiv w:val="1"/>
      <w:marLeft w:val="0"/>
      <w:marRight w:val="0"/>
      <w:marTop w:val="0"/>
      <w:marBottom w:val="0"/>
      <w:divBdr>
        <w:top w:val="none" w:sz="0" w:space="0" w:color="auto"/>
        <w:left w:val="none" w:sz="0" w:space="0" w:color="auto"/>
        <w:bottom w:val="none" w:sz="0" w:space="0" w:color="auto"/>
        <w:right w:val="none" w:sz="0" w:space="0" w:color="auto"/>
      </w:divBdr>
    </w:div>
    <w:div w:id="1356618902">
      <w:bodyDiv w:val="1"/>
      <w:marLeft w:val="0"/>
      <w:marRight w:val="0"/>
      <w:marTop w:val="0"/>
      <w:marBottom w:val="0"/>
      <w:divBdr>
        <w:top w:val="none" w:sz="0" w:space="0" w:color="auto"/>
        <w:left w:val="none" w:sz="0" w:space="0" w:color="auto"/>
        <w:bottom w:val="none" w:sz="0" w:space="0" w:color="auto"/>
        <w:right w:val="none" w:sz="0" w:space="0" w:color="auto"/>
      </w:divBdr>
    </w:div>
    <w:div w:id="1356736940">
      <w:bodyDiv w:val="1"/>
      <w:marLeft w:val="0"/>
      <w:marRight w:val="0"/>
      <w:marTop w:val="0"/>
      <w:marBottom w:val="0"/>
      <w:divBdr>
        <w:top w:val="none" w:sz="0" w:space="0" w:color="auto"/>
        <w:left w:val="none" w:sz="0" w:space="0" w:color="auto"/>
        <w:bottom w:val="none" w:sz="0" w:space="0" w:color="auto"/>
        <w:right w:val="none" w:sz="0" w:space="0" w:color="auto"/>
      </w:divBdr>
    </w:div>
    <w:div w:id="1356809246">
      <w:bodyDiv w:val="1"/>
      <w:marLeft w:val="0"/>
      <w:marRight w:val="0"/>
      <w:marTop w:val="0"/>
      <w:marBottom w:val="0"/>
      <w:divBdr>
        <w:top w:val="none" w:sz="0" w:space="0" w:color="auto"/>
        <w:left w:val="none" w:sz="0" w:space="0" w:color="auto"/>
        <w:bottom w:val="none" w:sz="0" w:space="0" w:color="auto"/>
        <w:right w:val="none" w:sz="0" w:space="0" w:color="auto"/>
      </w:divBdr>
    </w:div>
    <w:div w:id="1358434078">
      <w:bodyDiv w:val="1"/>
      <w:marLeft w:val="0"/>
      <w:marRight w:val="0"/>
      <w:marTop w:val="0"/>
      <w:marBottom w:val="0"/>
      <w:divBdr>
        <w:top w:val="none" w:sz="0" w:space="0" w:color="auto"/>
        <w:left w:val="none" w:sz="0" w:space="0" w:color="auto"/>
        <w:bottom w:val="none" w:sz="0" w:space="0" w:color="auto"/>
        <w:right w:val="none" w:sz="0" w:space="0" w:color="auto"/>
      </w:divBdr>
    </w:div>
    <w:div w:id="1358585208">
      <w:bodyDiv w:val="1"/>
      <w:marLeft w:val="0"/>
      <w:marRight w:val="0"/>
      <w:marTop w:val="0"/>
      <w:marBottom w:val="0"/>
      <w:divBdr>
        <w:top w:val="none" w:sz="0" w:space="0" w:color="auto"/>
        <w:left w:val="none" w:sz="0" w:space="0" w:color="auto"/>
        <w:bottom w:val="none" w:sz="0" w:space="0" w:color="auto"/>
        <w:right w:val="none" w:sz="0" w:space="0" w:color="auto"/>
      </w:divBdr>
    </w:div>
    <w:div w:id="1359043093">
      <w:bodyDiv w:val="1"/>
      <w:marLeft w:val="0"/>
      <w:marRight w:val="0"/>
      <w:marTop w:val="0"/>
      <w:marBottom w:val="0"/>
      <w:divBdr>
        <w:top w:val="none" w:sz="0" w:space="0" w:color="auto"/>
        <w:left w:val="none" w:sz="0" w:space="0" w:color="auto"/>
        <w:bottom w:val="none" w:sz="0" w:space="0" w:color="auto"/>
        <w:right w:val="none" w:sz="0" w:space="0" w:color="auto"/>
      </w:divBdr>
    </w:div>
    <w:div w:id="1359429719">
      <w:bodyDiv w:val="1"/>
      <w:marLeft w:val="0"/>
      <w:marRight w:val="0"/>
      <w:marTop w:val="0"/>
      <w:marBottom w:val="0"/>
      <w:divBdr>
        <w:top w:val="none" w:sz="0" w:space="0" w:color="auto"/>
        <w:left w:val="none" w:sz="0" w:space="0" w:color="auto"/>
        <w:bottom w:val="none" w:sz="0" w:space="0" w:color="auto"/>
        <w:right w:val="none" w:sz="0" w:space="0" w:color="auto"/>
      </w:divBdr>
    </w:div>
    <w:div w:id="1359694451">
      <w:bodyDiv w:val="1"/>
      <w:marLeft w:val="0"/>
      <w:marRight w:val="0"/>
      <w:marTop w:val="0"/>
      <w:marBottom w:val="0"/>
      <w:divBdr>
        <w:top w:val="none" w:sz="0" w:space="0" w:color="auto"/>
        <w:left w:val="none" w:sz="0" w:space="0" w:color="auto"/>
        <w:bottom w:val="none" w:sz="0" w:space="0" w:color="auto"/>
        <w:right w:val="none" w:sz="0" w:space="0" w:color="auto"/>
      </w:divBdr>
    </w:div>
    <w:div w:id="1359695395">
      <w:bodyDiv w:val="1"/>
      <w:marLeft w:val="0"/>
      <w:marRight w:val="0"/>
      <w:marTop w:val="0"/>
      <w:marBottom w:val="0"/>
      <w:divBdr>
        <w:top w:val="none" w:sz="0" w:space="0" w:color="auto"/>
        <w:left w:val="none" w:sz="0" w:space="0" w:color="auto"/>
        <w:bottom w:val="none" w:sz="0" w:space="0" w:color="auto"/>
        <w:right w:val="none" w:sz="0" w:space="0" w:color="auto"/>
      </w:divBdr>
    </w:div>
    <w:div w:id="1361315568">
      <w:bodyDiv w:val="1"/>
      <w:marLeft w:val="0"/>
      <w:marRight w:val="0"/>
      <w:marTop w:val="0"/>
      <w:marBottom w:val="0"/>
      <w:divBdr>
        <w:top w:val="none" w:sz="0" w:space="0" w:color="auto"/>
        <w:left w:val="none" w:sz="0" w:space="0" w:color="auto"/>
        <w:bottom w:val="none" w:sz="0" w:space="0" w:color="auto"/>
        <w:right w:val="none" w:sz="0" w:space="0" w:color="auto"/>
      </w:divBdr>
    </w:div>
    <w:div w:id="1361469106">
      <w:bodyDiv w:val="1"/>
      <w:marLeft w:val="0"/>
      <w:marRight w:val="0"/>
      <w:marTop w:val="0"/>
      <w:marBottom w:val="0"/>
      <w:divBdr>
        <w:top w:val="none" w:sz="0" w:space="0" w:color="auto"/>
        <w:left w:val="none" w:sz="0" w:space="0" w:color="auto"/>
        <w:bottom w:val="none" w:sz="0" w:space="0" w:color="auto"/>
        <w:right w:val="none" w:sz="0" w:space="0" w:color="auto"/>
      </w:divBdr>
    </w:div>
    <w:div w:id="1361778570">
      <w:bodyDiv w:val="1"/>
      <w:marLeft w:val="0"/>
      <w:marRight w:val="0"/>
      <w:marTop w:val="0"/>
      <w:marBottom w:val="0"/>
      <w:divBdr>
        <w:top w:val="none" w:sz="0" w:space="0" w:color="auto"/>
        <w:left w:val="none" w:sz="0" w:space="0" w:color="auto"/>
        <w:bottom w:val="none" w:sz="0" w:space="0" w:color="auto"/>
        <w:right w:val="none" w:sz="0" w:space="0" w:color="auto"/>
      </w:divBdr>
    </w:div>
    <w:div w:id="1361857083">
      <w:bodyDiv w:val="1"/>
      <w:marLeft w:val="0"/>
      <w:marRight w:val="0"/>
      <w:marTop w:val="0"/>
      <w:marBottom w:val="0"/>
      <w:divBdr>
        <w:top w:val="none" w:sz="0" w:space="0" w:color="auto"/>
        <w:left w:val="none" w:sz="0" w:space="0" w:color="auto"/>
        <w:bottom w:val="none" w:sz="0" w:space="0" w:color="auto"/>
        <w:right w:val="none" w:sz="0" w:space="0" w:color="auto"/>
      </w:divBdr>
    </w:div>
    <w:div w:id="1361971901">
      <w:bodyDiv w:val="1"/>
      <w:marLeft w:val="0"/>
      <w:marRight w:val="0"/>
      <w:marTop w:val="0"/>
      <w:marBottom w:val="0"/>
      <w:divBdr>
        <w:top w:val="none" w:sz="0" w:space="0" w:color="auto"/>
        <w:left w:val="none" w:sz="0" w:space="0" w:color="auto"/>
        <w:bottom w:val="none" w:sz="0" w:space="0" w:color="auto"/>
        <w:right w:val="none" w:sz="0" w:space="0" w:color="auto"/>
      </w:divBdr>
    </w:div>
    <w:div w:id="1362633778">
      <w:bodyDiv w:val="1"/>
      <w:marLeft w:val="0"/>
      <w:marRight w:val="0"/>
      <w:marTop w:val="0"/>
      <w:marBottom w:val="0"/>
      <w:divBdr>
        <w:top w:val="none" w:sz="0" w:space="0" w:color="auto"/>
        <w:left w:val="none" w:sz="0" w:space="0" w:color="auto"/>
        <w:bottom w:val="none" w:sz="0" w:space="0" w:color="auto"/>
        <w:right w:val="none" w:sz="0" w:space="0" w:color="auto"/>
      </w:divBdr>
    </w:div>
    <w:div w:id="1363164969">
      <w:bodyDiv w:val="1"/>
      <w:marLeft w:val="0"/>
      <w:marRight w:val="0"/>
      <w:marTop w:val="0"/>
      <w:marBottom w:val="0"/>
      <w:divBdr>
        <w:top w:val="none" w:sz="0" w:space="0" w:color="auto"/>
        <w:left w:val="none" w:sz="0" w:space="0" w:color="auto"/>
        <w:bottom w:val="none" w:sz="0" w:space="0" w:color="auto"/>
        <w:right w:val="none" w:sz="0" w:space="0" w:color="auto"/>
      </w:divBdr>
    </w:div>
    <w:div w:id="1363750327">
      <w:bodyDiv w:val="1"/>
      <w:marLeft w:val="0"/>
      <w:marRight w:val="0"/>
      <w:marTop w:val="0"/>
      <w:marBottom w:val="0"/>
      <w:divBdr>
        <w:top w:val="none" w:sz="0" w:space="0" w:color="auto"/>
        <w:left w:val="none" w:sz="0" w:space="0" w:color="auto"/>
        <w:bottom w:val="none" w:sz="0" w:space="0" w:color="auto"/>
        <w:right w:val="none" w:sz="0" w:space="0" w:color="auto"/>
      </w:divBdr>
    </w:div>
    <w:div w:id="1364402056">
      <w:bodyDiv w:val="1"/>
      <w:marLeft w:val="0"/>
      <w:marRight w:val="0"/>
      <w:marTop w:val="0"/>
      <w:marBottom w:val="0"/>
      <w:divBdr>
        <w:top w:val="none" w:sz="0" w:space="0" w:color="auto"/>
        <w:left w:val="none" w:sz="0" w:space="0" w:color="auto"/>
        <w:bottom w:val="none" w:sz="0" w:space="0" w:color="auto"/>
        <w:right w:val="none" w:sz="0" w:space="0" w:color="auto"/>
      </w:divBdr>
    </w:div>
    <w:div w:id="1364675741">
      <w:bodyDiv w:val="1"/>
      <w:marLeft w:val="0"/>
      <w:marRight w:val="0"/>
      <w:marTop w:val="0"/>
      <w:marBottom w:val="0"/>
      <w:divBdr>
        <w:top w:val="none" w:sz="0" w:space="0" w:color="auto"/>
        <w:left w:val="none" w:sz="0" w:space="0" w:color="auto"/>
        <w:bottom w:val="none" w:sz="0" w:space="0" w:color="auto"/>
        <w:right w:val="none" w:sz="0" w:space="0" w:color="auto"/>
      </w:divBdr>
    </w:div>
    <w:div w:id="1365406861">
      <w:bodyDiv w:val="1"/>
      <w:marLeft w:val="0"/>
      <w:marRight w:val="0"/>
      <w:marTop w:val="0"/>
      <w:marBottom w:val="0"/>
      <w:divBdr>
        <w:top w:val="none" w:sz="0" w:space="0" w:color="auto"/>
        <w:left w:val="none" w:sz="0" w:space="0" w:color="auto"/>
        <w:bottom w:val="none" w:sz="0" w:space="0" w:color="auto"/>
        <w:right w:val="none" w:sz="0" w:space="0" w:color="auto"/>
      </w:divBdr>
    </w:div>
    <w:div w:id="1365668093">
      <w:bodyDiv w:val="1"/>
      <w:marLeft w:val="0"/>
      <w:marRight w:val="0"/>
      <w:marTop w:val="0"/>
      <w:marBottom w:val="0"/>
      <w:divBdr>
        <w:top w:val="none" w:sz="0" w:space="0" w:color="auto"/>
        <w:left w:val="none" w:sz="0" w:space="0" w:color="auto"/>
        <w:bottom w:val="none" w:sz="0" w:space="0" w:color="auto"/>
        <w:right w:val="none" w:sz="0" w:space="0" w:color="auto"/>
      </w:divBdr>
    </w:div>
    <w:div w:id="1365903857">
      <w:bodyDiv w:val="1"/>
      <w:marLeft w:val="0"/>
      <w:marRight w:val="0"/>
      <w:marTop w:val="0"/>
      <w:marBottom w:val="0"/>
      <w:divBdr>
        <w:top w:val="none" w:sz="0" w:space="0" w:color="auto"/>
        <w:left w:val="none" w:sz="0" w:space="0" w:color="auto"/>
        <w:bottom w:val="none" w:sz="0" w:space="0" w:color="auto"/>
        <w:right w:val="none" w:sz="0" w:space="0" w:color="auto"/>
      </w:divBdr>
    </w:div>
    <w:div w:id="1366176518">
      <w:bodyDiv w:val="1"/>
      <w:marLeft w:val="0"/>
      <w:marRight w:val="0"/>
      <w:marTop w:val="0"/>
      <w:marBottom w:val="0"/>
      <w:divBdr>
        <w:top w:val="none" w:sz="0" w:space="0" w:color="auto"/>
        <w:left w:val="none" w:sz="0" w:space="0" w:color="auto"/>
        <w:bottom w:val="none" w:sz="0" w:space="0" w:color="auto"/>
        <w:right w:val="none" w:sz="0" w:space="0" w:color="auto"/>
      </w:divBdr>
    </w:div>
    <w:div w:id="1369986640">
      <w:bodyDiv w:val="1"/>
      <w:marLeft w:val="0"/>
      <w:marRight w:val="0"/>
      <w:marTop w:val="0"/>
      <w:marBottom w:val="0"/>
      <w:divBdr>
        <w:top w:val="none" w:sz="0" w:space="0" w:color="auto"/>
        <w:left w:val="none" w:sz="0" w:space="0" w:color="auto"/>
        <w:bottom w:val="none" w:sz="0" w:space="0" w:color="auto"/>
        <w:right w:val="none" w:sz="0" w:space="0" w:color="auto"/>
      </w:divBdr>
    </w:div>
    <w:div w:id="1371371532">
      <w:bodyDiv w:val="1"/>
      <w:marLeft w:val="0"/>
      <w:marRight w:val="0"/>
      <w:marTop w:val="0"/>
      <w:marBottom w:val="0"/>
      <w:divBdr>
        <w:top w:val="none" w:sz="0" w:space="0" w:color="auto"/>
        <w:left w:val="none" w:sz="0" w:space="0" w:color="auto"/>
        <w:bottom w:val="none" w:sz="0" w:space="0" w:color="auto"/>
        <w:right w:val="none" w:sz="0" w:space="0" w:color="auto"/>
      </w:divBdr>
    </w:div>
    <w:div w:id="1371761188">
      <w:bodyDiv w:val="1"/>
      <w:marLeft w:val="0"/>
      <w:marRight w:val="0"/>
      <w:marTop w:val="0"/>
      <w:marBottom w:val="0"/>
      <w:divBdr>
        <w:top w:val="none" w:sz="0" w:space="0" w:color="auto"/>
        <w:left w:val="none" w:sz="0" w:space="0" w:color="auto"/>
        <w:bottom w:val="none" w:sz="0" w:space="0" w:color="auto"/>
        <w:right w:val="none" w:sz="0" w:space="0" w:color="auto"/>
      </w:divBdr>
    </w:div>
    <w:div w:id="1373337917">
      <w:bodyDiv w:val="1"/>
      <w:marLeft w:val="0"/>
      <w:marRight w:val="0"/>
      <w:marTop w:val="0"/>
      <w:marBottom w:val="0"/>
      <w:divBdr>
        <w:top w:val="none" w:sz="0" w:space="0" w:color="auto"/>
        <w:left w:val="none" w:sz="0" w:space="0" w:color="auto"/>
        <w:bottom w:val="none" w:sz="0" w:space="0" w:color="auto"/>
        <w:right w:val="none" w:sz="0" w:space="0" w:color="auto"/>
      </w:divBdr>
    </w:div>
    <w:div w:id="1374185392">
      <w:bodyDiv w:val="1"/>
      <w:marLeft w:val="0"/>
      <w:marRight w:val="0"/>
      <w:marTop w:val="0"/>
      <w:marBottom w:val="0"/>
      <w:divBdr>
        <w:top w:val="none" w:sz="0" w:space="0" w:color="auto"/>
        <w:left w:val="none" w:sz="0" w:space="0" w:color="auto"/>
        <w:bottom w:val="none" w:sz="0" w:space="0" w:color="auto"/>
        <w:right w:val="none" w:sz="0" w:space="0" w:color="auto"/>
      </w:divBdr>
    </w:div>
    <w:div w:id="1374619705">
      <w:bodyDiv w:val="1"/>
      <w:marLeft w:val="0"/>
      <w:marRight w:val="0"/>
      <w:marTop w:val="0"/>
      <w:marBottom w:val="0"/>
      <w:divBdr>
        <w:top w:val="none" w:sz="0" w:space="0" w:color="auto"/>
        <w:left w:val="none" w:sz="0" w:space="0" w:color="auto"/>
        <w:bottom w:val="none" w:sz="0" w:space="0" w:color="auto"/>
        <w:right w:val="none" w:sz="0" w:space="0" w:color="auto"/>
      </w:divBdr>
    </w:div>
    <w:div w:id="1374892287">
      <w:bodyDiv w:val="1"/>
      <w:marLeft w:val="0"/>
      <w:marRight w:val="0"/>
      <w:marTop w:val="0"/>
      <w:marBottom w:val="0"/>
      <w:divBdr>
        <w:top w:val="none" w:sz="0" w:space="0" w:color="auto"/>
        <w:left w:val="none" w:sz="0" w:space="0" w:color="auto"/>
        <w:bottom w:val="none" w:sz="0" w:space="0" w:color="auto"/>
        <w:right w:val="none" w:sz="0" w:space="0" w:color="auto"/>
      </w:divBdr>
    </w:div>
    <w:div w:id="1374961161">
      <w:bodyDiv w:val="1"/>
      <w:marLeft w:val="0"/>
      <w:marRight w:val="0"/>
      <w:marTop w:val="0"/>
      <w:marBottom w:val="0"/>
      <w:divBdr>
        <w:top w:val="none" w:sz="0" w:space="0" w:color="auto"/>
        <w:left w:val="none" w:sz="0" w:space="0" w:color="auto"/>
        <w:bottom w:val="none" w:sz="0" w:space="0" w:color="auto"/>
        <w:right w:val="none" w:sz="0" w:space="0" w:color="auto"/>
      </w:divBdr>
    </w:div>
    <w:div w:id="1375226832">
      <w:bodyDiv w:val="1"/>
      <w:marLeft w:val="0"/>
      <w:marRight w:val="0"/>
      <w:marTop w:val="0"/>
      <w:marBottom w:val="0"/>
      <w:divBdr>
        <w:top w:val="none" w:sz="0" w:space="0" w:color="auto"/>
        <w:left w:val="none" w:sz="0" w:space="0" w:color="auto"/>
        <w:bottom w:val="none" w:sz="0" w:space="0" w:color="auto"/>
        <w:right w:val="none" w:sz="0" w:space="0" w:color="auto"/>
      </w:divBdr>
    </w:div>
    <w:div w:id="1375888036">
      <w:bodyDiv w:val="1"/>
      <w:marLeft w:val="0"/>
      <w:marRight w:val="0"/>
      <w:marTop w:val="0"/>
      <w:marBottom w:val="0"/>
      <w:divBdr>
        <w:top w:val="none" w:sz="0" w:space="0" w:color="auto"/>
        <w:left w:val="none" w:sz="0" w:space="0" w:color="auto"/>
        <w:bottom w:val="none" w:sz="0" w:space="0" w:color="auto"/>
        <w:right w:val="none" w:sz="0" w:space="0" w:color="auto"/>
      </w:divBdr>
    </w:div>
    <w:div w:id="1375931013">
      <w:bodyDiv w:val="1"/>
      <w:marLeft w:val="0"/>
      <w:marRight w:val="0"/>
      <w:marTop w:val="0"/>
      <w:marBottom w:val="0"/>
      <w:divBdr>
        <w:top w:val="none" w:sz="0" w:space="0" w:color="auto"/>
        <w:left w:val="none" w:sz="0" w:space="0" w:color="auto"/>
        <w:bottom w:val="none" w:sz="0" w:space="0" w:color="auto"/>
        <w:right w:val="none" w:sz="0" w:space="0" w:color="auto"/>
      </w:divBdr>
    </w:div>
    <w:div w:id="1376194125">
      <w:bodyDiv w:val="1"/>
      <w:marLeft w:val="0"/>
      <w:marRight w:val="0"/>
      <w:marTop w:val="0"/>
      <w:marBottom w:val="0"/>
      <w:divBdr>
        <w:top w:val="none" w:sz="0" w:space="0" w:color="auto"/>
        <w:left w:val="none" w:sz="0" w:space="0" w:color="auto"/>
        <w:bottom w:val="none" w:sz="0" w:space="0" w:color="auto"/>
        <w:right w:val="none" w:sz="0" w:space="0" w:color="auto"/>
      </w:divBdr>
    </w:div>
    <w:div w:id="1376662271">
      <w:bodyDiv w:val="1"/>
      <w:marLeft w:val="0"/>
      <w:marRight w:val="0"/>
      <w:marTop w:val="0"/>
      <w:marBottom w:val="0"/>
      <w:divBdr>
        <w:top w:val="none" w:sz="0" w:space="0" w:color="auto"/>
        <w:left w:val="none" w:sz="0" w:space="0" w:color="auto"/>
        <w:bottom w:val="none" w:sz="0" w:space="0" w:color="auto"/>
        <w:right w:val="none" w:sz="0" w:space="0" w:color="auto"/>
      </w:divBdr>
    </w:div>
    <w:div w:id="1377508297">
      <w:bodyDiv w:val="1"/>
      <w:marLeft w:val="0"/>
      <w:marRight w:val="0"/>
      <w:marTop w:val="0"/>
      <w:marBottom w:val="0"/>
      <w:divBdr>
        <w:top w:val="none" w:sz="0" w:space="0" w:color="auto"/>
        <w:left w:val="none" w:sz="0" w:space="0" w:color="auto"/>
        <w:bottom w:val="none" w:sz="0" w:space="0" w:color="auto"/>
        <w:right w:val="none" w:sz="0" w:space="0" w:color="auto"/>
      </w:divBdr>
    </w:div>
    <w:div w:id="1378360461">
      <w:bodyDiv w:val="1"/>
      <w:marLeft w:val="0"/>
      <w:marRight w:val="0"/>
      <w:marTop w:val="0"/>
      <w:marBottom w:val="0"/>
      <w:divBdr>
        <w:top w:val="none" w:sz="0" w:space="0" w:color="auto"/>
        <w:left w:val="none" w:sz="0" w:space="0" w:color="auto"/>
        <w:bottom w:val="none" w:sz="0" w:space="0" w:color="auto"/>
        <w:right w:val="none" w:sz="0" w:space="0" w:color="auto"/>
      </w:divBdr>
    </w:div>
    <w:div w:id="1378889543">
      <w:bodyDiv w:val="1"/>
      <w:marLeft w:val="0"/>
      <w:marRight w:val="0"/>
      <w:marTop w:val="0"/>
      <w:marBottom w:val="0"/>
      <w:divBdr>
        <w:top w:val="none" w:sz="0" w:space="0" w:color="auto"/>
        <w:left w:val="none" w:sz="0" w:space="0" w:color="auto"/>
        <w:bottom w:val="none" w:sz="0" w:space="0" w:color="auto"/>
        <w:right w:val="none" w:sz="0" w:space="0" w:color="auto"/>
      </w:divBdr>
    </w:div>
    <w:div w:id="1379009601">
      <w:bodyDiv w:val="1"/>
      <w:marLeft w:val="0"/>
      <w:marRight w:val="0"/>
      <w:marTop w:val="0"/>
      <w:marBottom w:val="0"/>
      <w:divBdr>
        <w:top w:val="none" w:sz="0" w:space="0" w:color="auto"/>
        <w:left w:val="none" w:sz="0" w:space="0" w:color="auto"/>
        <w:bottom w:val="none" w:sz="0" w:space="0" w:color="auto"/>
        <w:right w:val="none" w:sz="0" w:space="0" w:color="auto"/>
      </w:divBdr>
    </w:div>
    <w:div w:id="1379237595">
      <w:bodyDiv w:val="1"/>
      <w:marLeft w:val="0"/>
      <w:marRight w:val="0"/>
      <w:marTop w:val="0"/>
      <w:marBottom w:val="0"/>
      <w:divBdr>
        <w:top w:val="none" w:sz="0" w:space="0" w:color="auto"/>
        <w:left w:val="none" w:sz="0" w:space="0" w:color="auto"/>
        <w:bottom w:val="none" w:sz="0" w:space="0" w:color="auto"/>
        <w:right w:val="none" w:sz="0" w:space="0" w:color="auto"/>
      </w:divBdr>
    </w:div>
    <w:div w:id="1379665136">
      <w:bodyDiv w:val="1"/>
      <w:marLeft w:val="0"/>
      <w:marRight w:val="0"/>
      <w:marTop w:val="0"/>
      <w:marBottom w:val="0"/>
      <w:divBdr>
        <w:top w:val="none" w:sz="0" w:space="0" w:color="auto"/>
        <w:left w:val="none" w:sz="0" w:space="0" w:color="auto"/>
        <w:bottom w:val="none" w:sz="0" w:space="0" w:color="auto"/>
        <w:right w:val="none" w:sz="0" w:space="0" w:color="auto"/>
      </w:divBdr>
    </w:div>
    <w:div w:id="1381056329">
      <w:bodyDiv w:val="1"/>
      <w:marLeft w:val="0"/>
      <w:marRight w:val="0"/>
      <w:marTop w:val="0"/>
      <w:marBottom w:val="0"/>
      <w:divBdr>
        <w:top w:val="none" w:sz="0" w:space="0" w:color="auto"/>
        <w:left w:val="none" w:sz="0" w:space="0" w:color="auto"/>
        <w:bottom w:val="none" w:sz="0" w:space="0" w:color="auto"/>
        <w:right w:val="none" w:sz="0" w:space="0" w:color="auto"/>
      </w:divBdr>
    </w:div>
    <w:div w:id="1381321155">
      <w:bodyDiv w:val="1"/>
      <w:marLeft w:val="0"/>
      <w:marRight w:val="0"/>
      <w:marTop w:val="0"/>
      <w:marBottom w:val="0"/>
      <w:divBdr>
        <w:top w:val="none" w:sz="0" w:space="0" w:color="auto"/>
        <w:left w:val="none" w:sz="0" w:space="0" w:color="auto"/>
        <w:bottom w:val="none" w:sz="0" w:space="0" w:color="auto"/>
        <w:right w:val="none" w:sz="0" w:space="0" w:color="auto"/>
      </w:divBdr>
    </w:div>
    <w:div w:id="1382097864">
      <w:bodyDiv w:val="1"/>
      <w:marLeft w:val="0"/>
      <w:marRight w:val="0"/>
      <w:marTop w:val="0"/>
      <w:marBottom w:val="0"/>
      <w:divBdr>
        <w:top w:val="none" w:sz="0" w:space="0" w:color="auto"/>
        <w:left w:val="none" w:sz="0" w:space="0" w:color="auto"/>
        <w:bottom w:val="none" w:sz="0" w:space="0" w:color="auto"/>
        <w:right w:val="none" w:sz="0" w:space="0" w:color="auto"/>
      </w:divBdr>
    </w:div>
    <w:div w:id="1382441662">
      <w:bodyDiv w:val="1"/>
      <w:marLeft w:val="0"/>
      <w:marRight w:val="0"/>
      <w:marTop w:val="0"/>
      <w:marBottom w:val="0"/>
      <w:divBdr>
        <w:top w:val="none" w:sz="0" w:space="0" w:color="auto"/>
        <w:left w:val="none" w:sz="0" w:space="0" w:color="auto"/>
        <w:bottom w:val="none" w:sz="0" w:space="0" w:color="auto"/>
        <w:right w:val="none" w:sz="0" w:space="0" w:color="auto"/>
      </w:divBdr>
    </w:div>
    <w:div w:id="1382704389">
      <w:bodyDiv w:val="1"/>
      <w:marLeft w:val="0"/>
      <w:marRight w:val="0"/>
      <w:marTop w:val="0"/>
      <w:marBottom w:val="0"/>
      <w:divBdr>
        <w:top w:val="none" w:sz="0" w:space="0" w:color="auto"/>
        <w:left w:val="none" w:sz="0" w:space="0" w:color="auto"/>
        <w:bottom w:val="none" w:sz="0" w:space="0" w:color="auto"/>
        <w:right w:val="none" w:sz="0" w:space="0" w:color="auto"/>
      </w:divBdr>
    </w:div>
    <w:div w:id="1382826885">
      <w:bodyDiv w:val="1"/>
      <w:marLeft w:val="0"/>
      <w:marRight w:val="0"/>
      <w:marTop w:val="0"/>
      <w:marBottom w:val="0"/>
      <w:divBdr>
        <w:top w:val="none" w:sz="0" w:space="0" w:color="auto"/>
        <w:left w:val="none" w:sz="0" w:space="0" w:color="auto"/>
        <w:bottom w:val="none" w:sz="0" w:space="0" w:color="auto"/>
        <w:right w:val="none" w:sz="0" w:space="0" w:color="auto"/>
      </w:divBdr>
    </w:div>
    <w:div w:id="1383601927">
      <w:bodyDiv w:val="1"/>
      <w:marLeft w:val="0"/>
      <w:marRight w:val="0"/>
      <w:marTop w:val="0"/>
      <w:marBottom w:val="0"/>
      <w:divBdr>
        <w:top w:val="none" w:sz="0" w:space="0" w:color="auto"/>
        <w:left w:val="none" w:sz="0" w:space="0" w:color="auto"/>
        <w:bottom w:val="none" w:sz="0" w:space="0" w:color="auto"/>
        <w:right w:val="none" w:sz="0" w:space="0" w:color="auto"/>
      </w:divBdr>
    </w:div>
    <w:div w:id="1384645260">
      <w:bodyDiv w:val="1"/>
      <w:marLeft w:val="0"/>
      <w:marRight w:val="0"/>
      <w:marTop w:val="0"/>
      <w:marBottom w:val="0"/>
      <w:divBdr>
        <w:top w:val="none" w:sz="0" w:space="0" w:color="auto"/>
        <w:left w:val="none" w:sz="0" w:space="0" w:color="auto"/>
        <w:bottom w:val="none" w:sz="0" w:space="0" w:color="auto"/>
        <w:right w:val="none" w:sz="0" w:space="0" w:color="auto"/>
      </w:divBdr>
    </w:div>
    <w:div w:id="1385330656">
      <w:bodyDiv w:val="1"/>
      <w:marLeft w:val="0"/>
      <w:marRight w:val="0"/>
      <w:marTop w:val="0"/>
      <w:marBottom w:val="0"/>
      <w:divBdr>
        <w:top w:val="none" w:sz="0" w:space="0" w:color="auto"/>
        <w:left w:val="none" w:sz="0" w:space="0" w:color="auto"/>
        <w:bottom w:val="none" w:sz="0" w:space="0" w:color="auto"/>
        <w:right w:val="none" w:sz="0" w:space="0" w:color="auto"/>
      </w:divBdr>
    </w:div>
    <w:div w:id="1385564843">
      <w:bodyDiv w:val="1"/>
      <w:marLeft w:val="0"/>
      <w:marRight w:val="0"/>
      <w:marTop w:val="0"/>
      <w:marBottom w:val="0"/>
      <w:divBdr>
        <w:top w:val="none" w:sz="0" w:space="0" w:color="auto"/>
        <w:left w:val="none" w:sz="0" w:space="0" w:color="auto"/>
        <w:bottom w:val="none" w:sz="0" w:space="0" w:color="auto"/>
        <w:right w:val="none" w:sz="0" w:space="0" w:color="auto"/>
      </w:divBdr>
    </w:div>
    <w:div w:id="1385788838">
      <w:bodyDiv w:val="1"/>
      <w:marLeft w:val="0"/>
      <w:marRight w:val="0"/>
      <w:marTop w:val="0"/>
      <w:marBottom w:val="0"/>
      <w:divBdr>
        <w:top w:val="none" w:sz="0" w:space="0" w:color="auto"/>
        <w:left w:val="none" w:sz="0" w:space="0" w:color="auto"/>
        <w:bottom w:val="none" w:sz="0" w:space="0" w:color="auto"/>
        <w:right w:val="none" w:sz="0" w:space="0" w:color="auto"/>
      </w:divBdr>
    </w:div>
    <w:div w:id="1387608914">
      <w:bodyDiv w:val="1"/>
      <w:marLeft w:val="0"/>
      <w:marRight w:val="0"/>
      <w:marTop w:val="0"/>
      <w:marBottom w:val="0"/>
      <w:divBdr>
        <w:top w:val="none" w:sz="0" w:space="0" w:color="auto"/>
        <w:left w:val="none" w:sz="0" w:space="0" w:color="auto"/>
        <w:bottom w:val="none" w:sz="0" w:space="0" w:color="auto"/>
        <w:right w:val="none" w:sz="0" w:space="0" w:color="auto"/>
      </w:divBdr>
    </w:div>
    <w:div w:id="1387801570">
      <w:bodyDiv w:val="1"/>
      <w:marLeft w:val="0"/>
      <w:marRight w:val="0"/>
      <w:marTop w:val="0"/>
      <w:marBottom w:val="0"/>
      <w:divBdr>
        <w:top w:val="none" w:sz="0" w:space="0" w:color="auto"/>
        <w:left w:val="none" w:sz="0" w:space="0" w:color="auto"/>
        <w:bottom w:val="none" w:sz="0" w:space="0" w:color="auto"/>
        <w:right w:val="none" w:sz="0" w:space="0" w:color="auto"/>
      </w:divBdr>
    </w:div>
    <w:div w:id="1388070494">
      <w:bodyDiv w:val="1"/>
      <w:marLeft w:val="0"/>
      <w:marRight w:val="0"/>
      <w:marTop w:val="0"/>
      <w:marBottom w:val="0"/>
      <w:divBdr>
        <w:top w:val="none" w:sz="0" w:space="0" w:color="auto"/>
        <w:left w:val="none" w:sz="0" w:space="0" w:color="auto"/>
        <w:bottom w:val="none" w:sz="0" w:space="0" w:color="auto"/>
        <w:right w:val="none" w:sz="0" w:space="0" w:color="auto"/>
      </w:divBdr>
    </w:div>
    <w:div w:id="1388912522">
      <w:bodyDiv w:val="1"/>
      <w:marLeft w:val="0"/>
      <w:marRight w:val="0"/>
      <w:marTop w:val="0"/>
      <w:marBottom w:val="0"/>
      <w:divBdr>
        <w:top w:val="none" w:sz="0" w:space="0" w:color="auto"/>
        <w:left w:val="none" w:sz="0" w:space="0" w:color="auto"/>
        <w:bottom w:val="none" w:sz="0" w:space="0" w:color="auto"/>
        <w:right w:val="none" w:sz="0" w:space="0" w:color="auto"/>
      </w:divBdr>
    </w:div>
    <w:div w:id="1389038492">
      <w:bodyDiv w:val="1"/>
      <w:marLeft w:val="0"/>
      <w:marRight w:val="0"/>
      <w:marTop w:val="0"/>
      <w:marBottom w:val="0"/>
      <w:divBdr>
        <w:top w:val="none" w:sz="0" w:space="0" w:color="auto"/>
        <w:left w:val="none" w:sz="0" w:space="0" w:color="auto"/>
        <w:bottom w:val="none" w:sz="0" w:space="0" w:color="auto"/>
        <w:right w:val="none" w:sz="0" w:space="0" w:color="auto"/>
      </w:divBdr>
    </w:div>
    <w:div w:id="1389256193">
      <w:bodyDiv w:val="1"/>
      <w:marLeft w:val="0"/>
      <w:marRight w:val="0"/>
      <w:marTop w:val="0"/>
      <w:marBottom w:val="0"/>
      <w:divBdr>
        <w:top w:val="none" w:sz="0" w:space="0" w:color="auto"/>
        <w:left w:val="none" w:sz="0" w:space="0" w:color="auto"/>
        <w:bottom w:val="none" w:sz="0" w:space="0" w:color="auto"/>
        <w:right w:val="none" w:sz="0" w:space="0" w:color="auto"/>
      </w:divBdr>
    </w:div>
    <w:div w:id="1389722487">
      <w:bodyDiv w:val="1"/>
      <w:marLeft w:val="0"/>
      <w:marRight w:val="0"/>
      <w:marTop w:val="0"/>
      <w:marBottom w:val="0"/>
      <w:divBdr>
        <w:top w:val="none" w:sz="0" w:space="0" w:color="auto"/>
        <w:left w:val="none" w:sz="0" w:space="0" w:color="auto"/>
        <w:bottom w:val="none" w:sz="0" w:space="0" w:color="auto"/>
        <w:right w:val="none" w:sz="0" w:space="0" w:color="auto"/>
      </w:divBdr>
    </w:div>
    <w:div w:id="1389956321">
      <w:bodyDiv w:val="1"/>
      <w:marLeft w:val="0"/>
      <w:marRight w:val="0"/>
      <w:marTop w:val="0"/>
      <w:marBottom w:val="0"/>
      <w:divBdr>
        <w:top w:val="none" w:sz="0" w:space="0" w:color="auto"/>
        <w:left w:val="none" w:sz="0" w:space="0" w:color="auto"/>
        <w:bottom w:val="none" w:sz="0" w:space="0" w:color="auto"/>
        <w:right w:val="none" w:sz="0" w:space="0" w:color="auto"/>
      </w:divBdr>
    </w:div>
    <w:div w:id="1390810320">
      <w:bodyDiv w:val="1"/>
      <w:marLeft w:val="0"/>
      <w:marRight w:val="0"/>
      <w:marTop w:val="0"/>
      <w:marBottom w:val="0"/>
      <w:divBdr>
        <w:top w:val="none" w:sz="0" w:space="0" w:color="auto"/>
        <w:left w:val="none" w:sz="0" w:space="0" w:color="auto"/>
        <w:bottom w:val="none" w:sz="0" w:space="0" w:color="auto"/>
        <w:right w:val="none" w:sz="0" w:space="0" w:color="auto"/>
      </w:divBdr>
    </w:div>
    <w:div w:id="1391420516">
      <w:bodyDiv w:val="1"/>
      <w:marLeft w:val="0"/>
      <w:marRight w:val="0"/>
      <w:marTop w:val="0"/>
      <w:marBottom w:val="0"/>
      <w:divBdr>
        <w:top w:val="none" w:sz="0" w:space="0" w:color="auto"/>
        <w:left w:val="none" w:sz="0" w:space="0" w:color="auto"/>
        <w:bottom w:val="none" w:sz="0" w:space="0" w:color="auto"/>
        <w:right w:val="none" w:sz="0" w:space="0" w:color="auto"/>
      </w:divBdr>
    </w:div>
    <w:div w:id="1392073485">
      <w:bodyDiv w:val="1"/>
      <w:marLeft w:val="0"/>
      <w:marRight w:val="0"/>
      <w:marTop w:val="0"/>
      <w:marBottom w:val="0"/>
      <w:divBdr>
        <w:top w:val="none" w:sz="0" w:space="0" w:color="auto"/>
        <w:left w:val="none" w:sz="0" w:space="0" w:color="auto"/>
        <w:bottom w:val="none" w:sz="0" w:space="0" w:color="auto"/>
        <w:right w:val="none" w:sz="0" w:space="0" w:color="auto"/>
      </w:divBdr>
    </w:div>
    <w:div w:id="1392918875">
      <w:bodyDiv w:val="1"/>
      <w:marLeft w:val="0"/>
      <w:marRight w:val="0"/>
      <w:marTop w:val="0"/>
      <w:marBottom w:val="0"/>
      <w:divBdr>
        <w:top w:val="none" w:sz="0" w:space="0" w:color="auto"/>
        <w:left w:val="none" w:sz="0" w:space="0" w:color="auto"/>
        <w:bottom w:val="none" w:sz="0" w:space="0" w:color="auto"/>
        <w:right w:val="none" w:sz="0" w:space="0" w:color="auto"/>
      </w:divBdr>
    </w:div>
    <w:div w:id="1393693428">
      <w:bodyDiv w:val="1"/>
      <w:marLeft w:val="0"/>
      <w:marRight w:val="0"/>
      <w:marTop w:val="0"/>
      <w:marBottom w:val="0"/>
      <w:divBdr>
        <w:top w:val="none" w:sz="0" w:space="0" w:color="auto"/>
        <w:left w:val="none" w:sz="0" w:space="0" w:color="auto"/>
        <w:bottom w:val="none" w:sz="0" w:space="0" w:color="auto"/>
        <w:right w:val="none" w:sz="0" w:space="0" w:color="auto"/>
      </w:divBdr>
    </w:div>
    <w:div w:id="1395931275">
      <w:bodyDiv w:val="1"/>
      <w:marLeft w:val="0"/>
      <w:marRight w:val="0"/>
      <w:marTop w:val="0"/>
      <w:marBottom w:val="0"/>
      <w:divBdr>
        <w:top w:val="none" w:sz="0" w:space="0" w:color="auto"/>
        <w:left w:val="none" w:sz="0" w:space="0" w:color="auto"/>
        <w:bottom w:val="none" w:sz="0" w:space="0" w:color="auto"/>
        <w:right w:val="none" w:sz="0" w:space="0" w:color="auto"/>
      </w:divBdr>
    </w:div>
    <w:div w:id="1396394975">
      <w:bodyDiv w:val="1"/>
      <w:marLeft w:val="0"/>
      <w:marRight w:val="0"/>
      <w:marTop w:val="0"/>
      <w:marBottom w:val="0"/>
      <w:divBdr>
        <w:top w:val="none" w:sz="0" w:space="0" w:color="auto"/>
        <w:left w:val="none" w:sz="0" w:space="0" w:color="auto"/>
        <w:bottom w:val="none" w:sz="0" w:space="0" w:color="auto"/>
        <w:right w:val="none" w:sz="0" w:space="0" w:color="auto"/>
      </w:divBdr>
    </w:div>
    <w:div w:id="1396968744">
      <w:bodyDiv w:val="1"/>
      <w:marLeft w:val="0"/>
      <w:marRight w:val="0"/>
      <w:marTop w:val="0"/>
      <w:marBottom w:val="0"/>
      <w:divBdr>
        <w:top w:val="none" w:sz="0" w:space="0" w:color="auto"/>
        <w:left w:val="none" w:sz="0" w:space="0" w:color="auto"/>
        <w:bottom w:val="none" w:sz="0" w:space="0" w:color="auto"/>
        <w:right w:val="none" w:sz="0" w:space="0" w:color="auto"/>
      </w:divBdr>
    </w:div>
    <w:div w:id="1398019533">
      <w:bodyDiv w:val="1"/>
      <w:marLeft w:val="0"/>
      <w:marRight w:val="0"/>
      <w:marTop w:val="0"/>
      <w:marBottom w:val="0"/>
      <w:divBdr>
        <w:top w:val="none" w:sz="0" w:space="0" w:color="auto"/>
        <w:left w:val="none" w:sz="0" w:space="0" w:color="auto"/>
        <w:bottom w:val="none" w:sz="0" w:space="0" w:color="auto"/>
        <w:right w:val="none" w:sz="0" w:space="0" w:color="auto"/>
      </w:divBdr>
    </w:div>
    <w:div w:id="1398820131">
      <w:bodyDiv w:val="1"/>
      <w:marLeft w:val="0"/>
      <w:marRight w:val="0"/>
      <w:marTop w:val="0"/>
      <w:marBottom w:val="0"/>
      <w:divBdr>
        <w:top w:val="none" w:sz="0" w:space="0" w:color="auto"/>
        <w:left w:val="none" w:sz="0" w:space="0" w:color="auto"/>
        <w:bottom w:val="none" w:sz="0" w:space="0" w:color="auto"/>
        <w:right w:val="none" w:sz="0" w:space="0" w:color="auto"/>
      </w:divBdr>
    </w:div>
    <w:div w:id="1399668732">
      <w:bodyDiv w:val="1"/>
      <w:marLeft w:val="0"/>
      <w:marRight w:val="0"/>
      <w:marTop w:val="0"/>
      <w:marBottom w:val="0"/>
      <w:divBdr>
        <w:top w:val="none" w:sz="0" w:space="0" w:color="auto"/>
        <w:left w:val="none" w:sz="0" w:space="0" w:color="auto"/>
        <w:bottom w:val="none" w:sz="0" w:space="0" w:color="auto"/>
        <w:right w:val="none" w:sz="0" w:space="0" w:color="auto"/>
      </w:divBdr>
    </w:div>
    <w:div w:id="1399859218">
      <w:bodyDiv w:val="1"/>
      <w:marLeft w:val="0"/>
      <w:marRight w:val="0"/>
      <w:marTop w:val="0"/>
      <w:marBottom w:val="0"/>
      <w:divBdr>
        <w:top w:val="none" w:sz="0" w:space="0" w:color="auto"/>
        <w:left w:val="none" w:sz="0" w:space="0" w:color="auto"/>
        <w:bottom w:val="none" w:sz="0" w:space="0" w:color="auto"/>
        <w:right w:val="none" w:sz="0" w:space="0" w:color="auto"/>
      </w:divBdr>
    </w:div>
    <w:div w:id="1400060345">
      <w:bodyDiv w:val="1"/>
      <w:marLeft w:val="0"/>
      <w:marRight w:val="0"/>
      <w:marTop w:val="0"/>
      <w:marBottom w:val="0"/>
      <w:divBdr>
        <w:top w:val="none" w:sz="0" w:space="0" w:color="auto"/>
        <w:left w:val="none" w:sz="0" w:space="0" w:color="auto"/>
        <w:bottom w:val="none" w:sz="0" w:space="0" w:color="auto"/>
        <w:right w:val="none" w:sz="0" w:space="0" w:color="auto"/>
      </w:divBdr>
    </w:div>
    <w:div w:id="1400594656">
      <w:bodyDiv w:val="1"/>
      <w:marLeft w:val="0"/>
      <w:marRight w:val="0"/>
      <w:marTop w:val="0"/>
      <w:marBottom w:val="0"/>
      <w:divBdr>
        <w:top w:val="none" w:sz="0" w:space="0" w:color="auto"/>
        <w:left w:val="none" w:sz="0" w:space="0" w:color="auto"/>
        <w:bottom w:val="none" w:sz="0" w:space="0" w:color="auto"/>
        <w:right w:val="none" w:sz="0" w:space="0" w:color="auto"/>
      </w:divBdr>
    </w:div>
    <w:div w:id="1400782684">
      <w:bodyDiv w:val="1"/>
      <w:marLeft w:val="0"/>
      <w:marRight w:val="0"/>
      <w:marTop w:val="0"/>
      <w:marBottom w:val="0"/>
      <w:divBdr>
        <w:top w:val="none" w:sz="0" w:space="0" w:color="auto"/>
        <w:left w:val="none" w:sz="0" w:space="0" w:color="auto"/>
        <w:bottom w:val="none" w:sz="0" w:space="0" w:color="auto"/>
        <w:right w:val="none" w:sz="0" w:space="0" w:color="auto"/>
      </w:divBdr>
    </w:div>
    <w:div w:id="1400982389">
      <w:bodyDiv w:val="1"/>
      <w:marLeft w:val="0"/>
      <w:marRight w:val="0"/>
      <w:marTop w:val="0"/>
      <w:marBottom w:val="0"/>
      <w:divBdr>
        <w:top w:val="none" w:sz="0" w:space="0" w:color="auto"/>
        <w:left w:val="none" w:sz="0" w:space="0" w:color="auto"/>
        <w:bottom w:val="none" w:sz="0" w:space="0" w:color="auto"/>
        <w:right w:val="none" w:sz="0" w:space="0" w:color="auto"/>
      </w:divBdr>
    </w:div>
    <w:div w:id="1401369255">
      <w:bodyDiv w:val="1"/>
      <w:marLeft w:val="0"/>
      <w:marRight w:val="0"/>
      <w:marTop w:val="0"/>
      <w:marBottom w:val="0"/>
      <w:divBdr>
        <w:top w:val="none" w:sz="0" w:space="0" w:color="auto"/>
        <w:left w:val="none" w:sz="0" w:space="0" w:color="auto"/>
        <w:bottom w:val="none" w:sz="0" w:space="0" w:color="auto"/>
        <w:right w:val="none" w:sz="0" w:space="0" w:color="auto"/>
      </w:divBdr>
    </w:div>
    <w:div w:id="1401519291">
      <w:bodyDiv w:val="1"/>
      <w:marLeft w:val="0"/>
      <w:marRight w:val="0"/>
      <w:marTop w:val="0"/>
      <w:marBottom w:val="0"/>
      <w:divBdr>
        <w:top w:val="none" w:sz="0" w:space="0" w:color="auto"/>
        <w:left w:val="none" w:sz="0" w:space="0" w:color="auto"/>
        <w:bottom w:val="none" w:sz="0" w:space="0" w:color="auto"/>
        <w:right w:val="none" w:sz="0" w:space="0" w:color="auto"/>
      </w:divBdr>
    </w:div>
    <w:div w:id="1403528632">
      <w:bodyDiv w:val="1"/>
      <w:marLeft w:val="0"/>
      <w:marRight w:val="0"/>
      <w:marTop w:val="0"/>
      <w:marBottom w:val="0"/>
      <w:divBdr>
        <w:top w:val="none" w:sz="0" w:space="0" w:color="auto"/>
        <w:left w:val="none" w:sz="0" w:space="0" w:color="auto"/>
        <w:bottom w:val="none" w:sz="0" w:space="0" w:color="auto"/>
        <w:right w:val="none" w:sz="0" w:space="0" w:color="auto"/>
      </w:divBdr>
    </w:div>
    <w:div w:id="1404716840">
      <w:bodyDiv w:val="1"/>
      <w:marLeft w:val="0"/>
      <w:marRight w:val="0"/>
      <w:marTop w:val="0"/>
      <w:marBottom w:val="0"/>
      <w:divBdr>
        <w:top w:val="none" w:sz="0" w:space="0" w:color="auto"/>
        <w:left w:val="none" w:sz="0" w:space="0" w:color="auto"/>
        <w:bottom w:val="none" w:sz="0" w:space="0" w:color="auto"/>
        <w:right w:val="none" w:sz="0" w:space="0" w:color="auto"/>
      </w:divBdr>
    </w:div>
    <w:div w:id="1405687715">
      <w:bodyDiv w:val="1"/>
      <w:marLeft w:val="0"/>
      <w:marRight w:val="0"/>
      <w:marTop w:val="0"/>
      <w:marBottom w:val="0"/>
      <w:divBdr>
        <w:top w:val="none" w:sz="0" w:space="0" w:color="auto"/>
        <w:left w:val="none" w:sz="0" w:space="0" w:color="auto"/>
        <w:bottom w:val="none" w:sz="0" w:space="0" w:color="auto"/>
        <w:right w:val="none" w:sz="0" w:space="0" w:color="auto"/>
      </w:divBdr>
    </w:div>
    <w:div w:id="1405764663">
      <w:bodyDiv w:val="1"/>
      <w:marLeft w:val="0"/>
      <w:marRight w:val="0"/>
      <w:marTop w:val="0"/>
      <w:marBottom w:val="0"/>
      <w:divBdr>
        <w:top w:val="none" w:sz="0" w:space="0" w:color="auto"/>
        <w:left w:val="none" w:sz="0" w:space="0" w:color="auto"/>
        <w:bottom w:val="none" w:sz="0" w:space="0" w:color="auto"/>
        <w:right w:val="none" w:sz="0" w:space="0" w:color="auto"/>
      </w:divBdr>
    </w:div>
    <w:div w:id="1406563347">
      <w:bodyDiv w:val="1"/>
      <w:marLeft w:val="0"/>
      <w:marRight w:val="0"/>
      <w:marTop w:val="0"/>
      <w:marBottom w:val="0"/>
      <w:divBdr>
        <w:top w:val="none" w:sz="0" w:space="0" w:color="auto"/>
        <w:left w:val="none" w:sz="0" w:space="0" w:color="auto"/>
        <w:bottom w:val="none" w:sz="0" w:space="0" w:color="auto"/>
        <w:right w:val="none" w:sz="0" w:space="0" w:color="auto"/>
      </w:divBdr>
    </w:div>
    <w:div w:id="1407148732">
      <w:bodyDiv w:val="1"/>
      <w:marLeft w:val="0"/>
      <w:marRight w:val="0"/>
      <w:marTop w:val="0"/>
      <w:marBottom w:val="0"/>
      <w:divBdr>
        <w:top w:val="none" w:sz="0" w:space="0" w:color="auto"/>
        <w:left w:val="none" w:sz="0" w:space="0" w:color="auto"/>
        <w:bottom w:val="none" w:sz="0" w:space="0" w:color="auto"/>
        <w:right w:val="none" w:sz="0" w:space="0" w:color="auto"/>
      </w:divBdr>
    </w:div>
    <w:div w:id="1407723132">
      <w:bodyDiv w:val="1"/>
      <w:marLeft w:val="0"/>
      <w:marRight w:val="0"/>
      <w:marTop w:val="0"/>
      <w:marBottom w:val="0"/>
      <w:divBdr>
        <w:top w:val="none" w:sz="0" w:space="0" w:color="auto"/>
        <w:left w:val="none" w:sz="0" w:space="0" w:color="auto"/>
        <w:bottom w:val="none" w:sz="0" w:space="0" w:color="auto"/>
        <w:right w:val="none" w:sz="0" w:space="0" w:color="auto"/>
      </w:divBdr>
    </w:div>
    <w:div w:id="1409424136">
      <w:bodyDiv w:val="1"/>
      <w:marLeft w:val="0"/>
      <w:marRight w:val="0"/>
      <w:marTop w:val="0"/>
      <w:marBottom w:val="0"/>
      <w:divBdr>
        <w:top w:val="none" w:sz="0" w:space="0" w:color="auto"/>
        <w:left w:val="none" w:sz="0" w:space="0" w:color="auto"/>
        <w:bottom w:val="none" w:sz="0" w:space="0" w:color="auto"/>
        <w:right w:val="none" w:sz="0" w:space="0" w:color="auto"/>
      </w:divBdr>
    </w:div>
    <w:div w:id="1410300112">
      <w:bodyDiv w:val="1"/>
      <w:marLeft w:val="0"/>
      <w:marRight w:val="0"/>
      <w:marTop w:val="0"/>
      <w:marBottom w:val="0"/>
      <w:divBdr>
        <w:top w:val="none" w:sz="0" w:space="0" w:color="auto"/>
        <w:left w:val="none" w:sz="0" w:space="0" w:color="auto"/>
        <w:bottom w:val="none" w:sz="0" w:space="0" w:color="auto"/>
        <w:right w:val="none" w:sz="0" w:space="0" w:color="auto"/>
      </w:divBdr>
    </w:div>
    <w:div w:id="1410883526">
      <w:bodyDiv w:val="1"/>
      <w:marLeft w:val="0"/>
      <w:marRight w:val="0"/>
      <w:marTop w:val="0"/>
      <w:marBottom w:val="0"/>
      <w:divBdr>
        <w:top w:val="none" w:sz="0" w:space="0" w:color="auto"/>
        <w:left w:val="none" w:sz="0" w:space="0" w:color="auto"/>
        <w:bottom w:val="none" w:sz="0" w:space="0" w:color="auto"/>
        <w:right w:val="none" w:sz="0" w:space="0" w:color="auto"/>
      </w:divBdr>
    </w:div>
    <w:div w:id="1411006190">
      <w:bodyDiv w:val="1"/>
      <w:marLeft w:val="0"/>
      <w:marRight w:val="0"/>
      <w:marTop w:val="0"/>
      <w:marBottom w:val="0"/>
      <w:divBdr>
        <w:top w:val="none" w:sz="0" w:space="0" w:color="auto"/>
        <w:left w:val="none" w:sz="0" w:space="0" w:color="auto"/>
        <w:bottom w:val="none" w:sz="0" w:space="0" w:color="auto"/>
        <w:right w:val="none" w:sz="0" w:space="0" w:color="auto"/>
      </w:divBdr>
    </w:div>
    <w:div w:id="1411074496">
      <w:bodyDiv w:val="1"/>
      <w:marLeft w:val="0"/>
      <w:marRight w:val="0"/>
      <w:marTop w:val="0"/>
      <w:marBottom w:val="0"/>
      <w:divBdr>
        <w:top w:val="none" w:sz="0" w:space="0" w:color="auto"/>
        <w:left w:val="none" w:sz="0" w:space="0" w:color="auto"/>
        <w:bottom w:val="none" w:sz="0" w:space="0" w:color="auto"/>
        <w:right w:val="none" w:sz="0" w:space="0" w:color="auto"/>
      </w:divBdr>
    </w:div>
    <w:div w:id="1411191381">
      <w:bodyDiv w:val="1"/>
      <w:marLeft w:val="0"/>
      <w:marRight w:val="0"/>
      <w:marTop w:val="0"/>
      <w:marBottom w:val="0"/>
      <w:divBdr>
        <w:top w:val="none" w:sz="0" w:space="0" w:color="auto"/>
        <w:left w:val="none" w:sz="0" w:space="0" w:color="auto"/>
        <w:bottom w:val="none" w:sz="0" w:space="0" w:color="auto"/>
        <w:right w:val="none" w:sz="0" w:space="0" w:color="auto"/>
      </w:divBdr>
    </w:div>
    <w:div w:id="1411541669">
      <w:bodyDiv w:val="1"/>
      <w:marLeft w:val="0"/>
      <w:marRight w:val="0"/>
      <w:marTop w:val="0"/>
      <w:marBottom w:val="0"/>
      <w:divBdr>
        <w:top w:val="none" w:sz="0" w:space="0" w:color="auto"/>
        <w:left w:val="none" w:sz="0" w:space="0" w:color="auto"/>
        <w:bottom w:val="none" w:sz="0" w:space="0" w:color="auto"/>
        <w:right w:val="none" w:sz="0" w:space="0" w:color="auto"/>
      </w:divBdr>
    </w:div>
    <w:div w:id="1414202398">
      <w:bodyDiv w:val="1"/>
      <w:marLeft w:val="0"/>
      <w:marRight w:val="0"/>
      <w:marTop w:val="0"/>
      <w:marBottom w:val="0"/>
      <w:divBdr>
        <w:top w:val="none" w:sz="0" w:space="0" w:color="auto"/>
        <w:left w:val="none" w:sz="0" w:space="0" w:color="auto"/>
        <w:bottom w:val="none" w:sz="0" w:space="0" w:color="auto"/>
        <w:right w:val="none" w:sz="0" w:space="0" w:color="auto"/>
      </w:divBdr>
    </w:div>
    <w:div w:id="1414233233">
      <w:bodyDiv w:val="1"/>
      <w:marLeft w:val="0"/>
      <w:marRight w:val="0"/>
      <w:marTop w:val="0"/>
      <w:marBottom w:val="0"/>
      <w:divBdr>
        <w:top w:val="none" w:sz="0" w:space="0" w:color="auto"/>
        <w:left w:val="none" w:sz="0" w:space="0" w:color="auto"/>
        <w:bottom w:val="none" w:sz="0" w:space="0" w:color="auto"/>
        <w:right w:val="none" w:sz="0" w:space="0" w:color="auto"/>
      </w:divBdr>
    </w:div>
    <w:div w:id="1414812790">
      <w:bodyDiv w:val="1"/>
      <w:marLeft w:val="0"/>
      <w:marRight w:val="0"/>
      <w:marTop w:val="0"/>
      <w:marBottom w:val="0"/>
      <w:divBdr>
        <w:top w:val="none" w:sz="0" w:space="0" w:color="auto"/>
        <w:left w:val="none" w:sz="0" w:space="0" w:color="auto"/>
        <w:bottom w:val="none" w:sz="0" w:space="0" w:color="auto"/>
        <w:right w:val="none" w:sz="0" w:space="0" w:color="auto"/>
      </w:divBdr>
    </w:div>
    <w:div w:id="1415779681">
      <w:bodyDiv w:val="1"/>
      <w:marLeft w:val="0"/>
      <w:marRight w:val="0"/>
      <w:marTop w:val="0"/>
      <w:marBottom w:val="0"/>
      <w:divBdr>
        <w:top w:val="none" w:sz="0" w:space="0" w:color="auto"/>
        <w:left w:val="none" w:sz="0" w:space="0" w:color="auto"/>
        <w:bottom w:val="none" w:sz="0" w:space="0" w:color="auto"/>
        <w:right w:val="none" w:sz="0" w:space="0" w:color="auto"/>
      </w:divBdr>
    </w:div>
    <w:div w:id="1416053123">
      <w:bodyDiv w:val="1"/>
      <w:marLeft w:val="0"/>
      <w:marRight w:val="0"/>
      <w:marTop w:val="0"/>
      <w:marBottom w:val="0"/>
      <w:divBdr>
        <w:top w:val="none" w:sz="0" w:space="0" w:color="auto"/>
        <w:left w:val="none" w:sz="0" w:space="0" w:color="auto"/>
        <w:bottom w:val="none" w:sz="0" w:space="0" w:color="auto"/>
        <w:right w:val="none" w:sz="0" w:space="0" w:color="auto"/>
      </w:divBdr>
    </w:div>
    <w:div w:id="1416515756">
      <w:bodyDiv w:val="1"/>
      <w:marLeft w:val="0"/>
      <w:marRight w:val="0"/>
      <w:marTop w:val="0"/>
      <w:marBottom w:val="0"/>
      <w:divBdr>
        <w:top w:val="none" w:sz="0" w:space="0" w:color="auto"/>
        <w:left w:val="none" w:sz="0" w:space="0" w:color="auto"/>
        <w:bottom w:val="none" w:sz="0" w:space="0" w:color="auto"/>
        <w:right w:val="none" w:sz="0" w:space="0" w:color="auto"/>
      </w:divBdr>
    </w:div>
    <w:div w:id="1416972648">
      <w:bodyDiv w:val="1"/>
      <w:marLeft w:val="0"/>
      <w:marRight w:val="0"/>
      <w:marTop w:val="0"/>
      <w:marBottom w:val="0"/>
      <w:divBdr>
        <w:top w:val="none" w:sz="0" w:space="0" w:color="auto"/>
        <w:left w:val="none" w:sz="0" w:space="0" w:color="auto"/>
        <w:bottom w:val="none" w:sz="0" w:space="0" w:color="auto"/>
        <w:right w:val="none" w:sz="0" w:space="0" w:color="auto"/>
      </w:divBdr>
    </w:div>
    <w:div w:id="1417362278">
      <w:bodyDiv w:val="1"/>
      <w:marLeft w:val="0"/>
      <w:marRight w:val="0"/>
      <w:marTop w:val="0"/>
      <w:marBottom w:val="0"/>
      <w:divBdr>
        <w:top w:val="none" w:sz="0" w:space="0" w:color="auto"/>
        <w:left w:val="none" w:sz="0" w:space="0" w:color="auto"/>
        <w:bottom w:val="none" w:sz="0" w:space="0" w:color="auto"/>
        <w:right w:val="none" w:sz="0" w:space="0" w:color="auto"/>
      </w:divBdr>
    </w:div>
    <w:div w:id="1417942166">
      <w:bodyDiv w:val="1"/>
      <w:marLeft w:val="0"/>
      <w:marRight w:val="0"/>
      <w:marTop w:val="0"/>
      <w:marBottom w:val="0"/>
      <w:divBdr>
        <w:top w:val="none" w:sz="0" w:space="0" w:color="auto"/>
        <w:left w:val="none" w:sz="0" w:space="0" w:color="auto"/>
        <w:bottom w:val="none" w:sz="0" w:space="0" w:color="auto"/>
        <w:right w:val="none" w:sz="0" w:space="0" w:color="auto"/>
      </w:divBdr>
    </w:div>
    <w:div w:id="1420061774">
      <w:bodyDiv w:val="1"/>
      <w:marLeft w:val="0"/>
      <w:marRight w:val="0"/>
      <w:marTop w:val="0"/>
      <w:marBottom w:val="0"/>
      <w:divBdr>
        <w:top w:val="none" w:sz="0" w:space="0" w:color="auto"/>
        <w:left w:val="none" w:sz="0" w:space="0" w:color="auto"/>
        <w:bottom w:val="none" w:sz="0" w:space="0" w:color="auto"/>
        <w:right w:val="none" w:sz="0" w:space="0" w:color="auto"/>
      </w:divBdr>
    </w:div>
    <w:div w:id="1420563207">
      <w:bodyDiv w:val="1"/>
      <w:marLeft w:val="0"/>
      <w:marRight w:val="0"/>
      <w:marTop w:val="0"/>
      <w:marBottom w:val="0"/>
      <w:divBdr>
        <w:top w:val="none" w:sz="0" w:space="0" w:color="auto"/>
        <w:left w:val="none" w:sz="0" w:space="0" w:color="auto"/>
        <w:bottom w:val="none" w:sz="0" w:space="0" w:color="auto"/>
        <w:right w:val="none" w:sz="0" w:space="0" w:color="auto"/>
      </w:divBdr>
    </w:div>
    <w:div w:id="1420952631">
      <w:bodyDiv w:val="1"/>
      <w:marLeft w:val="0"/>
      <w:marRight w:val="0"/>
      <w:marTop w:val="0"/>
      <w:marBottom w:val="0"/>
      <w:divBdr>
        <w:top w:val="none" w:sz="0" w:space="0" w:color="auto"/>
        <w:left w:val="none" w:sz="0" w:space="0" w:color="auto"/>
        <w:bottom w:val="none" w:sz="0" w:space="0" w:color="auto"/>
        <w:right w:val="none" w:sz="0" w:space="0" w:color="auto"/>
      </w:divBdr>
    </w:div>
    <w:div w:id="1421095405">
      <w:bodyDiv w:val="1"/>
      <w:marLeft w:val="0"/>
      <w:marRight w:val="0"/>
      <w:marTop w:val="0"/>
      <w:marBottom w:val="0"/>
      <w:divBdr>
        <w:top w:val="none" w:sz="0" w:space="0" w:color="auto"/>
        <w:left w:val="none" w:sz="0" w:space="0" w:color="auto"/>
        <w:bottom w:val="none" w:sz="0" w:space="0" w:color="auto"/>
        <w:right w:val="none" w:sz="0" w:space="0" w:color="auto"/>
      </w:divBdr>
    </w:div>
    <w:div w:id="1421557615">
      <w:bodyDiv w:val="1"/>
      <w:marLeft w:val="0"/>
      <w:marRight w:val="0"/>
      <w:marTop w:val="0"/>
      <w:marBottom w:val="0"/>
      <w:divBdr>
        <w:top w:val="none" w:sz="0" w:space="0" w:color="auto"/>
        <w:left w:val="none" w:sz="0" w:space="0" w:color="auto"/>
        <w:bottom w:val="none" w:sz="0" w:space="0" w:color="auto"/>
        <w:right w:val="none" w:sz="0" w:space="0" w:color="auto"/>
      </w:divBdr>
    </w:div>
    <w:div w:id="1423138070">
      <w:bodyDiv w:val="1"/>
      <w:marLeft w:val="0"/>
      <w:marRight w:val="0"/>
      <w:marTop w:val="0"/>
      <w:marBottom w:val="0"/>
      <w:divBdr>
        <w:top w:val="none" w:sz="0" w:space="0" w:color="auto"/>
        <w:left w:val="none" w:sz="0" w:space="0" w:color="auto"/>
        <w:bottom w:val="none" w:sz="0" w:space="0" w:color="auto"/>
        <w:right w:val="none" w:sz="0" w:space="0" w:color="auto"/>
      </w:divBdr>
    </w:div>
    <w:div w:id="1423796754">
      <w:bodyDiv w:val="1"/>
      <w:marLeft w:val="0"/>
      <w:marRight w:val="0"/>
      <w:marTop w:val="0"/>
      <w:marBottom w:val="0"/>
      <w:divBdr>
        <w:top w:val="none" w:sz="0" w:space="0" w:color="auto"/>
        <w:left w:val="none" w:sz="0" w:space="0" w:color="auto"/>
        <w:bottom w:val="none" w:sz="0" w:space="0" w:color="auto"/>
        <w:right w:val="none" w:sz="0" w:space="0" w:color="auto"/>
      </w:divBdr>
    </w:div>
    <w:div w:id="1424372650">
      <w:bodyDiv w:val="1"/>
      <w:marLeft w:val="0"/>
      <w:marRight w:val="0"/>
      <w:marTop w:val="0"/>
      <w:marBottom w:val="0"/>
      <w:divBdr>
        <w:top w:val="none" w:sz="0" w:space="0" w:color="auto"/>
        <w:left w:val="none" w:sz="0" w:space="0" w:color="auto"/>
        <w:bottom w:val="none" w:sz="0" w:space="0" w:color="auto"/>
        <w:right w:val="none" w:sz="0" w:space="0" w:color="auto"/>
      </w:divBdr>
    </w:div>
    <w:div w:id="1424646889">
      <w:bodyDiv w:val="1"/>
      <w:marLeft w:val="0"/>
      <w:marRight w:val="0"/>
      <w:marTop w:val="0"/>
      <w:marBottom w:val="0"/>
      <w:divBdr>
        <w:top w:val="none" w:sz="0" w:space="0" w:color="auto"/>
        <w:left w:val="none" w:sz="0" w:space="0" w:color="auto"/>
        <w:bottom w:val="none" w:sz="0" w:space="0" w:color="auto"/>
        <w:right w:val="none" w:sz="0" w:space="0" w:color="auto"/>
      </w:divBdr>
    </w:div>
    <w:div w:id="1425109468">
      <w:bodyDiv w:val="1"/>
      <w:marLeft w:val="0"/>
      <w:marRight w:val="0"/>
      <w:marTop w:val="0"/>
      <w:marBottom w:val="0"/>
      <w:divBdr>
        <w:top w:val="none" w:sz="0" w:space="0" w:color="auto"/>
        <w:left w:val="none" w:sz="0" w:space="0" w:color="auto"/>
        <w:bottom w:val="none" w:sz="0" w:space="0" w:color="auto"/>
        <w:right w:val="none" w:sz="0" w:space="0" w:color="auto"/>
      </w:divBdr>
    </w:div>
    <w:div w:id="1425374868">
      <w:bodyDiv w:val="1"/>
      <w:marLeft w:val="0"/>
      <w:marRight w:val="0"/>
      <w:marTop w:val="0"/>
      <w:marBottom w:val="0"/>
      <w:divBdr>
        <w:top w:val="none" w:sz="0" w:space="0" w:color="auto"/>
        <w:left w:val="none" w:sz="0" w:space="0" w:color="auto"/>
        <w:bottom w:val="none" w:sz="0" w:space="0" w:color="auto"/>
        <w:right w:val="none" w:sz="0" w:space="0" w:color="auto"/>
      </w:divBdr>
    </w:div>
    <w:div w:id="1425808489">
      <w:bodyDiv w:val="1"/>
      <w:marLeft w:val="0"/>
      <w:marRight w:val="0"/>
      <w:marTop w:val="0"/>
      <w:marBottom w:val="0"/>
      <w:divBdr>
        <w:top w:val="none" w:sz="0" w:space="0" w:color="auto"/>
        <w:left w:val="none" w:sz="0" w:space="0" w:color="auto"/>
        <w:bottom w:val="none" w:sz="0" w:space="0" w:color="auto"/>
        <w:right w:val="none" w:sz="0" w:space="0" w:color="auto"/>
      </w:divBdr>
    </w:div>
    <w:div w:id="1426999202">
      <w:bodyDiv w:val="1"/>
      <w:marLeft w:val="0"/>
      <w:marRight w:val="0"/>
      <w:marTop w:val="0"/>
      <w:marBottom w:val="0"/>
      <w:divBdr>
        <w:top w:val="none" w:sz="0" w:space="0" w:color="auto"/>
        <w:left w:val="none" w:sz="0" w:space="0" w:color="auto"/>
        <w:bottom w:val="none" w:sz="0" w:space="0" w:color="auto"/>
        <w:right w:val="none" w:sz="0" w:space="0" w:color="auto"/>
      </w:divBdr>
    </w:div>
    <w:div w:id="1427072210">
      <w:bodyDiv w:val="1"/>
      <w:marLeft w:val="0"/>
      <w:marRight w:val="0"/>
      <w:marTop w:val="0"/>
      <w:marBottom w:val="0"/>
      <w:divBdr>
        <w:top w:val="none" w:sz="0" w:space="0" w:color="auto"/>
        <w:left w:val="none" w:sz="0" w:space="0" w:color="auto"/>
        <w:bottom w:val="none" w:sz="0" w:space="0" w:color="auto"/>
        <w:right w:val="none" w:sz="0" w:space="0" w:color="auto"/>
      </w:divBdr>
    </w:div>
    <w:div w:id="1428620622">
      <w:bodyDiv w:val="1"/>
      <w:marLeft w:val="0"/>
      <w:marRight w:val="0"/>
      <w:marTop w:val="0"/>
      <w:marBottom w:val="0"/>
      <w:divBdr>
        <w:top w:val="none" w:sz="0" w:space="0" w:color="auto"/>
        <w:left w:val="none" w:sz="0" w:space="0" w:color="auto"/>
        <w:bottom w:val="none" w:sz="0" w:space="0" w:color="auto"/>
        <w:right w:val="none" w:sz="0" w:space="0" w:color="auto"/>
      </w:divBdr>
    </w:div>
    <w:div w:id="1428694972">
      <w:bodyDiv w:val="1"/>
      <w:marLeft w:val="0"/>
      <w:marRight w:val="0"/>
      <w:marTop w:val="0"/>
      <w:marBottom w:val="0"/>
      <w:divBdr>
        <w:top w:val="none" w:sz="0" w:space="0" w:color="auto"/>
        <w:left w:val="none" w:sz="0" w:space="0" w:color="auto"/>
        <w:bottom w:val="none" w:sz="0" w:space="0" w:color="auto"/>
        <w:right w:val="none" w:sz="0" w:space="0" w:color="auto"/>
      </w:divBdr>
    </w:div>
    <w:div w:id="1428883338">
      <w:bodyDiv w:val="1"/>
      <w:marLeft w:val="0"/>
      <w:marRight w:val="0"/>
      <w:marTop w:val="0"/>
      <w:marBottom w:val="0"/>
      <w:divBdr>
        <w:top w:val="none" w:sz="0" w:space="0" w:color="auto"/>
        <w:left w:val="none" w:sz="0" w:space="0" w:color="auto"/>
        <w:bottom w:val="none" w:sz="0" w:space="0" w:color="auto"/>
        <w:right w:val="none" w:sz="0" w:space="0" w:color="auto"/>
      </w:divBdr>
    </w:div>
    <w:div w:id="1429890799">
      <w:bodyDiv w:val="1"/>
      <w:marLeft w:val="0"/>
      <w:marRight w:val="0"/>
      <w:marTop w:val="0"/>
      <w:marBottom w:val="0"/>
      <w:divBdr>
        <w:top w:val="none" w:sz="0" w:space="0" w:color="auto"/>
        <w:left w:val="none" w:sz="0" w:space="0" w:color="auto"/>
        <w:bottom w:val="none" w:sz="0" w:space="0" w:color="auto"/>
        <w:right w:val="none" w:sz="0" w:space="0" w:color="auto"/>
      </w:divBdr>
    </w:div>
    <w:div w:id="1429962205">
      <w:bodyDiv w:val="1"/>
      <w:marLeft w:val="0"/>
      <w:marRight w:val="0"/>
      <w:marTop w:val="0"/>
      <w:marBottom w:val="0"/>
      <w:divBdr>
        <w:top w:val="none" w:sz="0" w:space="0" w:color="auto"/>
        <w:left w:val="none" w:sz="0" w:space="0" w:color="auto"/>
        <w:bottom w:val="none" w:sz="0" w:space="0" w:color="auto"/>
        <w:right w:val="none" w:sz="0" w:space="0" w:color="auto"/>
      </w:divBdr>
    </w:div>
    <w:div w:id="1430197941">
      <w:bodyDiv w:val="1"/>
      <w:marLeft w:val="0"/>
      <w:marRight w:val="0"/>
      <w:marTop w:val="0"/>
      <w:marBottom w:val="0"/>
      <w:divBdr>
        <w:top w:val="none" w:sz="0" w:space="0" w:color="auto"/>
        <w:left w:val="none" w:sz="0" w:space="0" w:color="auto"/>
        <w:bottom w:val="none" w:sz="0" w:space="0" w:color="auto"/>
        <w:right w:val="none" w:sz="0" w:space="0" w:color="auto"/>
      </w:divBdr>
    </w:div>
    <w:div w:id="1431271763">
      <w:bodyDiv w:val="1"/>
      <w:marLeft w:val="0"/>
      <w:marRight w:val="0"/>
      <w:marTop w:val="0"/>
      <w:marBottom w:val="0"/>
      <w:divBdr>
        <w:top w:val="none" w:sz="0" w:space="0" w:color="auto"/>
        <w:left w:val="none" w:sz="0" w:space="0" w:color="auto"/>
        <w:bottom w:val="none" w:sz="0" w:space="0" w:color="auto"/>
        <w:right w:val="none" w:sz="0" w:space="0" w:color="auto"/>
      </w:divBdr>
    </w:div>
    <w:div w:id="1432237593">
      <w:bodyDiv w:val="1"/>
      <w:marLeft w:val="0"/>
      <w:marRight w:val="0"/>
      <w:marTop w:val="0"/>
      <w:marBottom w:val="0"/>
      <w:divBdr>
        <w:top w:val="none" w:sz="0" w:space="0" w:color="auto"/>
        <w:left w:val="none" w:sz="0" w:space="0" w:color="auto"/>
        <w:bottom w:val="none" w:sz="0" w:space="0" w:color="auto"/>
        <w:right w:val="none" w:sz="0" w:space="0" w:color="auto"/>
      </w:divBdr>
    </w:div>
    <w:div w:id="1433427798">
      <w:bodyDiv w:val="1"/>
      <w:marLeft w:val="0"/>
      <w:marRight w:val="0"/>
      <w:marTop w:val="0"/>
      <w:marBottom w:val="0"/>
      <w:divBdr>
        <w:top w:val="none" w:sz="0" w:space="0" w:color="auto"/>
        <w:left w:val="none" w:sz="0" w:space="0" w:color="auto"/>
        <w:bottom w:val="none" w:sz="0" w:space="0" w:color="auto"/>
        <w:right w:val="none" w:sz="0" w:space="0" w:color="auto"/>
      </w:divBdr>
    </w:div>
    <w:div w:id="1433739175">
      <w:bodyDiv w:val="1"/>
      <w:marLeft w:val="0"/>
      <w:marRight w:val="0"/>
      <w:marTop w:val="0"/>
      <w:marBottom w:val="0"/>
      <w:divBdr>
        <w:top w:val="none" w:sz="0" w:space="0" w:color="auto"/>
        <w:left w:val="none" w:sz="0" w:space="0" w:color="auto"/>
        <w:bottom w:val="none" w:sz="0" w:space="0" w:color="auto"/>
        <w:right w:val="none" w:sz="0" w:space="0" w:color="auto"/>
      </w:divBdr>
    </w:div>
    <w:div w:id="1434132744">
      <w:bodyDiv w:val="1"/>
      <w:marLeft w:val="0"/>
      <w:marRight w:val="0"/>
      <w:marTop w:val="0"/>
      <w:marBottom w:val="0"/>
      <w:divBdr>
        <w:top w:val="none" w:sz="0" w:space="0" w:color="auto"/>
        <w:left w:val="none" w:sz="0" w:space="0" w:color="auto"/>
        <w:bottom w:val="none" w:sz="0" w:space="0" w:color="auto"/>
        <w:right w:val="none" w:sz="0" w:space="0" w:color="auto"/>
      </w:divBdr>
    </w:div>
    <w:div w:id="1435248020">
      <w:bodyDiv w:val="1"/>
      <w:marLeft w:val="0"/>
      <w:marRight w:val="0"/>
      <w:marTop w:val="0"/>
      <w:marBottom w:val="0"/>
      <w:divBdr>
        <w:top w:val="none" w:sz="0" w:space="0" w:color="auto"/>
        <w:left w:val="none" w:sz="0" w:space="0" w:color="auto"/>
        <w:bottom w:val="none" w:sz="0" w:space="0" w:color="auto"/>
        <w:right w:val="none" w:sz="0" w:space="0" w:color="auto"/>
      </w:divBdr>
    </w:div>
    <w:div w:id="1436245814">
      <w:bodyDiv w:val="1"/>
      <w:marLeft w:val="0"/>
      <w:marRight w:val="0"/>
      <w:marTop w:val="0"/>
      <w:marBottom w:val="0"/>
      <w:divBdr>
        <w:top w:val="none" w:sz="0" w:space="0" w:color="auto"/>
        <w:left w:val="none" w:sz="0" w:space="0" w:color="auto"/>
        <w:bottom w:val="none" w:sz="0" w:space="0" w:color="auto"/>
        <w:right w:val="none" w:sz="0" w:space="0" w:color="auto"/>
      </w:divBdr>
    </w:div>
    <w:div w:id="1436512980">
      <w:bodyDiv w:val="1"/>
      <w:marLeft w:val="0"/>
      <w:marRight w:val="0"/>
      <w:marTop w:val="0"/>
      <w:marBottom w:val="0"/>
      <w:divBdr>
        <w:top w:val="none" w:sz="0" w:space="0" w:color="auto"/>
        <w:left w:val="none" w:sz="0" w:space="0" w:color="auto"/>
        <w:bottom w:val="none" w:sz="0" w:space="0" w:color="auto"/>
        <w:right w:val="none" w:sz="0" w:space="0" w:color="auto"/>
      </w:divBdr>
    </w:div>
    <w:div w:id="1438065466">
      <w:bodyDiv w:val="1"/>
      <w:marLeft w:val="0"/>
      <w:marRight w:val="0"/>
      <w:marTop w:val="0"/>
      <w:marBottom w:val="0"/>
      <w:divBdr>
        <w:top w:val="none" w:sz="0" w:space="0" w:color="auto"/>
        <w:left w:val="none" w:sz="0" w:space="0" w:color="auto"/>
        <w:bottom w:val="none" w:sz="0" w:space="0" w:color="auto"/>
        <w:right w:val="none" w:sz="0" w:space="0" w:color="auto"/>
      </w:divBdr>
    </w:div>
    <w:div w:id="1439525347">
      <w:bodyDiv w:val="1"/>
      <w:marLeft w:val="0"/>
      <w:marRight w:val="0"/>
      <w:marTop w:val="0"/>
      <w:marBottom w:val="0"/>
      <w:divBdr>
        <w:top w:val="none" w:sz="0" w:space="0" w:color="auto"/>
        <w:left w:val="none" w:sz="0" w:space="0" w:color="auto"/>
        <w:bottom w:val="none" w:sz="0" w:space="0" w:color="auto"/>
        <w:right w:val="none" w:sz="0" w:space="0" w:color="auto"/>
      </w:divBdr>
    </w:div>
    <w:div w:id="1440224123">
      <w:bodyDiv w:val="1"/>
      <w:marLeft w:val="0"/>
      <w:marRight w:val="0"/>
      <w:marTop w:val="0"/>
      <w:marBottom w:val="0"/>
      <w:divBdr>
        <w:top w:val="none" w:sz="0" w:space="0" w:color="auto"/>
        <w:left w:val="none" w:sz="0" w:space="0" w:color="auto"/>
        <w:bottom w:val="none" w:sz="0" w:space="0" w:color="auto"/>
        <w:right w:val="none" w:sz="0" w:space="0" w:color="auto"/>
      </w:divBdr>
    </w:div>
    <w:div w:id="1440225513">
      <w:bodyDiv w:val="1"/>
      <w:marLeft w:val="0"/>
      <w:marRight w:val="0"/>
      <w:marTop w:val="0"/>
      <w:marBottom w:val="0"/>
      <w:divBdr>
        <w:top w:val="none" w:sz="0" w:space="0" w:color="auto"/>
        <w:left w:val="none" w:sz="0" w:space="0" w:color="auto"/>
        <w:bottom w:val="none" w:sz="0" w:space="0" w:color="auto"/>
        <w:right w:val="none" w:sz="0" w:space="0" w:color="auto"/>
      </w:divBdr>
    </w:div>
    <w:div w:id="1440493775">
      <w:bodyDiv w:val="1"/>
      <w:marLeft w:val="0"/>
      <w:marRight w:val="0"/>
      <w:marTop w:val="0"/>
      <w:marBottom w:val="0"/>
      <w:divBdr>
        <w:top w:val="none" w:sz="0" w:space="0" w:color="auto"/>
        <w:left w:val="none" w:sz="0" w:space="0" w:color="auto"/>
        <w:bottom w:val="none" w:sz="0" w:space="0" w:color="auto"/>
        <w:right w:val="none" w:sz="0" w:space="0" w:color="auto"/>
      </w:divBdr>
    </w:div>
    <w:div w:id="1440757403">
      <w:bodyDiv w:val="1"/>
      <w:marLeft w:val="0"/>
      <w:marRight w:val="0"/>
      <w:marTop w:val="0"/>
      <w:marBottom w:val="0"/>
      <w:divBdr>
        <w:top w:val="none" w:sz="0" w:space="0" w:color="auto"/>
        <w:left w:val="none" w:sz="0" w:space="0" w:color="auto"/>
        <w:bottom w:val="none" w:sz="0" w:space="0" w:color="auto"/>
        <w:right w:val="none" w:sz="0" w:space="0" w:color="auto"/>
      </w:divBdr>
    </w:div>
    <w:div w:id="1440760896">
      <w:bodyDiv w:val="1"/>
      <w:marLeft w:val="0"/>
      <w:marRight w:val="0"/>
      <w:marTop w:val="0"/>
      <w:marBottom w:val="0"/>
      <w:divBdr>
        <w:top w:val="none" w:sz="0" w:space="0" w:color="auto"/>
        <w:left w:val="none" w:sz="0" w:space="0" w:color="auto"/>
        <w:bottom w:val="none" w:sz="0" w:space="0" w:color="auto"/>
        <w:right w:val="none" w:sz="0" w:space="0" w:color="auto"/>
      </w:divBdr>
    </w:div>
    <w:div w:id="1440880397">
      <w:bodyDiv w:val="1"/>
      <w:marLeft w:val="0"/>
      <w:marRight w:val="0"/>
      <w:marTop w:val="0"/>
      <w:marBottom w:val="0"/>
      <w:divBdr>
        <w:top w:val="none" w:sz="0" w:space="0" w:color="auto"/>
        <w:left w:val="none" w:sz="0" w:space="0" w:color="auto"/>
        <w:bottom w:val="none" w:sz="0" w:space="0" w:color="auto"/>
        <w:right w:val="none" w:sz="0" w:space="0" w:color="auto"/>
      </w:divBdr>
    </w:div>
    <w:div w:id="1442143596">
      <w:bodyDiv w:val="1"/>
      <w:marLeft w:val="0"/>
      <w:marRight w:val="0"/>
      <w:marTop w:val="0"/>
      <w:marBottom w:val="0"/>
      <w:divBdr>
        <w:top w:val="none" w:sz="0" w:space="0" w:color="auto"/>
        <w:left w:val="none" w:sz="0" w:space="0" w:color="auto"/>
        <w:bottom w:val="none" w:sz="0" w:space="0" w:color="auto"/>
        <w:right w:val="none" w:sz="0" w:space="0" w:color="auto"/>
      </w:divBdr>
    </w:div>
    <w:div w:id="1442143982">
      <w:bodyDiv w:val="1"/>
      <w:marLeft w:val="0"/>
      <w:marRight w:val="0"/>
      <w:marTop w:val="0"/>
      <w:marBottom w:val="0"/>
      <w:divBdr>
        <w:top w:val="none" w:sz="0" w:space="0" w:color="auto"/>
        <w:left w:val="none" w:sz="0" w:space="0" w:color="auto"/>
        <w:bottom w:val="none" w:sz="0" w:space="0" w:color="auto"/>
        <w:right w:val="none" w:sz="0" w:space="0" w:color="auto"/>
      </w:divBdr>
    </w:div>
    <w:div w:id="1444421319">
      <w:bodyDiv w:val="1"/>
      <w:marLeft w:val="0"/>
      <w:marRight w:val="0"/>
      <w:marTop w:val="0"/>
      <w:marBottom w:val="0"/>
      <w:divBdr>
        <w:top w:val="none" w:sz="0" w:space="0" w:color="auto"/>
        <w:left w:val="none" w:sz="0" w:space="0" w:color="auto"/>
        <w:bottom w:val="none" w:sz="0" w:space="0" w:color="auto"/>
        <w:right w:val="none" w:sz="0" w:space="0" w:color="auto"/>
      </w:divBdr>
    </w:div>
    <w:div w:id="1445349493">
      <w:bodyDiv w:val="1"/>
      <w:marLeft w:val="0"/>
      <w:marRight w:val="0"/>
      <w:marTop w:val="0"/>
      <w:marBottom w:val="0"/>
      <w:divBdr>
        <w:top w:val="none" w:sz="0" w:space="0" w:color="auto"/>
        <w:left w:val="none" w:sz="0" w:space="0" w:color="auto"/>
        <w:bottom w:val="none" w:sz="0" w:space="0" w:color="auto"/>
        <w:right w:val="none" w:sz="0" w:space="0" w:color="auto"/>
      </w:divBdr>
    </w:div>
    <w:div w:id="1446655951">
      <w:bodyDiv w:val="1"/>
      <w:marLeft w:val="0"/>
      <w:marRight w:val="0"/>
      <w:marTop w:val="0"/>
      <w:marBottom w:val="0"/>
      <w:divBdr>
        <w:top w:val="none" w:sz="0" w:space="0" w:color="auto"/>
        <w:left w:val="none" w:sz="0" w:space="0" w:color="auto"/>
        <w:bottom w:val="none" w:sz="0" w:space="0" w:color="auto"/>
        <w:right w:val="none" w:sz="0" w:space="0" w:color="auto"/>
      </w:divBdr>
    </w:div>
    <w:div w:id="1446659937">
      <w:bodyDiv w:val="1"/>
      <w:marLeft w:val="0"/>
      <w:marRight w:val="0"/>
      <w:marTop w:val="0"/>
      <w:marBottom w:val="0"/>
      <w:divBdr>
        <w:top w:val="none" w:sz="0" w:space="0" w:color="auto"/>
        <w:left w:val="none" w:sz="0" w:space="0" w:color="auto"/>
        <w:bottom w:val="none" w:sz="0" w:space="0" w:color="auto"/>
        <w:right w:val="none" w:sz="0" w:space="0" w:color="auto"/>
      </w:divBdr>
    </w:div>
    <w:div w:id="1447429158">
      <w:bodyDiv w:val="1"/>
      <w:marLeft w:val="0"/>
      <w:marRight w:val="0"/>
      <w:marTop w:val="0"/>
      <w:marBottom w:val="0"/>
      <w:divBdr>
        <w:top w:val="none" w:sz="0" w:space="0" w:color="auto"/>
        <w:left w:val="none" w:sz="0" w:space="0" w:color="auto"/>
        <w:bottom w:val="none" w:sz="0" w:space="0" w:color="auto"/>
        <w:right w:val="none" w:sz="0" w:space="0" w:color="auto"/>
      </w:divBdr>
    </w:div>
    <w:div w:id="1447651778">
      <w:bodyDiv w:val="1"/>
      <w:marLeft w:val="0"/>
      <w:marRight w:val="0"/>
      <w:marTop w:val="0"/>
      <w:marBottom w:val="0"/>
      <w:divBdr>
        <w:top w:val="none" w:sz="0" w:space="0" w:color="auto"/>
        <w:left w:val="none" w:sz="0" w:space="0" w:color="auto"/>
        <w:bottom w:val="none" w:sz="0" w:space="0" w:color="auto"/>
        <w:right w:val="none" w:sz="0" w:space="0" w:color="auto"/>
      </w:divBdr>
    </w:div>
    <w:div w:id="1448113358">
      <w:bodyDiv w:val="1"/>
      <w:marLeft w:val="0"/>
      <w:marRight w:val="0"/>
      <w:marTop w:val="0"/>
      <w:marBottom w:val="0"/>
      <w:divBdr>
        <w:top w:val="none" w:sz="0" w:space="0" w:color="auto"/>
        <w:left w:val="none" w:sz="0" w:space="0" w:color="auto"/>
        <w:bottom w:val="none" w:sz="0" w:space="0" w:color="auto"/>
        <w:right w:val="none" w:sz="0" w:space="0" w:color="auto"/>
      </w:divBdr>
    </w:div>
    <w:div w:id="1448310939">
      <w:bodyDiv w:val="1"/>
      <w:marLeft w:val="0"/>
      <w:marRight w:val="0"/>
      <w:marTop w:val="0"/>
      <w:marBottom w:val="0"/>
      <w:divBdr>
        <w:top w:val="none" w:sz="0" w:space="0" w:color="auto"/>
        <w:left w:val="none" w:sz="0" w:space="0" w:color="auto"/>
        <w:bottom w:val="none" w:sz="0" w:space="0" w:color="auto"/>
        <w:right w:val="none" w:sz="0" w:space="0" w:color="auto"/>
      </w:divBdr>
    </w:div>
    <w:div w:id="1448693843">
      <w:bodyDiv w:val="1"/>
      <w:marLeft w:val="0"/>
      <w:marRight w:val="0"/>
      <w:marTop w:val="0"/>
      <w:marBottom w:val="0"/>
      <w:divBdr>
        <w:top w:val="none" w:sz="0" w:space="0" w:color="auto"/>
        <w:left w:val="none" w:sz="0" w:space="0" w:color="auto"/>
        <w:bottom w:val="none" w:sz="0" w:space="0" w:color="auto"/>
        <w:right w:val="none" w:sz="0" w:space="0" w:color="auto"/>
      </w:divBdr>
    </w:div>
    <w:div w:id="1449617052">
      <w:bodyDiv w:val="1"/>
      <w:marLeft w:val="0"/>
      <w:marRight w:val="0"/>
      <w:marTop w:val="0"/>
      <w:marBottom w:val="0"/>
      <w:divBdr>
        <w:top w:val="none" w:sz="0" w:space="0" w:color="auto"/>
        <w:left w:val="none" w:sz="0" w:space="0" w:color="auto"/>
        <w:bottom w:val="none" w:sz="0" w:space="0" w:color="auto"/>
        <w:right w:val="none" w:sz="0" w:space="0" w:color="auto"/>
      </w:divBdr>
    </w:div>
    <w:div w:id="1450204733">
      <w:bodyDiv w:val="1"/>
      <w:marLeft w:val="0"/>
      <w:marRight w:val="0"/>
      <w:marTop w:val="0"/>
      <w:marBottom w:val="0"/>
      <w:divBdr>
        <w:top w:val="none" w:sz="0" w:space="0" w:color="auto"/>
        <w:left w:val="none" w:sz="0" w:space="0" w:color="auto"/>
        <w:bottom w:val="none" w:sz="0" w:space="0" w:color="auto"/>
        <w:right w:val="none" w:sz="0" w:space="0" w:color="auto"/>
      </w:divBdr>
    </w:div>
    <w:div w:id="1450471767">
      <w:bodyDiv w:val="1"/>
      <w:marLeft w:val="0"/>
      <w:marRight w:val="0"/>
      <w:marTop w:val="0"/>
      <w:marBottom w:val="0"/>
      <w:divBdr>
        <w:top w:val="none" w:sz="0" w:space="0" w:color="auto"/>
        <w:left w:val="none" w:sz="0" w:space="0" w:color="auto"/>
        <w:bottom w:val="none" w:sz="0" w:space="0" w:color="auto"/>
        <w:right w:val="none" w:sz="0" w:space="0" w:color="auto"/>
      </w:divBdr>
    </w:div>
    <w:div w:id="1451588271">
      <w:bodyDiv w:val="1"/>
      <w:marLeft w:val="0"/>
      <w:marRight w:val="0"/>
      <w:marTop w:val="0"/>
      <w:marBottom w:val="0"/>
      <w:divBdr>
        <w:top w:val="none" w:sz="0" w:space="0" w:color="auto"/>
        <w:left w:val="none" w:sz="0" w:space="0" w:color="auto"/>
        <w:bottom w:val="none" w:sz="0" w:space="0" w:color="auto"/>
        <w:right w:val="none" w:sz="0" w:space="0" w:color="auto"/>
      </w:divBdr>
    </w:div>
    <w:div w:id="1451822346">
      <w:bodyDiv w:val="1"/>
      <w:marLeft w:val="0"/>
      <w:marRight w:val="0"/>
      <w:marTop w:val="0"/>
      <w:marBottom w:val="0"/>
      <w:divBdr>
        <w:top w:val="none" w:sz="0" w:space="0" w:color="auto"/>
        <w:left w:val="none" w:sz="0" w:space="0" w:color="auto"/>
        <w:bottom w:val="none" w:sz="0" w:space="0" w:color="auto"/>
        <w:right w:val="none" w:sz="0" w:space="0" w:color="auto"/>
      </w:divBdr>
    </w:div>
    <w:div w:id="1451977439">
      <w:bodyDiv w:val="1"/>
      <w:marLeft w:val="0"/>
      <w:marRight w:val="0"/>
      <w:marTop w:val="0"/>
      <w:marBottom w:val="0"/>
      <w:divBdr>
        <w:top w:val="none" w:sz="0" w:space="0" w:color="auto"/>
        <w:left w:val="none" w:sz="0" w:space="0" w:color="auto"/>
        <w:bottom w:val="none" w:sz="0" w:space="0" w:color="auto"/>
        <w:right w:val="none" w:sz="0" w:space="0" w:color="auto"/>
      </w:divBdr>
    </w:div>
    <w:div w:id="1452239187">
      <w:bodyDiv w:val="1"/>
      <w:marLeft w:val="0"/>
      <w:marRight w:val="0"/>
      <w:marTop w:val="0"/>
      <w:marBottom w:val="0"/>
      <w:divBdr>
        <w:top w:val="none" w:sz="0" w:space="0" w:color="auto"/>
        <w:left w:val="none" w:sz="0" w:space="0" w:color="auto"/>
        <w:bottom w:val="none" w:sz="0" w:space="0" w:color="auto"/>
        <w:right w:val="none" w:sz="0" w:space="0" w:color="auto"/>
      </w:divBdr>
    </w:div>
    <w:div w:id="1452556407">
      <w:bodyDiv w:val="1"/>
      <w:marLeft w:val="0"/>
      <w:marRight w:val="0"/>
      <w:marTop w:val="0"/>
      <w:marBottom w:val="0"/>
      <w:divBdr>
        <w:top w:val="none" w:sz="0" w:space="0" w:color="auto"/>
        <w:left w:val="none" w:sz="0" w:space="0" w:color="auto"/>
        <w:bottom w:val="none" w:sz="0" w:space="0" w:color="auto"/>
        <w:right w:val="none" w:sz="0" w:space="0" w:color="auto"/>
      </w:divBdr>
    </w:div>
    <w:div w:id="1454132913">
      <w:bodyDiv w:val="1"/>
      <w:marLeft w:val="0"/>
      <w:marRight w:val="0"/>
      <w:marTop w:val="0"/>
      <w:marBottom w:val="0"/>
      <w:divBdr>
        <w:top w:val="none" w:sz="0" w:space="0" w:color="auto"/>
        <w:left w:val="none" w:sz="0" w:space="0" w:color="auto"/>
        <w:bottom w:val="none" w:sz="0" w:space="0" w:color="auto"/>
        <w:right w:val="none" w:sz="0" w:space="0" w:color="auto"/>
      </w:divBdr>
    </w:div>
    <w:div w:id="1454597464">
      <w:bodyDiv w:val="1"/>
      <w:marLeft w:val="0"/>
      <w:marRight w:val="0"/>
      <w:marTop w:val="0"/>
      <w:marBottom w:val="0"/>
      <w:divBdr>
        <w:top w:val="none" w:sz="0" w:space="0" w:color="auto"/>
        <w:left w:val="none" w:sz="0" w:space="0" w:color="auto"/>
        <w:bottom w:val="none" w:sz="0" w:space="0" w:color="auto"/>
        <w:right w:val="none" w:sz="0" w:space="0" w:color="auto"/>
      </w:divBdr>
    </w:div>
    <w:div w:id="1454598330">
      <w:bodyDiv w:val="1"/>
      <w:marLeft w:val="0"/>
      <w:marRight w:val="0"/>
      <w:marTop w:val="0"/>
      <w:marBottom w:val="0"/>
      <w:divBdr>
        <w:top w:val="none" w:sz="0" w:space="0" w:color="auto"/>
        <w:left w:val="none" w:sz="0" w:space="0" w:color="auto"/>
        <w:bottom w:val="none" w:sz="0" w:space="0" w:color="auto"/>
        <w:right w:val="none" w:sz="0" w:space="0" w:color="auto"/>
      </w:divBdr>
    </w:div>
    <w:div w:id="1454716940">
      <w:bodyDiv w:val="1"/>
      <w:marLeft w:val="0"/>
      <w:marRight w:val="0"/>
      <w:marTop w:val="0"/>
      <w:marBottom w:val="0"/>
      <w:divBdr>
        <w:top w:val="none" w:sz="0" w:space="0" w:color="auto"/>
        <w:left w:val="none" w:sz="0" w:space="0" w:color="auto"/>
        <w:bottom w:val="none" w:sz="0" w:space="0" w:color="auto"/>
        <w:right w:val="none" w:sz="0" w:space="0" w:color="auto"/>
      </w:divBdr>
    </w:div>
    <w:div w:id="1454984850">
      <w:bodyDiv w:val="1"/>
      <w:marLeft w:val="0"/>
      <w:marRight w:val="0"/>
      <w:marTop w:val="0"/>
      <w:marBottom w:val="0"/>
      <w:divBdr>
        <w:top w:val="none" w:sz="0" w:space="0" w:color="auto"/>
        <w:left w:val="none" w:sz="0" w:space="0" w:color="auto"/>
        <w:bottom w:val="none" w:sz="0" w:space="0" w:color="auto"/>
        <w:right w:val="none" w:sz="0" w:space="0" w:color="auto"/>
      </w:divBdr>
    </w:div>
    <w:div w:id="1454985820">
      <w:bodyDiv w:val="1"/>
      <w:marLeft w:val="0"/>
      <w:marRight w:val="0"/>
      <w:marTop w:val="0"/>
      <w:marBottom w:val="0"/>
      <w:divBdr>
        <w:top w:val="none" w:sz="0" w:space="0" w:color="auto"/>
        <w:left w:val="none" w:sz="0" w:space="0" w:color="auto"/>
        <w:bottom w:val="none" w:sz="0" w:space="0" w:color="auto"/>
        <w:right w:val="none" w:sz="0" w:space="0" w:color="auto"/>
      </w:divBdr>
    </w:div>
    <w:div w:id="1455176951">
      <w:bodyDiv w:val="1"/>
      <w:marLeft w:val="0"/>
      <w:marRight w:val="0"/>
      <w:marTop w:val="0"/>
      <w:marBottom w:val="0"/>
      <w:divBdr>
        <w:top w:val="none" w:sz="0" w:space="0" w:color="auto"/>
        <w:left w:val="none" w:sz="0" w:space="0" w:color="auto"/>
        <w:bottom w:val="none" w:sz="0" w:space="0" w:color="auto"/>
        <w:right w:val="none" w:sz="0" w:space="0" w:color="auto"/>
      </w:divBdr>
    </w:div>
    <w:div w:id="1455246101">
      <w:bodyDiv w:val="1"/>
      <w:marLeft w:val="0"/>
      <w:marRight w:val="0"/>
      <w:marTop w:val="0"/>
      <w:marBottom w:val="0"/>
      <w:divBdr>
        <w:top w:val="none" w:sz="0" w:space="0" w:color="auto"/>
        <w:left w:val="none" w:sz="0" w:space="0" w:color="auto"/>
        <w:bottom w:val="none" w:sz="0" w:space="0" w:color="auto"/>
        <w:right w:val="none" w:sz="0" w:space="0" w:color="auto"/>
      </w:divBdr>
    </w:div>
    <w:div w:id="1455712329">
      <w:bodyDiv w:val="1"/>
      <w:marLeft w:val="0"/>
      <w:marRight w:val="0"/>
      <w:marTop w:val="0"/>
      <w:marBottom w:val="0"/>
      <w:divBdr>
        <w:top w:val="none" w:sz="0" w:space="0" w:color="auto"/>
        <w:left w:val="none" w:sz="0" w:space="0" w:color="auto"/>
        <w:bottom w:val="none" w:sz="0" w:space="0" w:color="auto"/>
        <w:right w:val="none" w:sz="0" w:space="0" w:color="auto"/>
      </w:divBdr>
    </w:div>
    <w:div w:id="1455830944">
      <w:bodyDiv w:val="1"/>
      <w:marLeft w:val="0"/>
      <w:marRight w:val="0"/>
      <w:marTop w:val="0"/>
      <w:marBottom w:val="0"/>
      <w:divBdr>
        <w:top w:val="none" w:sz="0" w:space="0" w:color="auto"/>
        <w:left w:val="none" w:sz="0" w:space="0" w:color="auto"/>
        <w:bottom w:val="none" w:sz="0" w:space="0" w:color="auto"/>
        <w:right w:val="none" w:sz="0" w:space="0" w:color="auto"/>
      </w:divBdr>
    </w:div>
    <w:div w:id="1456288510">
      <w:bodyDiv w:val="1"/>
      <w:marLeft w:val="0"/>
      <w:marRight w:val="0"/>
      <w:marTop w:val="0"/>
      <w:marBottom w:val="0"/>
      <w:divBdr>
        <w:top w:val="none" w:sz="0" w:space="0" w:color="auto"/>
        <w:left w:val="none" w:sz="0" w:space="0" w:color="auto"/>
        <w:bottom w:val="none" w:sz="0" w:space="0" w:color="auto"/>
        <w:right w:val="none" w:sz="0" w:space="0" w:color="auto"/>
      </w:divBdr>
    </w:div>
    <w:div w:id="1457018071">
      <w:bodyDiv w:val="1"/>
      <w:marLeft w:val="0"/>
      <w:marRight w:val="0"/>
      <w:marTop w:val="0"/>
      <w:marBottom w:val="0"/>
      <w:divBdr>
        <w:top w:val="none" w:sz="0" w:space="0" w:color="auto"/>
        <w:left w:val="none" w:sz="0" w:space="0" w:color="auto"/>
        <w:bottom w:val="none" w:sz="0" w:space="0" w:color="auto"/>
        <w:right w:val="none" w:sz="0" w:space="0" w:color="auto"/>
      </w:divBdr>
    </w:div>
    <w:div w:id="1458403153">
      <w:bodyDiv w:val="1"/>
      <w:marLeft w:val="0"/>
      <w:marRight w:val="0"/>
      <w:marTop w:val="0"/>
      <w:marBottom w:val="0"/>
      <w:divBdr>
        <w:top w:val="none" w:sz="0" w:space="0" w:color="auto"/>
        <w:left w:val="none" w:sz="0" w:space="0" w:color="auto"/>
        <w:bottom w:val="none" w:sz="0" w:space="0" w:color="auto"/>
        <w:right w:val="none" w:sz="0" w:space="0" w:color="auto"/>
      </w:divBdr>
    </w:div>
    <w:div w:id="1458991192">
      <w:bodyDiv w:val="1"/>
      <w:marLeft w:val="0"/>
      <w:marRight w:val="0"/>
      <w:marTop w:val="0"/>
      <w:marBottom w:val="0"/>
      <w:divBdr>
        <w:top w:val="none" w:sz="0" w:space="0" w:color="auto"/>
        <w:left w:val="none" w:sz="0" w:space="0" w:color="auto"/>
        <w:bottom w:val="none" w:sz="0" w:space="0" w:color="auto"/>
        <w:right w:val="none" w:sz="0" w:space="0" w:color="auto"/>
      </w:divBdr>
    </w:div>
    <w:div w:id="1459497300">
      <w:bodyDiv w:val="1"/>
      <w:marLeft w:val="0"/>
      <w:marRight w:val="0"/>
      <w:marTop w:val="0"/>
      <w:marBottom w:val="0"/>
      <w:divBdr>
        <w:top w:val="none" w:sz="0" w:space="0" w:color="auto"/>
        <w:left w:val="none" w:sz="0" w:space="0" w:color="auto"/>
        <w:bottom w:val="none" w:sz="0" w:space="0" w:color="auto"/>
        <w:right w:val="none" w:sz="0" w:space="0" w:color="auto"/>
      </w:divBdr>
    </w:div>
    <w:div w:id="1460026432">
      <w:bodyDiv w:val="1"/>
      <w:marLeft w:val="0"/>
      <w:marRight w:val="0"/>
      <w:marTop w:val="0"/>
      <w:marBottom w:val="0"/>
      <w:divBdr>
        <w:top w:val="none" w:sz="0" w:space="0" w:color="auto"/>
        <w:left w:val="none" w:sz="0" w:space="0" w:color="auto"/>
        <w:bottom w:val="none" w:sz="0" w:space="0" w:color="auto"/>
        <w:right w:val="none" w:sz="0" w:space="0" w:color="auto"/>
      </w:divBdr>
    </w:div>
    <w:div w:id="1460027301">
      <w:bodyDiv w:val="1"/>
      <w:marLeft w:val="0"/>
      <w:marRight w:val="0"/>
      <w:marTop w:val="0"/>
      <w:marBottom w:val="0"/>
      <w:divBdr>
        <w:top w:val="none" w:sz="0" w:space="0" w:color="auto"/>
        <w:left w:val="none" w:sz="0" w:space="0" w:color="auto"/>
        <w:bottom w:val="none" w:sz="0" w:space="0" w:color="auto"/>
        <w:right w:val="none" w:sz="0" w:space="0" w:color="auto"/>
      </w:divBdr>
    </w:div>
    <w:div w:id="1460342417">
      <w:bodyDiv w:val="1"/>
      <w:marLeft w:val="0"/>
      <w:marRight w:val="0"/>
      <w:marTop w:val="0"/>
      <w:marBottom w:val="0"/>
      <w:divBdr>
        <w:top w:val="none" w:sz="0" w:space="0" w:color="auto"/>
        <w:left w:val="none" w:sz="0" w:space="0" w:color="auto"/>
        <w:bottom w:val="none" w:sz="0" w:space="0" w:color="auto"/>
        <w:right w:val="none" w:sz="0" w:space="0" w:color="auto"/>
      </w:divBdr>
    </w:div>
    <w:div w:id="1461457513">
      <w:bodyDiv w:val="1"/>
      <w:marLeft w:val="0"/>
      <w:marRight w:val="0"/>
      <w:marTop w:val="0"/>
      <w:marBottom w:val="0"/>
      <w:divBdr>
        <w:top w:val="none" w:sz="0" w:space="0" w:color="auto"/>
        <w:left w:val="none" w:sz="0" w:space="0" w:color="auto"/>
        <w:bottom w:val="none" w:sz="0" w:space="0" w:color="auto"/>
        <w:right w:val="none" w:sz="0" w:space="0" w:color="auto"/>
      </w:divBdr>
    </w:div>
    <w:div w:id="1461849363">
      <w:bodyDiv w:val="1"/>
      <w:marLeft w:val="0"/>
      <w:marRight w:val="0"/>
      <w:marTop w:val="0"/>
      <w:marBottom w:val="0"/>
      <w:divBdr>
        <w:top w:val="none" w:sz="0" w:space="0" w:color="auto"/>
        <w:left w:val="none" w:sz="0" w:space="0" w:color="auto"/>
        <w:bottom w:val="none" w:sz="0" w:space="0" w:color="auto"/>
        <w:right w:val="none" w:sz="0" w:space="0" w:color="auto"/>
      </w:divBdr>
    </w:div>
    <w:div w:id="1462647937">
      <w:bodyDiv w:val="1"/>
      <w:marLeft w:val="0"/>
      <w:marRight w:val="0"/>
      <w:marTop w:val="0"/>
      <w:marBottom w:val="0"/>
      <w:divBdr>
        <w:top w:val="none" w:sz="0" w:space="0" w:color="auto"/>
        <w:left w:val="none" w:sz="0" w:space="0" w:color="auto"/>
        <w:bottom w:val="none" w:sz="0" w:space="0" w:color="auto"/>
        <w:right w:val="none" w:sz="0" w:space="0" w:color="auto"/>
      </w:divBdr>
    </w:div>
    <w:div w:id="1465004795">
      <w:bodyDiv w:val="1"/>
      <w:marLeft w:val="0"/>
      <w:marRight w:val="0"/>
      <w:marTop w:val="0"/>
      <w:marBottom w:val="0"/>
      <w:divBdr>
        <w:top w:val="none" w:sz="0" w:space="0" w:color="auto"/>
        <w:left w:val="none" w:sz="0" w:space="0" w:color="auto"/>
        <w:bottom w:val="none" w:sz="0" w:space="0" w:color="auto"/>
        <w:right w:val="none" w:sz="0" w:space="0" w:color="auto"/>
      </w:divBdr>
    </w:div>
    <w:div w:id="1465193905">
      <w:bodyDiv w:val="1"/>
      <w:marLeft w:val="0"/>
      <w:marRight w:val="0"/>
      <w:marTop w:val="0"/>
      <w:marBottom w:val="0"/>
      <w:divBdr>
        <w:top w:val="none" w:sz="0" w:space="0" w:color="auto"/>
        <w:left w:val="none" w:sz="0" w:space="0" w:color="auto"/>
        <w:bottom w:val="none" w:sz="0" w:space="0" w:color="auto"/>
        <w:right w:val="none" w:sz="0" w:space="0" w:color="auto"/>
      </w:divBdr>
    </w:div>
    <w:div w:id="1465466885">
      <w:bodyDiv w:val="1"/>
      <w:marLeft w:val="0"/>
      <w:marRight w:val="0"/>
      <w:marTop w:val="0"/>
      <w:marBottom w:val="0"/>
      <w:divBdr>
        <w:top w:val="none" w:sz="0" w:space="0" w:color="auto"/>
        <w:left w:val="none" w:sz="0" w:space="0" w:color="auto"/>
        <w:bottom w:val="none" w:sz="0" w:space="0" w:color="auto"/>
        <w:right w:val="none" w:sz="0" w:space="0" w:color="auto"/>
      </w:divBdr>
    </w:div>
    <w:div w:id="1466855663">
      <w:bodyDiv w:val="1"/>
      <w:marLeft w:val="0"/>
      <w:marRight w:val="0"/>
      <w:marTop w:val="0"/>
      <w:marBottom w:val="0"/>
      <w:divBdr>
        <w:top w:val="none" w:sz="0" w:space="0" w:color="auto"/>
        <w:left w:val="none" w:sz="0" w:space="0" w:color="auto"/>
        <w:bottom w:val="none" w:sz="0" w:space="0" w:color="auto"/>
        <w:right w:val="none" w:sz="0" w:space="0" w:color="auto"/>
      </w:divBdr>
    </w:div>
    <w:div w:id="1467157712">
      <w:bodyDiv w:val="1"/>
      <w:marLeft w:val="0"/>
      <w:marRight w:val="0"/>
      <w:marTop w:val="0"/>
      <w:marBottom w:val="0"/>
      <w:divBdr>
        <w:top w:val="none" w:sz="0" w:space="0" w:color="auto"/>
        <w:left w:val="none" w:sz="0" w:space="0" w:color="auto"/>
        <w:bottom w:val="none" w:sz="0" w:space="0" w:color="auto"/>
        <w:right w:val="none" w:sz="0" w:space="0" w:color="auto"/>
      </w:divBdr>
    </w:div>
    <w:div w:id="1470854191">
      <w:bodyDiv w:val="1"/>
      <w:marLeft w:val="0"/>
      <w:marRight w:val="0"/>
      <w:marTop w:val="0"/>
      <w:marBottom w:val="0"/>
      <w:divBdr>
        <w:top w:val="none" w:sz="0" w:space="0" w:color="auto"/>
        <w:left w:val="none" w:sz="0" w:space="0" w:color="auto"/>
        <w:bottom w:val="none" w:sz="0" w:space="0" w:color="auto"/>
        <w:right w:val="none" w:sz="0" w:space="0" w:color="auto"/>
      </w:divBdr>
    </w:div>
    <w:div w:id="1470856188">
      <w:bodyDiv w:val="1"/>
      <w:marLeft w:val="0"/>
      <w:marRight w:val="0"/>
      <w:marTop w:val="0"/>
      <w:marBottom w:val="0"/>
      <w:divBdr>
        <w:top w:val="none" w:sz="0" w:space="0" w:color="auto"/>
        <w:left w:val="none" w:sz="0" w:space="0" w:color="auto"/>
        <w:bottom w:val="none" w:sz="0" w:space="0" w:color="auto"/>
        <w:right w:val="none" w:sz="0" w:space="0" w:color="auto"/>
      </w:divBdr>
    </w:div>
    <w:div w:id="1471558663">
      <w:bodyDiv w:val="1"/>
      <w:marLeft w:val="0"/>
      <w:marRight w:val="0"/>
      <w:marTop w:val="0"/>
      <w:marBottom w:val="0"/>
      <w:divBdr>
        <w:top w:val="none" w:sz="0" w:space="0" w:color="auto"/>
        <w:left w:val="none" w:sz="0" w:space="0" w:color="auto"/>
        <w:bottom w:val="none" w:sz="0" w:space="0" w:color="auto"/>
        <w:right w:val="none" w:sz="0" w:space="0" w:color="auto"/>
      </w:divBdr>
    </w:div>
    <w:div w:id="1472207502">
      <w:bodyDiv w:val="1"/>
      <w:marLeft w:val="0"/>
      <w:marRight w:val="0"/>
      <w:marTop w:val="0"/>
      <w:marBottom w:val="0"/>
      <w:divBdr>
        <w:top w:val="none" w:sz="0" w:space="0" w:color="auto"/>
        <w:left w:val="none" w:sz="0" w:space="0" w:color="auto"/>
        <w:bottom w:val="none" w:sz="0" w:space="0" w:color="auto"/>
        <w:right w:val="none" w:sz="0" w:space="0" w:color="auto"/>
      </w:divBdr>
    </w:div>
    <w:div w:id="1472868435">
      <w:bodyDiv w:val="1"/>
      <w:marLeft w:val="0"/>
      <w:marRight w:val="0"/>
      <w:marTop w:val="0"/>
      <w:marBottom w:val="0"/>
      <w:divBdr>
        <w:top w:val="none" w:sz="0" w:space="0" w:color="auto"/>
        <w:left w:val="none" w:sz="0" w:space="0" w:color="auto"/>
        <w:bottom w:val="none" w:sz="0" w:space="0" w:color="auto"/>
        <w:right w:val="none" w:sz="0" w:space="0" w:color="auto"/>
      </w:divBdr>
    </w:div>
    <w:div w:id="1475490535">
      <w:bodyDiv w:val="1"/>
      <w:marLeft w:val="0"/>
      <w:marRight w:val="0"/>
      <w:marTop w:val="0"/>
      <w:marBottom w:val="0"/>
      <w:divBdr>
        <w:top w:val="none" w:sz="0" w:space="0" w:color="auto"/>
        <w:left w:val="none" w:sz="0" w:space="0" w:color="auto"/>
        <w:bottom w:val="none" w:sz="0" w:space="0" w:color="auto"/>
        <w:right w:val="none" w:sz="0" w:space="0" w:color="auto"/>
      </w:divBdr>
    </w:div>
    <w:div w:id="1476144206">
      <w:bodyDiv w:val="1"/>
      <w:marLeft w:val="0"/>
      <w:marRight w:val="0"/>
      <w:marTop w:val="0"/>
      <w:marBottom w:val="0"/>
      <w:divBdr>
        <w:top w:val="none" w:sz="0" w:space="0" w:color="auto"/>
        <w:left w:val="none" w:sz="0" w:space="0" w:color="auto"/>
        <w:bottom w:val="none" w:sz="0" w:space="0" w:color="auto"/>
        <w:right w:val="none" w:sz="0" w:space="0" w:color="auto"/>
      </w:divBdr>
    </w:div>
    <w:div w:id="1476338505">
      <w:bodyDiv w:val="1"/>
      <w:marLeft w:val="0"/>
      <w:marRight w:val="0"/>
      <w:marTop w:val="0"/>
      <w:marBottom w:val="0"/>
      <w:divBdr>
        <w:top w:val="none" w:sz="0" w:space="0" w:color="auto"/>
        <w:left w:val="none" w:sz="0" w:space="0" w:color="auto"/>
        <w:bottom w:val="none" w:sz="0" w:space="0" w:color="auto"/>
        <w:right w:val="none" w:sz="0" w:space="0" w:color="auto"/>
      </w:divBdr>
    </w:div>
    <w:div w:id="1476607916">
      <w:bodyDiv w:val="1"/>
      <w:marLeft w:val="0"/>
      <w:marRight w:val="0"/>
      <w:marTop w:val="0"/>
      <w:marBottom w:val="0"/>
      <w:divBdr>
        <w:top w:val="none" w:sz="0" w:space="0" w:color="auto"/>
        <w:left w:val="none" w:sz="0" w:space="0" w:color="auto"/>
        <w:bottom w:val="none" w:sz="0" w:space="0" w:color="auto"/>
        <w:right w:val="none" w:sz="0" w:space="0" w:color="auto"/>
      </w:divBdr>
    </w:div>
    <w:div w:id="1477070735">
      <w:bodyDiv w:val="1"/>
      <w:marLeft w:val="0"/>
      <w:marRight w:val="0"/>
      <w:marTop w:val="0"/>
      <w:marBottom w:val="0"/>
      <w:divBdr>
        <w:top w:val="none" w:sz="0" w:space="0" w:color="auto"/>
        <w:left w:val="none" w:sz="0" w:space="0" w:color="auto"/>
        <w:bottom w:val="none" w:sz="0" w:space="0" w:color="auto"/>
        <w:right w:val="none" w:sz="0" w:space="0" w:color="auto"/>
      </w:divBdr>
    </w:div>
    <w:div w:id="1477071045">
      <w:bodyDiv w:val="1"/>
      <w:marLeft w:val="0"/>
      <w:marRight w:val="0"/>
      <w:marTop w:val="0"/>
      <w:marBottom w:val="0"/>
      <w:divBdr>
        <w:top w:val="none" w:sz="0" w:space="0" w:color="auto"/>
        <w:left w:val="none" w:sz="0" w:space="0" w:color="auto"/>
        <w:bottom w:val="none" w:sz="0" w:space="0" w:color="auto"/>
        <w:right w:val="none" w:sz="0" w:space="0" w:color="auto"/>
      </w:divBdr>
    </w:div>
    <w:div w:id="1477146530">
      <w:bodyDiv w:val="1"/>
      <w:marLeft w:val="0"/>
      <w:marRight w:val="0"/>
      <w:marTop w:val="0"/>
      <w:marBottom w:val="0"/>
      <w:divBdr>
        <w:top w:val="none" w:sz="0" w:space="0" w:color="auto"/>
        <w:left w:val="none" w:sz="0" w:space="0" w:color="auto"/>
        <w:bottom w:val="none" w:sz="0" w:space="0" w:color="auto"/>
        <w:right w:val="none" w:sz="0" w:space="0" w:color="auto"/>
      </w:divBdr>
    </w:div>
    <w:div w:id="1478035371">
      <w:bodyDiv w:val="1"/>
      <w:marLeft w:val="0"/>
      <w:marRight w:val="0"/>
      <w:marTop w:val="0"/>
      <w:marBottom w:val="0"/>
      <w:divBdr>
        <w:top w:val="none" w:sz="0" w:space="0" w:color="auto"/>
        <w:left w:val="none" w:sz="0" w:space="0" w:color="auto"/>
        <w:bottom w:val="none" w:sz="0" w:space="0" w:color="auto"/>
        <w:right w:val="none" w:sz="0" w:space="0" w:color="auto"/>
      </w:divBdr>
    </w:div>
    <w:div w:id="1478456574">
      <w:bodyDiv w:val="1"/>
      <w:marLeft w:val="0"/>
      <w:marRight w:val="0"/>
      <w:marTop w:val="0"/>
      <w:marBottom w:val="0"/>
      <w:divBdr>
        <w:top w:val="none" w:sz="0" w:space="0" w:color="auto"/>
        <w:left w:val="none" w:sz="0" w:space="0" w:color="auto"/>
        <w:bottom w:val="none" w:sz="0" w:space="0" w:color="auto"/>
        <w:right w:val="none" w:sz="0" w:space="0" w:color="auto"/>
      </w:divBdr>
    </w:div>
    <w:div w:id="1478766494">
      <w:bodyDiv w:val="1"/>
      <w:marLeft w:val="0"/>
      <w:marRight w:val="0"/>
      <w:marTop w:val="0"/>
      <w:marBottom w:val="0"/>
      <w:divBdr>
        <w:top w:val="none" w:sz="0" w:space="0" w:color="auto"/>
        <w:left w:val="none" w:sz="0" w:space="0" w:color="auto"/>
        <w:bottom w:val="none" w:sz="0" w:space="0" w:color="auto"/>
        <w:right w:val="none" w:sz="0" w:space="0" w:color="auto"/>
      </w:divBdr>
    </w:div>
    <w:div w:id="1478886771">
      <w:bodyDiv w:val="1"/>
      <w:marLeft w:val="0"/>
      <w:marRight w:val="0"/>
      <w:marTop w:val="0"/>
      <w:marBottom w:val="0"/>
      <w:divBdr>
        <w:top w:val="none" w:sz="0" w:space="0" w:color="auto"/>
        <w:left w:val="none" w:sz="0" w:space="0" w:color="auto"/>
        <w:bottom w:val="none" w:sz="0" w:space="0" w:color="auto"/>
        <w:right w:val="none" w:sz="0" w:space="0" w:color="auto"/>
      </w:divBdr>
    </w:div>
    <w:div w:id="1478960107">
      <w:bodyDiv w:val="1"/>
      <w:marLeft w:val="0"/>
      <w:marRight w:val="0"/>
      <w:marTop w:val="0"/>
      <w:marBottom w:val="0"/>
      <w:divBdr>
        <w:top w:val="none" w:sz="0" w:space="0" w:color="auto"/>
        <w:left w:val="none" w:sz="0" w:space="0" w:color="auto"/>
        <w:bottom w:val="none" w:sz="0" w:space="0" w:color="auto"/>
        <w:right w:val="none" w:sz="0" w:space="0" w:color="auto"/>
      </w:divBdr>
    </w:div>
    <w:div w:id="1479414544">
      <w:bodyDiv w:val="1"/>
      <w:marLeft w:val="0"/>
      <w:marRight w:val="0"/>
      <w:marTop w:val="0"/>
      <w:marBottom w:val="0"/>
      <w:divBdr>
        <w:top w:val="none" w:sz="0" w:space="0" w:color="auto"/>
        <w:left w:val="none" w:sz="0" w:space="0" w:color="auto"/>
        <w:bottom w:val="none" w:sz="0" w:space="0" w:color="auto"/>
        <w:right w:val="none" w:sz="0" w:space="0" w:color="auto"/>
      </w:divBdr>
    </w:div>
    <w:div w:id="1481388124">
      <w:bodyDiv w:val="1"/>
      <w:marLeft w:val="0"/>
      <w:marRight w:val="0"/>
      <w:marTop w:val="0"/>
      <w:marBottom w:val="0"/>
      <w:divBdr>
        <w:top w:val="none" w:sz="0" w:space="0" w:color="auto"/>
        <w:left w:val="none" w:sz="0" w:space="0" w:color="auto"/>
        <w:bottom w:val="none" w:sz="0" w:space="0" w:color="auto"/>
        <w:right w:val="none" w:sz="0" w:space="0" w:color="auto"/>
      </w:divBdr>
    </w:div>
    <w:div w:id="1483110050">
      <w:bodyDiv w:val="1"/>
      <w:marLeft w:val="0"/>
      <w:marRight w:val="0"/>
      <w:marTop w:val="0"/>
      <w:marBottom w:val="0"/>
      <w:divBdr>
        <w:top w:val="none" w:sz="0" w:space="0" w:color="auto"/>
        <w:left w:val="none" w:sz="0" w:space="0" w:color="auto"/>
        <w:bottom w:val="none" w:sz="0" w:space="0" w:color="auto"/>
        <w:right w:val="none" w:sz="0" w:space="0" w:color="auto"/>
      </w:divBdr>
    </w:div>
    <w:div w:id="1485858426">
      <w:bodyDiv w:val="1"/>
      <w:marLeft w:val="0"/>
      <w:marRight w:val="0"/>
      <w:marTop w:val="0"/>
      <w:marBottom w:val="0"/>
      <w:divBdr>
        <w:top w:val="none" w:sz="0" w:space="0" w:color="auto"/>
        <w:left w:val="none" w:sz="0" w:space="0" w:color="auto"/>
        <w:bottom w:val="none" w:sz="0" w:space="0" w:color="auto"/>
        <w:right w:val="none" w:sz="0" w:space="0" w:color="auto"/>
      </w:divBdr>
    </w:div>
    <w:div w:id="1486315493">
      <w:bodyDiv w:val="1"/>
      <w:marLeft w:val="0"/>
      <w:marRight w:val="0"/>
      <w:marTop w:val="0"/>
      <w:marBottom w:val="0"/>
      <w:divBdr>
        <w:top w:val="none" w:sz="0" w:space="0" w:color="auto"/>
        <w:left w:val="none" w:sz="0" w:space="0" w:color="auto"/>
        <w:bottom w:val="none" w:sz="0" w:space="0" w:color="auto"/>
        <w:right w:val="none" w:sz="0" w:space="0" w:color="auto"/>
      </w:divBdr>
    </w:div>
    <w:div w:id="1487016492">
      <w:bodyDiv w:val="1"/>
      <w:marLeft w:val="0"/>
      <w:marRight w:val="0"/>
      <w:marTop w:val="0"/>
      <w:marBottom w:val="0"/>
      <w:divBdr>
        <w:top w:val="none" w:sz="0" w:space="0" w:color="auto"/>
        <w:left w:val="none" w:sz="0" w:space="0" w:color="auto"/>
        <w:bottom w:val="none" w:sz="0" w:space="0" w:color="auto"/>
        <w:right w:val="none" w:sz="0" w:space="0" w:color="auto"/>
      </w:divBdr>
    </w:div>
    <w:div w:id="1487941131">
      <w:bodyDiv w:val="1"/>
      <w:marLeft w:val="0"/>
      <w:marRight w:val="0"/>
      <w:marTop w:val="0"/>
      <w:marBottom w:val="0"/>
      <w:divBdr>
        <w:top w:val="none" w:sz="0" w:space="0" w:color="auto"/>
        <w:left w:val="none" w:sz="0" w:space="0" w:color="auto"/>
        <w:bottom w:val="none" w:sz="0" w:space="0" w:color="auto"/>
        <w:right w:val="none" w:sz="0" w:space="0" w:color="auto"/>
      </w:divBdr>
    </w:div>
    <w:div w:id="1488128440">
      <w:bodyDiv w:val="1"/>
      <w:marLeft w:val="0"/>
      <w:marRight w:val="0"/>
      <w:marTop w:val="0"/>
      <w:marBottom w:val="0"/>
      <w:divBdr>
        <w:top w:val="none" w:sz="0" w:space="0" w:color="auto"/>
        <w:left w:val="none" w:sz="0" w:space="0" w:color="auto"/>
        <w:bottom w:val="none" w:sz="0" w:space="0" w:color="auto"/>
        <w:right w:val="none" w:sz="0" w:space="0" w:color="auto"/>
      </w:divBdr>
    </w:div>
    <w:div w:id="1490176632">
      <w:bodyDiv w:val="1"/>
      <w:marLeft w:val="0"/>
      <w:marRight w:val="0"/>
      <w:marTop w:val="0"/>
      <w:marBottom w:val="0"/>
      <w:divBdr>
        <w:top w:val="none" w:sz="0" w:space="0" w:color="auto"/>
        <w:left w:val="none" w:sz="0" w:space="0" w:color="auto"/>
        <w:bottom w:val="none" w:sz="0" w:space="0" w:color="auto"/>
        <w:right w:val="none" w:sz="0" w:space="0" w:color="auto"/>
      </w:divBdr>
    </w:div>
    <w:div w:id="1490711488">
      <w:bodyDiv w:val="1"/>
      <w:marLeft w:val="0"/>
      <w:marRight w:val="0"/>
      <w:marTop w:val="0"/>
      <w:marBottom w:val="0"/>
      <w:divBdr>
        <w:top w:val="none" w:sz="0" w:space="0" w:color="auto"/>
        <w:left w:val="none" w:sz="0" w:space="0" w:color="auto"/>
        <w:bottom w:val="none" w:sz="0" w:space="0" w:color="auto"/>
        <w:right w:val="none" w:sz="0" w:space="0" w:color="auto"/>
      </w:divBdr>
    </w:div>
    <w:div w:id="1490750830">
      <w:bodyDiv w:val="1"/>
      <w:marLeft w:val="0"/>
      <w:marRight w:val="0"/>
      <w:marTop w:val="0"/>
      <w:marBottom w:val="0"/>
      <w:divBdr>
        <w:top w:val="none" w:sz="0" w:space="0" w:color="auto"/>
        <w:left w:val="none" w:sz="0" w:space="0" w:color="auto"/>
        <w:bottom w:val="none" w:sz="0" w:space="0" w:color="auto"/>
        <w:right w:val="none" w:sz="0" w:space="0" w:color="auto"/>
      </w:divBdr>
    </w:div>
    <w:div w:id="1491369489">
      <w:bodyDiv w:val="1"/>
      <w:marLeft w:val="0"/>
      <w:marRight w:val="0"/>
      <w:marTop w:val="0"/>
      <w:marBottom w:val="0"/>
      <w:divBdr>
        <w:top w:val="none" w:sz="0" w:space="0" w:color="auto"/>
        <w:left w:val="none" w:sz="0" w:space="0" w:color="auto"/>
        <w:bottom w:val="none" w:sz="0" w:space="0" w:color="auto"/>
        <w:right w:val="none" w:sz="0" w:space="0" w:color="auto"/>
      </w:divBdr>
    </w:div>
    <w:div w:id="1493453083">
      <w:bodyDiv w:val="1"/>
      <w:marLeft w:val="0"/>
      <w:marRight w:val="0"/>
      <w:marTop w:val="0"/>
      <w:marBottom w:val="0"/>
      <w:divBdr>
        <w:top w:val="none" w:sz="0" w:space="0" w:color="auto"/>
        <w:left w:val="none" w:sz="0" w:space="0" w:color="auto"/>
        <w:bottom w:val="none" w:sz="0" w:space="0" w:color="auto"/>
        <w:right w:val="none" w:sz="0" w:space="0" w:color="auto"/>
      </w:divBdr>
    </w:div>
    <w:div w:id="1494180975">
      <w:bodyDiv w:val="1"/>
      <w:marLeft w:val="0"/>
      <w:marRight w:val="0"/>
      <w:marTop w:val="0"/>
      <w:marBottom w:val="0"/>
      <w:divBdr>
        <w:top w:val="none" w:sz="0" w:space="0" w:color="auto"/>
        <w:left w:val="none" w:sz="0" w:space="0" w:color="auto"/>
        <w:bottom w:val="none" w:sz="0" w:space="0" w:color="auto"/>
        <w:right w:val="none" w:sz="0" w:space="0" w:color="auto"/>
      </w:divBdr>
    </w:div>
    <w:div w:id="1494183644">
      <w:bodyDiv w:val="1"/>
      <w:marLeft w:val="0"/>
      <w:marRight w:val="0"/>
      <w:marTop w:val="0"/>
      <w:marBottom w:val="0"/>
      <w:divBdr>
        <w:top w:val="none" w:sz="0" w:space="0" w:color="auto"/>
        <w:left w:val="none" w:sz="0" w:space="0" w:color="auto"/>
        <w:bottom w:val="none" w:sz="0" w:space="0" w:color="auto"/>
        <w:right w:val="none" w:sz="0" w:space="0" w:color="auto"/>
      </w:divBdr>
    </w:div>
    <w:div w:id="1495489659">
      <w:bodyDiv w:val="1"/>
      <w:marLeft w:val="0"/>
      <w:marRight w:val="0"/>
      <w:marTop w:val="0"/>
      <w:marBottom w:val="0"/>
      <w:divBdr>
        <w:top w:val="none" w:sz="0" w:space="0" w:color="auto"/>
        <w:left w:val="none" w:sz="0" w:space="0" w:color="auto"/>
        <w:bottom w:val="none" w:sz="0" w:space="0" w:color="auto"/>
        <w:right w:val="none" w:sz="0" w:space="0" w:color="auto"/>
      </w:divBdr>
    </w:div>
    <w:div w:id="1495874869">
      <w:bodyDiv w:val="1"/>
      <w:marLeft w:val="0"/>
      <w:marRight w:val="0"/>
      <w:marTop w:val="0"/>
      <w:marBottom w:val="0"/>
      <w:divBdr>
        <w:top w:val="none" w:sz="0" w:space="0" w:color="auto"/>
        <w:left w:val="none" w:sz="0" w:space="0" w:color="auto"/>
        <w:bottom w:val="none" w:sz="0" w:space="0" w:color="auto"/>
        <w:right w:val="none" w:sz="0" w:space="0" w:color="auto"/>
      </w:divBdr>
    </w:div>
    <w:div w:id="1497069202">
      <w:bodyDiv w:val="1"/>
      <w:marLeft w:val="0"/>
      <w:marRight w:val="0"/>
      <w:marTop w:val="0"/>
      <w:marBottom w:val="0"/>
      <w:divBdr>
        <w:top w:val="none" w:sz="0" w:space="0" w:color="auto"/>
        <w:left w:val="none" w:sz="0" w:space="0" w:color="auto"/>
        <w:bottom w:val="none" w:sz="0" w:space="0" w:color="auto"/>
        <w:right w:val="none" w:sz="0" w:space="0" w:color="auto"/>
      </w:divBdr>
    </w:div>
    <w:div w:id="1497921585">
      <w:bodyDiv w:val="1"/>
      <w:marLeft w:val="0"/>
      <w:marRight w:val="0"/>
      <w:marTop w:val="0"/>
      <w:marBottom w:val="0"/>
      <w:divBdr>
        <w:top w:val="none" w:sz="0" w:space="0" w:color="auto"/>
        <w:left w:val="none" w:sz="0" w:space="0" w:color="auto"/>
        <w:bottom w:val="none" w:sz="0" w:space="0" w:color="auto"/>
        <w:right w:val="none" w:sz="0" w:space="0" w:color="auto"/>
      </w:divBdr>
    </w:div>
    <w:div w:id="1498153812">
      <w:bodyDiv w:val="1"/>
      <w:marLeft w:val="0"/>
      <w:marRight w:val="0"/>
      <w:marTop w:val="0"/>
      <w:marBottom w:val="0"/>
      <w:divBdr>
        <w:top w:val="none" w:sz="0" w:space="0" w:color="auto"/>
        <w:left w:val="none" w:sz="0" w:space="0" w:color="auto"/>
        <w:bottom w:val="none" w:sz="0" w:space="0" w:color="auto"/>
        <w:right w:val="none" w:sz="0" w:space="0" w:color="auto"/>
      </w:divBdr>
    </w:div>
    <w:div w:id="1498958773">
      <w:bodyDiv w:val="1"/>
      <w:marLeft w:val="0"/>
      <w:marRight w:val="0"/>
      <w:marTop w:val="0"/>
      <w:marBottom w:val="0"/>
      <w:divBdr>
        <w:top w:val="none" w:sz="0" w:space="0" w:color="auto"/>
        <w:left w:val="none" w:sz="0" w:space="0" w:color="auto"/>
        <w:bottom w:val="none" w:sz="0" w:space="0" w:color="auto"/>
        <w:right w:val="none" w:sz="0" w:space="0" w:color="auto"/>
      </w:divBdr>
    </w:div>
    <w:div w:id="1499349154">
      <w:bodyDiv w:val="1"/>
      <w:marLeft w:val="0"/>
      <w:marRight w:val="0"/>
      <w:marTop w:val="0"/>
      <w:marBottom w:val="0"/>
      <w:divBdr>
        <w:top w:val="none" w:sz="0" w:space="0" w:color="auto"/>
        <w:left w:val="none" w:sz="0" w:space="0" w:color="auto"/>
        <w:bottom w:val="none" w:sz="0" w:space="0" w:color="auto"/>
        <w:right w:val="none" w:sz="0" w:space="0" w:color="auto"/>
      </w:divBdr>
    </w:div>
    <w:div w:id="1499803023">
      <w:bodyDiv w:val="1"/>
      <w:marLeft w:val="0"/>
      <w:marRight w:val="0"/>
      <w:marTop w:val="0"/>
      <w:marBottom w:val="0"/>
      <w:divBdr>
        <w:top w:val="none" w:sz="0" w:space="0" w:color="auto"/>
        <w:left w:val="none" w:sz="0" w:space="0" w:color="auto"/>
        <w:bottom w:val="none" w:sz="0" w:space="0" w:color="auto"/>
        <w:right w:val="none" w:sz="0" w:space="0" w:color="auto"/>
      </w:divBdr>
    </w:div>
    <w:div w:id="1500848008">
      <w:bodyDiv w:val="1"/>
      <w:marLeft w:val="0"/>
      <w:marRight w:val="0"/>
      <w:marTop w:val="0"/>
      <w:marBottom w:val="0"/>
      <w:divBdr>
        <w:top w:val="none" w:sz="0" w:space="0" w:color="auto"/>
        <w:left w:val="none" w:sz="0" w:space="0" w:color="auto"/>
        <w:bottom w:val="none" w:sz="0" w:space="0" w:color="auto"/>
        <w:right w:val="none" w:sz="0" w:space="0" w:color="auto"/>
      </w:divBdr>
    </w:div>
    <w:div w:id="1501191485">
      <w:bodyDiv w:val="1"/>
      <w:marLeft w:val="0"/>
      <w:marRight w:val="0"/>
      <w:marTop w:val="0"/>
      <w:marBottom w:val="0"/>
      <w:divBdr>
        <w:top w:val="none" w:sz="0" w:space="0" w:color="auto"/>
        <w:left w:val="none" w:sz="0" w:space="0" w:color="auto"/>
        <w:bottom w:val="none" w:sz="0" w:space="0" w:color="auto"/>
        <w:right w:val="none" w:sz="0" w:space="0" w:color="auto"/>
      </w:divBdr>
    </w:div>
    <w:div w:id="1502505944">
      <w:bodyDiv w:val="1"/>
      <w:marLeft w:val="0"/>
      <w:marRight w:val="0"/>
      <w:marTop w:val="0"/>
      <w:marBottom w:val="0"/>
      <w:divBdr>
        <w:top w:val="none" w:sz="0" w:space="0" w:color="auto"/>
        <w:left w:val="none" w:sz="0" w:space="0" w:color="auto"/>
        <w:bottom w:val="none" w:sz="0" w:space="0" w:color="auto"/>
        <w:right w:val="none" w:sz="0" w:space="0" w:color="auto"/>
      </w:divBdr>
    </w:div>
    <w:div w:id="1502888139">
      <w:bodyDiv w:val="1"/>
      <w:marLeft w:val="0"/>
      <w:marRight w:val="0"/>
      <w:marTop w:val="0"/>
      <w:marBottom w:val="0"/>
      <w:divBdr>
        <w:top w:val="none" w:sz="0" w:space="0" w:color="auto"/>
        <w:left w:val="none" w:sz="0" w:space="0" w:color="auto"/>
        <w:bottom w:val="none" w:sz="0" w:space="0" w:color="auto"/>
        <w:right w:val="none" w:sz="0" w:space="0" w:color="auto"/>
      </w:divBdr>
    </w:div>
    <w:div w:id="1504395810">
      <w:bodyDiv w:val="1"/>
      <w:marLeft w:val="0"/>
      <w:marRight w:val="0"/>
      <w:marTop w:val="0"/>
      <w:marBottom w:val="0"/>
      <w:divBdr>
        <w:top w:val="none" w:sz="0" w:space="0" w:color="auto"/>
        <w:left w:val="none" w:sz="0" w:space="0" w:color="auto"/>
        <w:bottom w:val="none" w:sz="0" w:space="0" w:color="auto"/>
        <w:right w:val="none" w:sz="0" w:space="0" w:color="auto"/>
      </w:divBdr>
    </w:div>
    <w:div w:id="1504855108">
      <w:bodyDiv w:val="1"/>
      <w:marLeft w:val="0"/>
      <w:marRight w:val="0"/>
      <w:marTop w:val="0"/>
      <w:marBottom w:val="0"/>
      <w:divBdr>
        <w:top w:val="none" w:sz="0" w:space="0" w:color="auto"/>
        <w:left w:val="none" w:sz="0" w:space="0" w:color="auto"/>
        <w:bottom w:val="none" w:sz="0" w:space="0" w:color="auto"/>
        <w:right w:val="none" w:sz="0" w:space="0" w:color="auto"/>
      </w:divBdr>
    </w:div>
    <w:div w:id="1504857644">
      <w:bodyDiv w:val="1"/>
      <w:marLeft w:val="0"/>
      <w:marRight w:val="0"/>
      <w:marTop w:val="0"/>
      <w:marBottom w:val="0"/>
      <w:divBdr>
        <w:top w:val="none" w:sz="0" w:space="0" w:color="auto"/>
        <w:left w:val="none" w:sz="0" w:space="0" w:color="auto"/>
        <w:bottom w:val="none" w:sz="0" w:space="0" w:color="auto"/>
        <w:right w:val="none" w:sz="0" w:space="0" w:color="auto"/>
      </w:divBdr>
    </w:div>
    <w:div w:id="1505051149">
      <w:bodyDiv w:val="1"/>
      <w:marLeft w:val="0"/>
      <w:marRight w:val="0"/>
      <w:marTop w:val="0"/>
      <w:marBottom w:val="0"/>
      <w:divBdr>
        <w:top w:val="none" w:sz="0" w:space="0" w:color="auto"/>
        <w:left w:val="none" w:sz="0" w:space="0" w:color="auto"/>
        <w:bottom w:val="none" w:sz="0" w:space="0" w:color="auto"/>
        <w:right w:val="none" w:sz="0" w:space="0" w:color="auto"/>
      </w:divBdr>
    </w:div>
    <w:div w:id="1505825257">
      <w:bodyDiv w:val="1"/>
      <w:marLeft w:val="0"/>
      <w:marRight w:val="0"/>
      <w:marTop w:val="0"/>
      <w:marBottom w:val="0"/>
      <w:divBdr>
        <w:top w:val="none" w:sz="0" w:space="0" w:color="auto"/>
        <w:left w:val="none" w:sz="0" w:space="0" w:color="auto"/>
        <w:bottom w:val="none" w:sz="0" w:space="0" w:color="auto"/>
        <w:right w:val="none" w:sz="0" w:space="0" w:color="auto"/>
      </w:divBdr>
    </w:div>
    <w:div w:id="1505978588">
      <w:bodyDiv w:val="1"/>
      <w:marLeft w:val="0"/>
      <w:marRight w:val="0"/>
      <w:marTop w:val="0"/>
      <w:marBottom w:val="0"/>
      <w:divBdr>
        <w:top w:val="none" w:sz="0" w:space="0" w:color="auto"/>
        <w:left w:val="none" w:sz="0" w:space="0" w:color="auto"/>
        <w:bottom w:val="none" w:sz="0" w:space="0" w:color="auto"/>
        <w:right w:val="none" w:sz="0" w:space="0" w:color="auto"/>
      </w:divBdr>
    </w:div>
    <w:div w:id="1507359776">
      <w:bodyDiv w:val="1"/>
      <w:marLeft w:val="0"/>
      <w:marRight w:val="0"/>
      <w:marTop w:val="0"/>
      <w:marBottom w:val="0"/>
      <w:divBdr>
        <w:top w:val="none" w:sz="0" w:space="0" w:color="auto"/>
        <w:left w:val="none" w:sz="0" w:space="0" w:color="auto"/>
        <w:bottom w:val="none" w:sz="0" w:space="0" w:color="auto"/>
        <w:right w:val="none" w:sz="0" w:space="0" w:color="auto"/>
      </w:divBdr>
    </w:div>
    <w:div w:id="1508014287">
      <w:bodyDiv w:val="1"/>
      <w:marLeft w:val="0"/>
      <w:marRight w:val="0"/>
      <w:marTop w:val="0"/>
      <w:marBottom w:val="0"/>
      <w:divBdr>
        <w:top w:val="none" w:sz="0" w:space="0" w:color="auto"/>
        <w:left w:val="none" w:sz="0" w:space="0" w:color="auto"/>
        <w:bottom w:val="none" w:sz="0" w:space="0" w:color="auto"/>
        <w:right w:val="none" w:sz="0" w:space="0" w:color="auto"/>
      </w:divBdr>
    </w:div>
    <w:div w:id="1508445599">
      <w:bodyDiv w:val="1"/>
      <w:marLeft w:val="0"/>
      <w:marRight w:val="0"/>
      <w:marTop w:val="0"/>
      <w:marBottom w:val="0"/>
      <w:divBdr>
        <w:top w:val="none" w:sz="0" w:space="0" w:color="auto"/>
        <w:left w:val="none" w:sz="0" w:space="0" w:color="auto"/>
        <w:bottom w:val="none" w:sz="0" w:space="0" w:color="auto"/>
        <w:right w:val="none" w:sz="0" w:space="0" w:color="auto"/>
      </w:divBdr>
    </w:div>
    <w:div w:id="1509172455">
      <w:bodyDiv w:val="1"/>
      <w:marLeft w:val="0"/>
      <w:marRight w:val="0"/>
      <w:marTop w:val="0"/>
      <w:marBottom w:val="0"/>
      <w:divBdr>
        <w:top w:val="none" w:sz="0" w:space="0" w:color="auto"/>
        <w:left w:val="none" w:sz="0" w:space="0" w:color="auto"/>
        <w:bottom w:val="none" w:sz="0" w:space="0" w:color="auto"/>
        <w:right w:val="none" w:sz="0" w:space="0" w:color="auto"/>
      </w:divBdr>
    </w:div>
    <w:div w:id="1511338872">
      <w:bodyDiv w:val="1"/>
      <w:marLeft w:val="0"/>
      <w:marRight w:val="0"/>
      <w:marTop w:val="0"/>
      <w:marBottom w:val="0"/>
      <w:divBdr>
        <w:top w:val="none" w:sz="0" w:space="0" w:color="auto"/>
        <w:left w:val="none" w:sz="0" w:space="0" w:color="auto"/>
        <w:bottom w:val="none" w:sz="0" w:space="0" w:color="auto"/>
        <w:right w:val="none" w:sz="0" w:space="0" w:color="auto"/>
      </w:divBdr>
    </w:div>
    <w:div w:id="1511414006">
      <w:bodyDiv w:val="1"/>
      <w:marLeft w:val="0"/>
      <w:marRight w:val="0"/>
      <w:marTop w:val="0"/>
      <w:marBottom w:val="0"/>
      <w:divBdr>
        <w:top w:val="none" w:sz="0" w:space="0" w:color="auto"/>
        <w:left w:val="none" w:sz="0" w:space="0" w:color="auto"/>
        <w:bottom w:val="none" w:sz="0" w:space="0" w:color="auto"/>
        <w:right w:val="none" w:sz="0" w:space="0" w:color="auto"/>
      </w:divBdr>
    </w:div>
    <w:div w:id="1511597966">
      <w:bodyDiv w:val="1"/>
      <w:marLeft w:val="0"/>
      <w:marRight w:val="0"/>
      <w:marTop w:val="0"/>
      <w:marBottom w:val="0"/>
      <w:divBdr>
        <w:top w:val="none" w:sz="0" w:space="0" w:color="auto"/>
        <w:left w:val="none" w:sz="0" w:space="0" w:color="auto"/>
        <w:bottom w:val="none" w:sz="0" w:space="0" w:color="auto"/>
        <w:right w:val="none" w:sz="0" w:space="0" w:color="auto"/>
      </w:divBdr>
    </w:div>
    <w:div w:id="1511875593">
      <w:bodyDiv w:val="1"/>
      <w:marLeft w:val="0"/>
      <w:marRight w:val="0"/>
      <w:marTop w:val="0"/>
      <w:marBottom w:val="0"/>
      <w:divBdr>
        <w:top w:val="none" w:sz="0" w:space="0" w:color="auto"/>
        <w:left w:val="none" w:sz="0" w:space="0" w:color="auto"/>
        <w:bottom w:val="none" w:sz="0" w:space="0" w:color="auto"/>
        <w:right w:val="none" w:sz="0" w:space="0" w:color="auto"/>
      </w:divBdr>
    </w:div>
    <w:div w:id="1512375828">
      <w:bodyDiv w:val="1"/>
      <w:marLeft w:val="0"/>
      <w:marRight w:val="0"/>
      <w:marTop w:val="0"/>
      <w:marBottom w:val="0"/>
      <w:divBdr>
        <w:top w:val="none" w:sz="0" w:space="0" w:color="auto"/>
        <w:left w:val="none" w:sz="0" w:space="0" w:color="auto"/>
        <w:bottom w:val="none" w:sz="0" w:space="0" w:color="auto"/>
        <w:right w:val="none" w:sz="0" w:space="0" w:color="auto"/>
      </w:divBdr>
    </w:div>
    <w:div w:id="1513379625">
      <w:bodyDiv w:val="1"/>
      <w:marLeft w:val="0"/>
      <w:marRight w:val="0"/>
      <w:marTop w:val="0"/>
      <w:marBottom w:val="0"/>
      <w:divBdr>
        <w:top w:val="none" w:sz="0" w:space="0" w:color="auto"/>
        <w:left w:val="none" w:sz="0" w:space="0" w:color="auto"/>
        <w:bottom w:val="none" w:sz="0" w:space="0" w:color="auto"/>
        <w:right w:val="none" w:sz="0" w:space="0" w:color="auto"/>
      </w:divBdr>
    </w:div>
    <w:div w:id="1513447372">
      <w:bodyDiv w:val="1"/>
      <w:marLeft w:val="0"/>
      <w:marRight w:val="0"/>
      <w:marTop w:val="0"/>
      <w:marBottom w:val="0"/>
      <w:divBdr>
        <w:top w:val="none" w:sz="0" w:space="0" w:color="auto"/>
        <w:left w:val="none" w:sz="0" w:space="0" w:color="auto"/>
        <w:bottom w:val="none" w:sz="0" w:space="0" w:color="auto"/>
        <w:right w:val="none" w:sz="0" w:space="0" w:color="auto"/>
      </w:divBdr>
    </w:div>
    <w:div w:id="1514490991">
      <w:bodyDiv w:val="1"/>
      <w:marLeft w:val="0"/>
      <w:marRight w:val="0"/>
      <w:marTop w:val="0"/>
      <w:marBottom w:val="0"/>
      <w:divBdr>
        <w:top w:val="none" w:sz="0" w:space="0" w:color="auto"/>
        <w:left w:val="none" w:sz="0" w:space="0" w:color="auto"/>
        <w:bottom w:val="none" w:sz="0" w:space="0" w:color="auto"/>
        <w:right w:val="none" w:sz="0" w:space="0" w:color="auto"/>
      </w:divBdr>
    </w:div>
    <w:div w:id="1514803657">
      <w:bodyDiv w:val="1"/>
      <w:marLeft w:val="0"/>
      <w:marRight w:val="0"/>
      <w:marTop w:val="0"/>
      <w:marBottom w:val="0"/>
      <w:divBdr>
        <w:top w:val="none" w:sz="0" w:space="0" w:color="auto"/>
        <w:left w:val="none" w:sz="0" w:space="0" w:color="auto"/>
        <w:bottom w:val="none" w:sz="0" w:space="0" w:color="auto"/>
        <w:right w:val="none" w:sz="0" w:space="0" w:color="auto"/>
      </w:divBdr>
    </w:div>
    <w:div w:id="1515222554">
      <w:bodyDiv w:val="1"/>
      <w:marLeft w:val="0"/>
      <w:marRight w:val="0"/>
      <w:marTop w:val="0"/>
      <w:marBottom w:val="0"/>
      <w:divBdr>
        <w:top w:val="none" w:sz="0" w:space="0" w:color="auto"/>
        <w:left w:val="none" w:sz="0" w:space="0" w:color="auto"/>
        <w:bottom w:val="none" w:sz="0" w:space="0" w:color="auto"/>
        <w:right w:val="none" w:sz="0" w:space="0" w:color="auto"/>
      </w:divBdr>
    </w:div>
    <w:div w:id="1515651629">
      <w:bodyDiv w:val="1"/>
      <w:marLeft w:val="0"/>
      <w:marRight w:val="0"/>
      <w:marTop w:val="0"/>
      <w:marBottom w:val="0"/>
      <w:divBdr>
        <w:top w:val="none" w:sz="0" w:space="0" w:color="auto"/>
        <w:left w:val="none" w:sz="0" w:space="0" w:color="auto"/>
        <w:bottom w:val="none" w:sz="0" w:space="0" w:color="auto"/>
        <w:right w:val="none" w:sz="0" w:space="0" w:color="auto"/>
      </w:divBdr>
    </w:div>
    <w:div w:id="1517885235">
      <w:bodyDiv w:val="1"/>
      <w:marLeft w:val="0"/>
      <w:marRight w:val="0"/>
      <w:marTop w:val="0"/>
      <w:marBottom w:val="0"/>
      <w:divBdr>
        <w:top w:val="none" w:sz="0" w:space="0" w:color="auto"/>
        <w:left w:val="none" w:sz="0" w:space="0" w:color="auto"/>
        <w:bottom w:val="none" w:sz="0" w:space="0" w:color="auto"/>
        <w:right w:val="none" w:sz="0" w:space="0" w:color="auto"/>
      </w:divBdr>
    </w:div>
    <w:div w:id="1519464160">
      <w:bodyDiv w:val="1"/>
      <w:marLeft w:val="0"/>
      <w:marRight w:val="0"/>
      <w:marTop w:val="0"/>
      <w:marBottom w:val="0"/>
      <w:divBdr>
        <w:top w:val="none" w:sz="0" w:space="0" w:color="auto"/>
        <w:left w:val="none" w:sz="0" w:space="0" w:color="auto"/>
        <w:bottom w:val="none" w:sz="0" w:space="0" w:color="auto"/>
        <w:right w:val="none" w:sz="0" w:space="0" w:color="auto"/>
      </w:divBdr>
    </w:div>
    <w:div w:id="1521432979">
      <w:bodyDiv w:val="1"/>
      <w:marLeft w:val="0"/>
      <w:marRight w:val="0"/>
      <w:marTop w:val="0"/>
      <w:marBottom w:val="0"/>
      <w:divBdr>
        <w:top w:val="none" w:sz="0" w:space="0" w:color="auto"/>
        <w:left w:val="none" w:sz="0" w:space="0" w:color="auto"/>
        <w:bottom w:val="none" w:sz="0" w:space="0" w:color="auto"/>
        <w:right w:val="none" w:sz="0" w:space="0" w:color="auto"/>
      </w:divBdr>
    </w:div>
    <w:div w:id="1521704042">
      <w:bodyDiv w:val="1"/>
      <w:marLeft w:val="0"/>
      <w:marRight w:val="0"/>
      <w:marTop w:val="0"/>
      <w:marBottom w:val="0"/>
      <w:divBdr>
        <w:top w:val="none" w:sz="0" w:space="0" w:color="auto"/>
        <w:left w:val="none" w:sz="0" w:space="0" w:color="auto"/>
        <w:bottom w:val="none" w:sz="0" w:space="0" w:color="auto"/>
        <w:right w:val="none" w:sz="0" w:space="0" w:color="auto"/>
      </w:divBdr>
    </w:div>
    <w:div w:id="1522427380">
      <w:bodyDiv w:val="1"/>
      <w:marLeft w:val="0"/>
      <w:marRight w:val="0"/>
      <w:marTop w:val="0"/>
      <w:marBottom w:val="0"/>
      <w:divBdr>
        <w:top w:val="none" w:sz="0" w:space="0" w:color="auto"/>
        <w:left w:val="none" w:sz="0" w:space="0" w:color="auto"/>
        <w:bottom w:val="none" w:sz="0" w:space="0" w:color="auto"/>
        <w:right w:val="none" w:sz="0" w:space="0" w:color="auto"/>
      </w:divBdr>
    </w:div>
    <w:div w:id="1523319856">
      <w:bodyDiv w:val="1"/>
      <w:marLeft w:val="0"/>
      <w:marRight w:val="0"/>
      <w:marTop w:val="0"/>
      <w:marBottom w:val="0"/>
      <w:divBdr>
        <w:top w:val="none" w:sz="0" w:space="0" w:color="auto"/>
        <w:left w:val="none" w:sz="0" w:space="0" w:color="auto"/>
        <w:bottom w:val="none" w:sz="0" w:space="0" w:color="auto"/>
        <w:right w:val="none" w:sz="0" w:space="0" w:color="auto"/>
      </w:divBdr>
    </w:div>
    <w:div w:id="1524174668">
      <w:bodyDiv w:val="1"/>
      <w:marLeft w:val="0"/>
      <w:marRight w:val="0"/>
      <w:marTop w:val="0"/>
      <w:marBottom w:val="0"/>
      <w:divBdr>
        <w:top w:val="none" w:sz="0" w:space="0" w:color="auto"/>
        <w:left w:val="none" w:sz="0" w:space="0" w:color="auto"/>
        <w:bottom w:val="none" w:sz="0" w:space="0" w:color="auto"/>
        <w:right w:val="none" w:sz="0" w:space="0" w:color="auto"/>
      </w:divBdr>
    </w:div>
    <w:div w:id="1524319660">
      <w:bodyDiv w:val="1"/>
      <w:marLeft w:val="0"/>
      <w:marRight w:val="0"/>
      <w:marTop w:val="0"/>
      <w:marBottom w:val="0"/>
      <w:divBdr>
        <w:top w:val="none" w:sz="0" w:space="0" w:color="auto"/>
        <w:left w:val="none" w:sz="0" w:space="0" w:color="auto"/>
        <w:bottom w:val="none" w:sz="0" w:space="0" w:color="auto"/>
        <w:right w:val="none" w:sz="0" w:space="0" w:color="auto"/>
      </w:divBdr>
    </w:div>
    <w:div w:id="1524436430">
      <w:bodyDiv w:val="1"/>
      <w:marLeft w:val="0"/>
      <w:marRight w:val="0"/>
      <w:marTop w:val="0"/>
      <w:marBottom w:val="0"/>
      <w:divBdr>
        <w:top w:val="none" w:sz="0" w:space="0" w:color="auto"/>
        <w:left w:val="none" w:sz="0" w:space="0" w:color="auto"/>
        <w:bottom w:val="none" w:sz="0" w:space="0" w:color="auto"/>
        <w:right w:val="none" w:sz="0" w:space="0" w:color="auto"/>
      </w:divBdr>
    </w:div>
    <w:div w:id="1524440168">
      <w:bodyDiv w:val="1"/>
      <w:marLeft w:val="0"/>
      <w:marRight w:val="0"/>
      <w:marTop w:val="0"/>
      <w:marBottom w:val="0"/>
      <w:divBdr>
        <w:top w:val="none" w:sz="0" w:space="0" w:color="auto"/>
        <w:left w:val="none" w:sz="0" w:space="0" w:color="auto"/>
        <w:bottom w:val="none" w:sz="0" w:space="0" w:color="auto"/>
        <w:right w:val="none" w:sz="0" w:space="0" w:color="auto"/>
      </w:divBdr>
    </w:div>
    <w:div w:id="1524587648">
      <w:bodyDiv w:val="1"/>
      <w:marLeft w:val="0"/>
      <w:marRight w:val="0"/>
      <w:marTop w:val="0"/>
      <w:marBottom w:val="0"/>
      <w:divBdr>
        <w:top w:val="none" w:sz="0" w:space="0" w:color="auto"/>
        <w:left w:val="none" w:sz="0" w:space="0" w:color="auto"/>
        <w:bottom w:val="none" w:sz="0" w:space="0" w:color="auto"/>
        <w:right w:val="none" w:sz="0" w:space="0" w:color="auto"/>
      </w:divBdr>
    </w:div>
    <w:div w:id="1525291849">
      <w:bodyDiv w:val="1"/>
      <w:marLeft w:val="0"/>
      <w:marRight w:val="0"/>
      <w:marTop w:val="0"/>
      <w:marBottom w:val="0"/>
      <w:divBdr>
        <w:top w:val="none" w:sz="0" w:space="0" w:color="auto"/>
        <w:left w:val="none" w:sz="0" w:space="0" w:color="auto"/>
        <w:bottom w:val="none" w:sz="0" w:space="0" w:color="auto"/>
        <w:right w:val="none" w:sz="0" w:space="0" w:color="auto"/>
      </w:divBdr>
    </w:div>
    <w:div w:id="1525359703">
      <w:bodyDiv w:val="1"/>
      <w:marLeft w:val="0"/>
      <w:marRight w:val="0"/>
      <w:marTop w:val="0"/>
      <w:marBottom w:val="0"/>
      <w:divBdr>
        <w:top w:val="none" w:sz="0" w:space="0" w:color="auto"/>
        <w:left w:val="none" w:sz="0" w:space="0" w:color="auto"/>
        <w:bottom w:val="none" w:sz="0" w:space="0" w:color="auto"/>
        <w:right w:val="none" w:sz="0" w:space="0" w:color="auto"/>
      </w:divBdr>
    </w:div>
    <w:div w:id="1525434295">
      <w:bodyDiv w:val="1"/>
      <w:marLeft w:val="0"/>
      <w:marRight w:val="0"/>
      <w:marTop w:val="0"/>
      <w:marBottom w:val="0"/>
      <w:divBdr>
        <w:top w:val="none" w:sz="0" w:space="0" w:color="auto"/>
        <w:left w:val="none" w:sz="0" w:space="0" w:color="auto"/>
        <w:bottom w:val="none" w:sz="0" w:space="0" w:color="auto"/>
        <w:right w:val="none" w:sz="0" w:space="0" w:color="auto"/>
      </w:divBdr>
    </w:div>
    <w:div w:id="1525484786">
      <w:bodyDiv w:val="1"/>
      <w:marLeft w:val="0"/>
      <w:marRight w:val="0"/>
      <w:marTop w:val="0"/>
      <w:marBottom w:val="0"/>
      <w:divBdr>
        <w:top w:val="none" w:sz="0" w:space="0" w:color="auto"/>
        <w:left w:val="none" w:sz="0" w:space="0" w:color="auto"/>
        <w:bottom w:val="none" w:sz="0" w:space="0" w:color="auto"/>
        <w:right w:val="none" w:sz="0" w:space="0" w:color="auto"/>
      </w:divBdr>
    </w:div>
    <w:div w:id="1525706147">
      <w:bodyDiv w:val="1"/>
      <w:marLeft w:val="0"/>
      <w:marRight w:val="0"/>
      <w:marTop w:val="0"/>
      <w:marBottom w:val="0"/>
      <w:divBdr>
        <w:top w:val="none" w:sz="0" w:space="0" w:color="auto"/>
        <w:left w:val="none" w:sz="0" w:space="0" w:color="auto"/>
        <w:bottom w:val="none" w:sz="0" w:space="0" w:color="auto"/>
        <w:right w:val="none" w:sz="0" w:space="0" w:color="auto"/>
      </w:divBdr>
    </w:div>
    <w:div w:id="1526216036">
      <w:bodyDiv w:val="1"/>
      <w:marLeft w:val="0"/>
      <w:marRight w:val="0"/>
      <w:marTop w:val="0"/>
      <w:marBottom w:val="0"/>
      <w:divBdr>
        <w:top w:val="none" w:sz="0" w:space="0" w:color="auto"/>
        <w:left w:val="none" w:sz="0" w:space="0" w:color="auto"/>
        <w:bottom w:val="none" w:sz="0" w:space="0" w:color="auto"/>
        <w:right w:val="none" w:sz="0" w:space="0" w:color="auto"/>
      </w:divBdr>
    </w:div>
    <w:div w:id="1529248263">
      <w:bodyDiv w:val="1"/>
      <w:marLeft w:val="0"/>
      <w:marRight w:val="0"/>
      <w:marTop w:val="0"/>
      <w:marBottom w:val="0"/>
      <w:divBdr>
        <w:top w:val="none" w:sz="0" w:space="0" w:color="auto"/>
        <w:left w:val="none" w:sz="0" w:space="0" w:color="auto"/>
        <w:bottom w:val="none" w:sz="0" w:space="0" w:color="auto"/>
        <w:right w:val="none" w:sz="0" w:space="0" w:color="auto"/>
      </w:divBdr>
    </w:div>
    <w:div w:id="1529640694">
      <w:bodyDiv w:val="1"/>
      <w:marLeft w:val="0"/>
      <w:marRight w:val="0"/>
      <w:marTop w:val="0"/>
      <w:marBottom w:val="0"/>
      <w:divBdr>
        <w:top w:val="none" w:sz="0" w:space="0" w:color="auto"/>
        <w:left w:val="none" w:sz="0" w:space="0" w:color="auto"/>
        <w:bottom w:val="none" w:sz="0" w:space="0" w:color="auto"/>
        <w:right w:val="none" w:sz="0" w:space="0" w:color="auto"/>
      </w:divBdr>
    </w:div>
    <w:div w:id="1530023031">
      <w:bodyDiv w:val="1"/>
      <w:marLeft w:val="0"/>
      <w:marRight w:val="0"/>
      <w:marTop w:val="0"/>
      <w:marBottom w:val="0"/>
      <w:divBdr>
        <w:top w:val="none" w:sz="0" w:space="0" w:color="auto"/>
        <w:left w:val="none" w:sz="0" w:space="0" w:color="auto"/>
        <w:bottom w:val="none" w:sz="0" w:space="0" w:color="auto"/>
        <w:right w:val="none" w:sz="0" w:space="0" w:color="auto"/>
      </w:divBdr>
    </w:div>
    <w:div w:id="1530413615">
      <w:bodyDiv w:val="1"/>
      <w:marLeft w:val="0"/>
      <w:marRight w:val="0"/>
      <w:marTop w:val="0"/>
      <w:marBottom w:val="0"/>
      <w:divBdr>
        <w:top w:val="none" w:sz="0" w:space="0" w:color="auto"/>
        <w:left w:val="none" w:sz="0" w:space="0" w:color="auto"/>
        <w:bottom w:val="none" w:sz="0" w:space="0" w:color="auto"/>
        <w:right w:val="none" w:sz="0" w:space="0" w:color="auto"/>
      </w:divBdr>
    </w:div>
    <w:div w:id="1531214920">
      <w:bodyDiv w:val="1"/>
      <w:marLeft w:val="0"/>
      <w:marRight w:val="0"/>
      <w:marTop w:val="0"/>
      <w:marBottom w:val="0"/>
      <w:divBdr>
        <w:top w:val="none" w:sz="0" w:space="0" w:color="auto"/>
        <w:left w:val="none" w:sz="0" w:space="0" w:color="auto"/>
        <w:bottom w:val="none" w:sz="0" w:space="0" w:color="auto"/>
        <w:right w:val="none" w:sz="0" w:space="0" w:color="auto"/>
      </w:divBdr>
    </w:div>
    <w:div w:id="1531261081">
      <w:bodyDiv w:val="1"/>
      <w:marLeft w:val="0"/>
      <w:marRight w:val="0"/>
      <w:marTop w:val="0"/>
      <w:marBottom w:val="0"/>
      <w:divBdr>
        <w:top w:val="none" w:sz="0" w:space="0" w:color="auto"/>
        <w:left w:val="none" w:sz="0" w:space="0" w:color="auto"/>
        <w:bottom w:val="none" w:sz="0" w:space="0" w:color="auto"/>
        <w:right w:val="none" w:sz="0" w:space="0" w:color="auto"/>
      </w:divBdr>
    </w:div>
    <w:div w:id="1532457290">
      <w:bodyDiv w:val="1"/>
      <w:marLeft w:val="0"/>
      <w:marRight w:val="0"/>
      <w:marTop w:val="0"/>
      <w:marBottom w:val="0"/>
      <w:divBdr>
        <w:top w:val="none" w:sz="0" w:space="0" w:color="auto"/>
        <w:left w:val="none" w:sz="0" w:space="0" w:color="auto"/>
        <w:bottom w:val="none" w:sz="0" w:space="0" w:color="auto"/>
        <w:right w:val="none" w:sz="0" w:space="0" w:color="auto"/>
      </w:divBdr>
    </w:div>
    <w:div w:id="1532918109">
      <w:bodyDiv w:val="1"/>
      <w:marLeft w:val="0"/>
      <w:marRight w:val="0"/>
      <w:marTop w:val="0"/>
      <w:marBottom w:val="0"/>
      <w:divBdr>
        <w:top w:val="none" w:sz="0" w:space="0" w:color="auto"/>
        <w:left w:val="none" w:sz="0" w:space="0" w:color="auto"/>
        <w:bottom w:val="none" w:sz="0" w:space="0" w:color="auto"/>
        <w:right w:val="none" w:sz="0" w:space="0" w:color="auto"/>
      </w:divBdr>
    </w:div>
    <w:div w:id="1534269509">
      <w:bodyDiv w:val="1"/>
      <w:marLeft w:val="0"/>
      <w:marRight w:val="0"/>
      <w:marTop w:val="0"/>
      <w:marBottom w:val="0"/>
      <w:divBdr>
        <w:top w:val="none" w:sz="0" w:space="0" w:color="auto"/>
        <w:left w:val="none" w:sz="0" w:space="0" w:color="auto"/>
        <w:bottom w:val="none" w:sz="0" w:space="0" w:color="auto"/>
        <w:right w:val="none" w:sz="0" w:space="0" w:color="auto"/>
      </w:divBdr>
    </w:div>
    <w:div w:id="1535193862">
      <w:bodyDiv w:val="1"/>
      <w:marLeft w:val="0"/>
      <w:marRight w:val="0"/>
      <w:marTop w:val="0"/>
      <w:marBottom w:val="0"/>
      <w:divBdr>
        <w:top w:val="none" w:sz="0" w:space="0" w:color="auto"/>
        <w:left w:val="none" w:sz="0" w:space="0" w:color="auto"/>
        <w:bottom w:val="none" w:sz="0" w:space="0" w:color="auto"/>
        <w:right w:val="none" w:sz="0" w:space="0" w:color="auto"/>
      </w:divBdr>
    </w:div>
    <w:div w:id="1535460124">
      <w:bodyDiv w:val="1"/>
      <w:marLeft w:val="0"/>
      <w:marRight w:val="0"/>
      <w:marTop w:val="0"/>
      <w:marBottom w:val="0"/>
      <w:divBdr>
        <w:top w:val="none" w:sz="0" w:space="0" w:color="auto"/>
        <w:left w:val="none" w:sz="0" w:space="0" w:color="auto"/>
        <w:bottom w:val="none" w:sz="0" w:space="0" w:color="auto"/>
        <w:right w:val="none" w:sz="0" w:space="0" w:color="auto"/>
      </w:divBdr>
    </w:div>
    <w:div w:id="1535533813">
      <w:bodyDiv w:val="1"/>
      <w:marLeft w:val="0"/>
      <w:marRight w:val="0"/>
      <w:marTop w:val="0"/>
      <w:marBottom w:val="0"/>
      <w:divBdr>
        <w:top w:val="none" w:sz="0" w:space="0" w:color="auto"/>
        <w:left w:val="none" w:sz="0" w:space="0" w:color="auto"/>
        <w:bottom w:val="none" w:sz="0" w:space="0" w:color="auto"/>
        <w:right w:val="none" w:sz="0" w:space="0" w:color="auto"/>
      </w:divBdr>
    </w:div>
    <w:div w:id="1536314206">
      <w:bodyDiv w:val="1"/>
      <w:marLeft w:val="0"/>
      <w:marRight w:val="0"/>
      <w:marTop w:val="0"/>
      <w:marBottom w:val="0"/>
      <w:divBdr>
        <w:top w:val="none" w:sz="0" w:space="0" w:color="auto"/>
        <w:left w:val="none" w:sz="0" w:space="0" w:color="auto"/>
        <w:bottom w:val="none" w:sz="0" w:space="0" w:color="auto"/>
        <w:right w:val="none" w:sz="0" w:space="0" w:color="auto"/>
      </w:divBdr>
    </w:div>
    <w:div w:id="1536432482">
      <w:bodyDiv w:val="1"/>
      <w:marLeft w:val="0"/>
      <w:marRight w:val="0"/>
      <w:marTop w:val="0"/>
      <w:marBottom w:val="0"/>
      <w:divBdr>
        <w:top w:val="none" w:sz="0" w:space="0" w:color="auto"/>
        <w:left w:val="none" w:sz="0" w:space="0" w:color="auto"/>
        <w:bottom w:val="none" w:sz="0" w:space="0" w:color="auto"/>
        <w:right w:val="none" w:sz="0" w:space="0" w:color="auto"/>
      </w:divBdr>
    </w:div>
    <w:div w:id="1536890756">
      <w:bodyDiv w:val="1"/>
      <w:marLeft w:val="0"/>
      <w:marRight w:val="0"/>
      <w:marTop w:val="0"/>
      <w:marBottom w:val="0"/>
      <w:divBdr>
        <w:top w:val="none" w:sz="0" w:space="0" w:color="auto"/>
        <w:left w:val="none" w:sz="0" w:space="0" w:color="auto"/>
        <w:bottom w:val="none" w:sz="0" w:space="0" w:color="auto"/>
        <w:right w:val="none" w:sz="0" w:space="0" w:color="auto"/>
      </w:divBdr>
    </w:div>
    <w:div w:id="1540118828">
      <w:bodyDiv w:val="1"/>
      <w:marLeft w:val="0"/>
      <w:marRight w:val="0"/>
      <w:marTop w:val="0"/>
      <w:marBottom w:val="0"/>
      <w:divBdr>
        <w:top w:val="none" w:sz="0" w:space="0" w:color="auto"/>
        <w:left w:val="none" w:sz="0" w:space="0" w:color="auto"/>
        <w:bottom w:val="none" w:sz="0" w:space="0" w:color="auto"/>
        <w:right w:val="none" w:sz="0" w:space="0" w:color="auto"/>
      </w:divBdr>
    </w:div>
    <w:div w:id="1540825714">
      <w:bodyDiv w:val="1"/>
      <w:marLeft w:val="0"/>
      <w:marRight w:val="0"/>
      <w:marTop w:val="0"/>
      <w:marBottom w:val="0"/>
      <w:divBdr>
        <w:top w:val="none" w:sz="0" w:space="0" w:color="auto"/>
        <w:left w:val="none" w:sz="0" w:space="0" w:color="auto"/>
        <w:bottom w:val="none" w:sz="0" w:space="0" w:color="auto"/>
        <w:right w:val="none" w:sz="0" w:space="0" w:color="auto"/>
      </w:divBdr>
    </w:div>
    <w:div w:id="1540900508">
      <w:bodyDiv w:val="1"/>
      <w:marLeft w:val="0"/>
      <w:marRight w:val="0"/>
      <w:marTop w:val="0"/>
      <w:marBottom w:val="0"/>
      <w:divBdr>
        <w:top w:val="none" w:sz="0" w:space="0" w:color="auto"/>
        <w:left w:val="none" w:sz="0" w:space="0" w:color="auto"/>
        <w:bottom w:val="none" w:sz="0" w:space="0" w:color="auto"/>
        <w:right w:val="none" w:sz="0" w:space="0" w:color="auto"/>
      </w:divBdr>
    </w:div>
    <w:div w:id="1541018954">
      <w:bodyDiv w:val="1"/>
      <w:marLeft w:val="0"/>
      <w:marRight w:val="0"/>
      <w:marTop w:val="0"/>
      <w:marBottom w:val="0"/>
      <w:divBdr>
        <w:top w:val="none" w:sz="0" w:space="0" w:color="auto"/>
        <w:left w:val="none" w:sz="0" w:space="0" w:color="auto"/>
        <w:bottom w:val="none" w:sz="0" w:space="0" w:color="auto"/>
        <w:right w:val="none" w:sz="0" w:space="0" w:color="auto"/>
      </w:divBdr>
    </w:div>
    <w:div w:id="1541212646">
      <w:bodyDiv w:val="1"/>
      <w:marLeft w:val="0"/>
      <w:marRight w:val="0"/>
      <w:marTop w:val="0"/>
      <w:marBottom w:val="0"/>
      <w:divBdr>
        <w:top w:val="none" w:sz="0" w:space="0" w:color="auto"/>
        <w:left w:val="none" w:sz="0" w:space="0" w:color="auto"/>
        <w:bottom w:val="none" w:sz="0" w:space="0" w:color="auto"/>
        <w:right w:val="none" w:sz="0" w:space="0" w:color="auto"/>
      </w:divBdr>
    </w:div>
    <w:div w:id="1541699738">
      <w:bodyDiv w:val="1"/>
      <w:marLeft w:val="0"/>
      <w:marRight w:val="0"/>
      <w:marTop w:val="0"/>
      <w:marBottom w:val="0"/>
      <w:divBdr>
        <w:top w:val="none" w:sz="0" w:space="0" w:color="auto"/>
        <w:left w:val="none" w:sz="0" w:space="0" w:color="auto"/>
        <w:bottom w:val="none" w:sz="0" w:space="0" w:color="auto"/>
        <w:right w:val="none" w:sz="0" w:space="0" w:color="auto"/>
      </w:divBdr>
    </w:div>
    <w:div w:id="1541942149">
      <w:bodyDiv w:val="1"/>
      <w:marLeft w:val="0"/>
      <w:marRight w:val="0"/>
      <w:marTop w:val="0"/>
      <w:marBottom w:val="0"/>
      <w:divBdr>
        <w:top w:val="none" w:sz="0" w:space="0" w:color="auto"/>
        <w:left w:val="none" w:sz="0" w:space="0" w:color="auto"/>
        <w:bottom w:val="none" w:sz="0" w:space="0" w:color="auto"/>
        <w:right w:val="none" w:sz="0" w:space="0" w:color="auto"/>
      </w:divBdr>
    </w:div>
    <w:div w:id="1542206243">
      <w:bodyDiv w:val="1"/>
      <w:marLeft w:val="0"/>
      <w:marRight w:val="0"/>
      <w:marTop w:val="0"/>
      <w:marBottom w:val="0"/>
      <w:divBdr>
        <w:top w:val="none" w:sz="0" w:space="0" w:color="auto"/>
        <w:left w:val="none" w:sz="0" w:space="0" w:color="auto"/>
        <w:bottom w:val="none" w:sz="0" w:space="0" w:color="auto"/>
        <w:right w:val="none" w:sz="0" w:space="0" w:color="auto"/>
      </w:divBdr>
    </w:div>
    <w:div w:id="1543253305">
      <w:bodyDiv w:val="1"/>
      <w:marLeft w:val="0"/>
      <w:marRight w:val="0"/>
      <w:marTop w:val="0"/>
      <w:marBottom w:val="0"/>
      <w:divBdr>
        <w:top w:val="none" w:sz="0" w:space="0" w:color="auto"/>
        <w:left w:val="none" w:sz="0" w:space="0" w:color="auto"/>
        <w:bottom w:val="none" w:sz="0" w:space="0" w:color="auto"/>
        <w:right w:val="none" w:sz="0" w:space="0" w:color="auto"/>
      </w:divBdr>
    </w:div>
    <w:div w:id="1543440858">
      <w:bodyDiv w:val="1"/>
      <w:marLeft w:val="0"/>
      <w:marRight w:val="0"/>
      <w:marTop w:val="0"/>
      <w:marBottom w:val="0"/>
      <w:divBdr>
        <w:top w:val="none" w:sz="0" w:space="0" w:color="auto"/>
        <w:left w:val="none" w:sz="0" w:space="0" w:color="auto"/>
        <w:bottom w:val="none" w:sz="0" w:space="0" w:color="auto"/>
        <w:right w:val="none" w:sz="0" w:space="0" w:color="auto"/>
      </w:divBdr>
    </w:div>
    <w:div w:id="1543901927">
      <w:bodyDiv w:val="1"/>
      <w:marLeft w:val="0"/>
      <w:marRight w:val="0"/>
      <w:marTop w:val="0"/>
      <w:marBottom w:val="0"/>
      <w:divBdr>
        <w:top w:val="none" w:sz="0" w:space="0" w:color="auto"/>
        <w:left w:val="none" w:sz="0" w:space="0" w:color="auto"/>
        <w:bottom w:val="none" w:sz="0" w:space="0" w:color="auto"/>
        <w:right w:val="none" w:sz="0" w:space="0" w:color="auto"/>
      </w:divBdr>
    </w:div>
    <w:div w:id="1545487480">
      <w:bodyDiv w:val="1"/>
      <w:marLeft w:val="0"/>
      <w:marRight w:val="0"/>
      <w:marTop w:val="0"/>
      <w:marBottom w:val="0"/>
      <w:divBdr>
        <w:top w:val="none" w:sz="0" w:space="0" w:color="auto"/>
        <w:left w:val="none" w:sz="0" w:space="0" w:color="auto"/>
        <w:bottom w:val="none" w:sz="0" w:space="0" w:color="auto"/>
        <w:right w:val="none" w:sz="0" w:space="0" w:color="auto"/>
      </w:divBdr>
    </w:div>
    <w:div w:id="1545824916">
      <w:bodyDiv w:val="1"/>
      <w:marLeft w:val="0"/>
      <w:marRight w:val="0"/>
      <w:marTop w:val="0"/>
      <w:marBottom w:val="0"/>
      <w:divBdr>
        <w:top w:val="none" w:sz="0" w:space="0" w:color="auto"/>
        <w:left w:val="none" w:sz="0" w:space="0" w:color="auto"/>
        <w:bottom w:val="none" w:sz="0" w:space="0" w:color="auto"/>
        <w:right w:val="none" w:sz="0" w:space="0" w:color="auto"/>
      </w:divBdr>
    </w:div>
    <w:div w:id="1545946237">
      <w:bodyDiv w:val="1"/>
      <w:marLeft w:val="0"/>
      <w:marRight w:val="0"/>
      <w:marTop w:val="0"/>
      <w:marBottom w:val="0"/>
      <w:divBdr>
        <w:top w:val="none" w:sz="0" w:space="0" w:color="auto"/>
        <w:left w:val="none" w:sz="0" w:space="0" w:color="auto"/>
        <w:bottom w:val="none" w:sz="0" w:space="0" w:color="auto"/>
        <w:right w:val="none" w:sz="0" w:space="0" w:color="auto"/>
      </w:divBdr>
    </w:div>
    <w:div w:id="1546872375">
      <w:bodyDiv w:val="1"/>
      <w:marLeft w:val="0"/>
      <w:marRight w:val="0"/>
      <w:marTop w:val="0"/>
      <w:marBottom w:val="0"/>
      <w:divBdr>
        <w:top w:val="none" w:sz="0" w:space="0" w:color="auto"/>
        <w:left w:val="none" w:sz="0" w:space="0" w:color="auto"/>
        <w:bottom w:val="none" w:sz="0" w:space="0" w:color="auto"/>
        <w:right w:val="none" w:sz="0" w:space="0" w:color="auto"/>
      </w:divBdr>
    </w:div>
    <w:div w:id="1547255875">
      <w:bodyDiv w:val="1"/>
      <w:marLeft w:val="0"/>
      <w:marRight w:val="0"/>
      <w:marTop w:val="0"/>
      <w:marBottom w:val="0"/>
      <w:divBdr>
        <w:top w:val="none" w:sz="0" w:space="0" w:color="auto"/>
        <w:left w:val="none" w:sz="0" w:space="0" w:color="auto"/>
        <w:bottom w:val="none" w:sz="0" w:space="0" w:color="auto"/>
        <w:right w:val="none" w:sz="0" w:space="0" w:color="auto"/>
      </w:divBdr>
    </w:div>
    <w:div w:id="1547376319">
      <w:bodyDiv w:val="1"/>
      <w:marLeft w:val="0"/>
      <w:marRight w:val="0"/>
      <w:marTop w:val="0"/>
      <w:marBottom w:val="0"/>
      <w:divBdr>
        <w:top w:val="none" w:sz="0" w:space="0" w:color="auto"/>
        <w:left w:val="none" w:sz="0" w:space="0" w:color="auto"/>
        <w:bottom w:val="none" w:sz="0" w:space="0" w:color="auto"/>
        <w:right w:val="none" w:sz="0" w:space="0" w:color="auto"/>
      </w:divBdr>
    </w:div>
    <w:div w:id="1549030451">
      <w:bodyDiv w:val="1"/>
      <w:marLeft w:val="0"/>
      <w:marRight w:val="0"/>
      <w:marTop w:val="0"/>
      <w:marBottom w:val="0"/>
      <w:divBdr>
        <w:top w:val="none" w:sz="0" w:space="0" w:color="auto"/>
        <w:left w:val="none" w:sz="0" w:space="0" w:color="auto"/>
        <w:bottom w:val="none" w:sz="0" w:space="0" w:color="auto"/>
        <w:right w:val="none" w:sz="0" w:space="0" w:color="auto"/>
      </w:divBdr>
    </w:div>
    <w:div w:id="1550529374">
      <w:bodyDiv w:val="1"/>
      <w:marLeft w:val="0"/>
      <w:marRight w:val="0"/>
      <w:marTop w:val="0"/>
      <w:marBottom w:val="0"/>
      <w:divBdr>
        <w:top w:val="none" w:sz="0" w:space="0" w:color="auto"/>
        <w:left w:val="none" w:sz="0" w:space="0" w:color="auto"/>
        <w:bottom w:val="none" w:sz="0" w:space="0" w:color="auto"/>
        <w:right w:val="none" w:sz="0" w:space="0" w:color="auto"/>
      </w:divBdr>
    </w:div>
    <w:div w:id="1551115324">
      <w:bodyDiv w:val="1"/>
      <w:marLeft w:val="0"/>
      <w:marRight w:val="0"/>
      <w:marTop w:val="0"/>
      <w:marBottom w:val="0"/>
      <w:divBdr>
        <w:top w:val="none" w:sz="0" w:space="0" w:color="auto"/>
        <w:left w:val="none" w:sz="0" w:space="0" w:color="auto"/>
        <w:bottom w:val="none" w:sz="0" w:space="0" w:color="auto"/>
        <w:right w:val="none" w:sz="0" w:space="0" w:color="auto"/>
      </w:divBdr>
    </w:div>
    <w:div w:id="1551377126">
      <w:bodyDiv w:val="1"/>
      <w:marLeft w:val="0"/>
      <w:marRight w:val="0"/>
      <w:marTop w:val="0"/>
      <w:marBottom w:val="0"/>
      <w:divBdr>
        <w:top w:val="none" w:sz="0" w:space="0" w:color="auto"/>
        <w:left w:val="none" w:sz="0" w:space="0" w:color="auto"/>
        <w:bottom w:val="none" w:sz="0" w:space="0" w:color="auto"/>
        <w:right w:val="none" w:sz="0" w:space="0" w:color="auto"/>
      </w:divBdr>
    </w:div>
    <w:div w:id="1552498997">
      <w:bodyDiv w:val="1"/>
      <w:marLeft w:val="0"/>
      <w:marRight w:val="0"/>
      <w:marTop w:val="0"/>
      <w:marBottom w:val="0"/>
      <w:divBdr>
        <w:top w:val="none" w:sz="0" w:space="0" w:color="auto"/>
        <w:left w:val="none" w:sz="0" w:space="0" w:color="auto"/>
        <w:bottom w:val="none" w:sz="0" w:space="0" w:color="auto"/>
        <w:right w:val="none" w:sz="0" w:space="0" w:color="auto"/>
      </w:divBdr>
    </w:div>
    <w:div w:id="1552500959">
      <w:bodyDiv w:val="1"/>
      <w:marLeft w:val="0"/>
      <w:marRight w:val="0"/>
      <w:marTop w:val="0"/>
      <w:marBottom w:val="0"/>
      <w:divBdr>
        <w:top w:val="none" w:sz="0" w:space="0" w:color="auto"/>
        <w:left w:val="none" w:sz="0" w:space="0" w:color="auto"/>
        <w:bottom w:val="none" w:sz="0" w:space="0" w:color="auto"/>
        <w:right w:val="none" w:sz="0" w:space="0" w:color="auto"/>
      </w:divBdr>
    </w:div>
    <w:div w:id="1552959881">
      <w:bodyDiv w:val="1"/>
      <w:marLeft w:val="0"/>
      <w:marRight w:val="0"/>
      <w:marTop w:val="0"/>
      <w:marBottom w:val="0"/>
      <w:divBdr>
        <w:top w:val="none" w:sz="0" w:space="0" w:color="auto"/>
        <w:left w:val="none" w:sz="0" w:space="0" w:color="auto"/>
        <w:bottom w:val="none" w:sz="0" w:space="0" w:color="auto"/>
        <w:right w:val="none" w:sz="0" w:space="0" w:color="auto"/>
      </w:divBdr>
    </w:div>
    <w:div w:id="1553728541">
      <w:bodyDiv w:val="1"/>
      <w:marLeft w:val="0"/>
      <w:marRight w:val="0"/>
      <w:marTop w:val="0"/>
      <w:marBottom w:val="0"/>
      <w:divBdr>
        <w:top w:val="none" w:sz="0" w:space="0" w:color="auto"/>
        <w:left w:val="none" w:sz="0" w:space="0" w:color="auto"/>
        <w:bottom w:val="none" w:sz="0" w:space="0" w:color="auto"/>
        <w:right w:val="none" w:sz="0" w:space="0" w:color="auto"/>
      </w:divBdr>
    </w:div>
    <w:div w:id="1554734096">
      <w:bodyDiv w:val="1"/>
      <w:marLeft w:val="0"/>
      <w:marRight w:val="0"/>
      <w:marTop w:val="0"/>
      <w:marBottom w:val="0"/>
      <w:divBdr>
        <w:top w:val="none" w:sz="0" w:space="0" w:color="auto"/>
        <w:left w:val="none" w:sz="0" w:space="0" w:color="auto"/>
        <w:bottom w:val="none" w:sz="0" w:space="0" w:color="auto"/>
        <w:right w:val="none" w:sz="0" w:space="0" w:color="auto"/>
      </w:divBdr>
    </w:div>
    <w:div w:id="1555504574">
      <w:bodyDiv w:val="1"/>
      <w:marLeft w:val="0"/>
      <w:marRight w:val="0"/>
      <w:marTop w:val="0"/>
      <w:marBottom w:val="0"/>
      <w:divBdr>
        <w:top w:val="none" w:sz="0" w:space="0" w:color="auto"/>
        <w:left w:val="none" w:sz="0" w:space="0" w:color="auto"/>
        <w:bottom w:val="none" w:sz="0" w:space="0" w:color="auto"/>
        <w:right w:val="none" w:sz="0" w:space="0" w:color="auto"/>
      </w:divBdr>
    </w:div>
    <w:div w:id="1555655849">
      <w:bodyDiv w:val="1"/>
      <w:marLeft w:val="0"/>
      <w:marRight w:val="0"/>
      <w:marTop w:val="0"/>
      <w:marBottom w:val="0"/>
      <w:divBdr>
        <w:top w:val="none" w:sz="0" w:space="0" w:color="auto"/>
        <w:left w:val="none" w:sz="0" w:space="0" w:color="auto"/>
        <w:bottom w:val="none" w:sz="0" w:space="0" w:color="auto"/>
        <w:right w:val="none" w:sz="0" w:space="0" w:color="auto"/>
      </w:divBdr>
    </w:div>
    <w:div w:id="1556308322">
      <w:bodyDiv w:val="1"/>
      <w:marLeft w:val="0"/>
      <w:marRight w:val="0"/>
      <w:marTop w:val="0"/>
      <w:marBottom w:val="0"/>
      <w:divBdr>
        <w:top w:val="none" w:sz="0" w:space="0" w:color="auto"/>
        <w:left w:val="none" w:sz="0" w:space="0" w:color="auto"/>
        <w:bottom w:val="none" w:sz="0" w:space="0" w:color="auto"/>
        <w:right w:val="none" w:sz="0" w:space="0" w:color="auto"/>
      </w:divBdr>
    </w:div>
    <w:div w:id="1557203549">
      <w:bodyDiv w:val="1"/>
      <w:marLeft w:val="0"/>
      <w:marRight w:val="0"/>
      <w:marTop w:val="0"/>
      <w:marBottom w:val="0"/>
      <w:divBdr>
        <w:top w:val="none" w:sz="0" w:space="0" w:color="auto"/>
        <w:left w:val="none" w:sz="0" w:space="0" w:color="auto"/>
        <w:bottom w:val="none" w:sz="0" w:space="0" w:color="auto"/>
        <w:right w:val="none" w:sz="0" w:space="0" w:color="auto"/>
      </w:divBdr>
    </w:div>
    <w:div w:id="1557551836">
      <w:bodyDiv w:val="1"/>
      <w:marLeft w:val="0"/>
      <w:marRight w:val="0"/>
      <w:marTop w:val="0"/>
      <w:marBottom w:val="0"/>
      <w:divBdr>
        <w:top w:val="none" w:sz="0" w:space="0" w:color="auto"/>
        <w:left w:val="none" w:sz="0" w:space="0" w:color="auto"/>
        <w:bottom w:val="none" w:sz="0" w:space="0" w:color="auto"/>
        <w:right w:val="none" w:sz="0" w:space="0" w:color="auto"/>
      </w:divBdr>
    </w:div>
    <w:div w:id="1558010776">
      <w:bodyDiv w:val="1"/>
      <w:marLeft w:val="0"/>
      <w:marRight w:val="0"/>
      <w:marTop w:val="0"/>
      <w:marBottom w:val="0"/>
      <w:divBdr>
        <w:top w:val="none" w:sz="0" w:space="0" w:color="auto"/>
        <w:left w:val="none" w:sz="0" w:space="0" w:color="auto"/>
        <w:bottom w:val="none" w:sz="0" w:space="0" w:color="auto"/>
        <w:right w:val="none" w:sz="0" w:space="0" w:color="auto"/>
      </w:divBdr>
    </w:div>
    <w:div w:id="1558204980">
      <w:bodyDiv w:val="1"/>
      <w:marLeft w:val="0"/>
      <w:marRight w:val="0"/>
      <w:marTop w:val="0"/>
      <w:marBottom w:val="0"/>
      <w:divBdr>
        <w:top w:val="none" w:sz="0" w:space="0" w:color="auto"/>
        <w:left w:val="none" w:sz="0" w:space="0" w:color="auto"/>
        <w:bottom w:val="none" w:sz="0" w:space="0" w:color="auto"/>
        <w:right w:val="none" w:sz="0" w:space="0" w:color="auto"/>
      </w:divBdr>
    </w:div>
    <w:div w:id="1558587792">
      <w:bodyDiv w:val="1"/>
      <w:marLeft w:val="0"/>
      <w:marRight w:val="0"/>
      <w:marTop w:val="0"/>
      <w:marBottom w:val="0"/>
      <w:divBdr>
        <w:top w:val="none" w:sz="0" w:space="0" w:color="auto"/>
        <w:left w:val="none" w:sz="0" w:space="0" w:color="auto"/>
        <w:bottom w:val="none" w:sz="0" w:space="0" w:color="auto"/>
        <w:right w:val="none" w:sz="0" w:space="0" w:color="auto"/>
      </w:divBdr>
    </w:div>
    <w:div w:id="1559708195">
      <w:bodyDiv w:val="1"/>
      <w:marLeft w:val="0"/>
      <w:marRight w:val="0"/>
      <w:marTop w:val="0"/>
      <w:marBottom w:val="0"/>
      <w:divBdr>
        <w:top w:val="none" w:sz="0" w:space="0" w:color="auto"/>
        <w:left w:val="none" w:sz="0" w:space="0" w:color="auto"/>
        <w:bottom w:val="none" w:sz="0" w:space="0" w:color="auto"/>
        <w:right w:val="none" w:sz="0" w:space="0" w:color="auto"/>
      </w:divBdr>
    </w:div>
    <w:div w:id="1561820612">
      <w:bodyDiv w:val="1"/>
      <w:marLeft w:val="0"/>
      <w:marRight w:val="0"/>
      <w:marTop w:val="0"/>
      <w:marBottom w:val="0"/>
      <w:divBdr>
        <w:top w:val="none" w:sz="0" w:space="0" w:color="auto"/>
        <w:left w:val="none" w:sz="0" w:space="0" w:color="auto"/>
        <w:bottom w:val="none" w:sz="0" w:space="0" w:color="auto"/>
        <w:right w:val="none" w:sz="0" w:space="0" w:color="auto"/>
      </w:divBdr>
    </w:div>
    <w:div w:id="1562596033">
      <w:bodyDiv w:val="1"/>
      <w:marLeft w:val="0"/>
      <w:marRight w:val="0"/>
      <w:marTop w:val="0"/>
      <w:marBottom w:val="0"/>
      <w:divBdr>
        <w:top w:val="none" w:sz="0" w:space="0" w:color="auto"/>
        <w:left w:val="none" w:sz="0" w:space="0" w:color="auto"/>
        <w:bottom w:val="none" w:sz="0" w:space="0" w:color="auto"/>
        <w:right w:val="none" w:sz="0" w:space="0" w:color="auto"/>
      </w:divBdr>
    </w:div>
    <w:div w:id="1563951423">
      <w:bodyDiv w:val="1"/>
      <w:marLeft w:val="0"/>
      <w:marRight w:val="0"/>
      <w:marTop w:val="0"/>
      <w:marBottom w:val="0"/>
      <w:divBdr>
        <w:top w:val="none" w:sz="0" w:space="0" w:color="auto"/>
        <w:left w:val="none" w:sz="0" w:space="0" w:color="auto"/>
        <w:bottom w:val="none" w:sz="0" w:space="0" w:color="auto"/>
        <w:right w:val="none" w:sz="0" w:space="0" w:color="auto"/>
      </w:divBdr>
    </w:div>
    <w:div w:id="1565994315">
      <w:bodyDiv w:val="1"/>
      <w:marLeft w:val="0"/>
      <w:marRight w:val="0"/>
      <w:marTop w:val="0"/>
      <w:marBottom w:val="0"/>
      <w:divBdr>
        <w:top w:val="none" w:sz="0" w:space="0" w:color="auto"/>
        <w:left w:val="none" w:sz="0" w:space="0" w:color="auto"/>
        <w:bottom w:val="none" w:sz="0" w:space="0" w:color="auto"/>
        <w:right w:val="none" w:sz="0" w:space="0" w:color="auto"/>
      </w:divBdr>
    </w:div>
    <w:div w:id="1566456597">
      <w:bodyDiv w:val="1"/>
      <w:marLeft w:val="0"/>
      <w:marRight w:val="0"/>
      <w:marTop w:val="0"/>
      <w:marBottom w:val="0"/>
      <w:divBdr>
        <w:top w:val="none" w:sz="0" w:space="0" w:color="auto"/>
        <w:left w:val="none" w:sz="0" w:space="0" w:color="auto"/>
        <w:bottom w:val="none" w:sz="0" w:space="0" w:color="auto"/>
        <w:right w:val="none" w:sz="0" w:space="0" w:color="auto"/>
      </w:divBdr>
    </w:div>
    <w:div w:id="1566531862">
      <w:bodyDiv w:val="1"/>
      <w:marLeft w:val="0"/>
      <w:marRight w:val="0"/>
      <w:marTop w:val="0"/>
      <w:marBottom w:val="0"/>
      <w:divBdr>
        <w:top w:val="none" w:sz="0" w:space="0" w:color="auto"/>
        <w:left w:val="none" w:sz="0" w:space="0" w:color="auto"/>
        <w:bottom w:val="none" w:sz="0" w:space="0" w:color="auto"/>
        <w:right w:val="none" w:sz="0" w:space="0" w:color="auto"/>
      </w:divBdr>
    </w:div>
    <w:div w:id="1566641463">
      <w:bodyDiv w:val="1"/>
      <w:marLeft w:val="0"/>
      <w:marRight w:val="0"/>
      <w:marTop w:val="0"/>
      <w:marBottom w:val="0"/>
      <w:divBdr>
        <w:top w:val="none" w:sz="0" w:space="0" w:color="auto"/>
        <w:left w:val="none" w:sz="0" w:space="0" w:color="auto"/>
        <w:bottom w:val="none" w:sz="0" w:space="0" w:color="auto"/>
        <w:right w:val="none" w:sz="0" w:space="0" w:color="auto"/>
      </w:divBdr>
    </w:div>
    <w:div w:id="1567645053">
      <w:bodyDiv w:val="1"/>
      <w:marLeft w:val="0"/>
      <w:marRight w:val="0"/>
      <w:marTop w:val="0"/>
      <w:marBottom w:val="0"/>
      <w:divBdr>
        <w:top w:val="none" w:sz="0" w:space="0" w:color="auto"/>
        <w:left w:val="none" w:sz="0" w:space="0" w:color="auto"/>
        <w:bottom w:val="none" w:sz="0" w:space="0" w:color="auto"/>
        <w:right w:val="none" w:sz="0" w:space="0" w:color="auto"/>
      </w:divBdr>
    </w:div>
    <w:div w:id="1568035452">
      <w:bodyDiv w:val="1"/>
      <w:marLeft w:val="0"/>
      <w:marRight w:val="0"/>
      <w:marTop w:val="0"/>
      <w:marBottom w:val="0"/>
      <w:divBdr>
        <w:top w:val="none" w:sz="0" w:space="0" w:color="auto"/>
        <w:left w:val="none" w:sz="0" w:space="0" w:color="auto"/>
        <w:bottom w:val="none" w:sz="0" w:space="0" w:color="auto"/>
        <w:right w:val="none" w:sz="0" w:space="0" w:color="auto"/>
      </w:divBdr>
    </w:div>
    <w:div w:id="1569726442">
      <w:bodyDiv w:val="1"/>
      <w:marLeft w:val="0"/>
      <w:marRight w:val="0"/>
      <w:marTop w:val="0"/>
      <w:marBottom w:val="0"/>
      <w:divBdr>
        <w:top w:val="none" w:sz="0" w:space="0" w:color="auto"/>
        <w:left w:val="none" w:sz="0" w:space="0" w:color="auto"/>
        <w:bottom w:val="none" w:sz="0" w:space="0" w:color="auto"/>
        <w:right w:val="none" w:sz="0" w:space="0" w:color="auto"/>
      </w:divBdr>
    </w:div>
    <w:div w:id="1570266956">
      <w:bodyDiv w:val="1"/>
      <w:marLeft w:val="0"/>
      <w:marRight w:val="0"/>
      <w:marTop w:val="0"/>
      <w:marBottom w:val="0"/>
      <w:divBdr>
        <w:top w:val="none" w:sz="0" w:space="0" w:color="auto"/>
        <w:left w:val="none" w:sz="0" w:space="0" w:color="auto"/>
        <w:bottom w:val="none" w:sz="0" w:space="0" w:color="auto"/>
        <w:right w:val="none" w:sz="0" w:space="0" w:color="auto"/>
      </w:divBdr>
    </w:div>
    <w:div w:id="1570724990">
      <w:bodyDiv w:val="1"/>
      <w:marLeft w:val="0"/>
      <w:marRight w:val="0"/>
      <w:marTop w:val="0"/>
      <w:marBottom w:val="0"/>
      <w:divBdr>
        <w:top w:val="none" w:sz="0" w:space="0" w:color="auto"/>
        <w:left w:val="none" w:sz="0" w:space="0" w:color="auto"/>
        <w:bottom w:val="none" w:sz="0" w:space="0" w:color="auto"/>
        <w:right w:val="none" w:sz="0" w:space="0" w:color="auto"/>
      </w:divBdr>
    </w:div>
    <w:div w:id="1570798509">
      <w:bodyDiv w:val="1"/>
      <w:marLeft w:val="0"/>
      <w:marRight w:val="0"/>
      <w:marTop w:val="0"/>
      <w:marBottom w:val="0"/>
      <w:divBdr>
        <w:top w:val="none" w:sz="0" w:space="0" w:color="auto"/>
        <w:left w:val="none" w:sz="0" w:space="0" w:color="auto"/>
        <w:bottom w:val="none" w:sz="0" w:space="0" w:color="auto"/>
        <w:right w:val="none" w:sz="0" w:space="0" w:color="auto"/>
      </w:divBdr>
    </w:div>
    <w:div w:id="1570798871">
      <w:bodyDiv w:val="1"/>
      <w:marLeft w:val="0"/>
      <w:marRight w:val="0"/>
      <w:marTop w:val="0"/>
      <w:marBottom w:val="0"/>
      <w:divBdr>
        <w:top w:val="none" w:sz="0" w:space="0" w:color="auto"/>
        <w:left w:val="none" w:sz="0" w:space="0" w:color="auto"/>
        <w:bottom w:val="none" w:sz="0" w:space="0" w:color="auto"/>
        <w:right w:val="none" w:sz="0" w:space="0" w:color="auto"/>
      </w:divBdr>
    </w:div>
    <w:div w:id="1571698697">
      <w:bodyDiv w:val="1"/>
      <w:marLeft w:val="0"/>
      <w:marRight w:val="0"/>
      <w:marTop w:val="0"/>
      <w:marBottom w:val="0"/>
      <w:divBdr>
        <w:top w:val="none" w:sz="0" w:space="0" w:color="auto"/>
        <w:left w:val="none" w:sz="0" w:space="0" w:color="auto"/>
        <w:bottom w:val="none" w:sz="0" w:space="0" w:color="auto"/>
        <w:right w:val="none" w:sz="0" w:space="0" w:color="auto"/>
      </w:divBdr>
    </w:div>
    <w:div w:id="1573006559">
      <w:bodyDiv w:val="1"/>
      <w:marLeft w:val="0"/>
      <w:marRight w:val="0"/>
      <w:marTop w:val="0"/>
      <w:marBottom w:val="0"/>
      <w:divBdr>
        <w:top w:val="none" w:sz="0" w:space="0" w:color="auto"/>
        <w:left w:val="none" w:sz="0" w:space="0" w:color="auto"/>
        <w:bottom w:val="none" w:sz="0" w:space="0" w:color="auto"/>
        <w:right w:val="none" w:sz="0" w:space="0" w:color="auto"/>
      </w:divBdr>
    </w:div>
    <w:div w:id="1575433965">
      <w:bodyDiv w:val="1"/>
      <w:marLeft w:val="0"/>
      <w:marRight w:val="0"/>
      <w:marTop w:val="0"/>
      <w:marBottom w:val="0"/>
      <w:divBdr>
        <w:top w:val="none" w:sz="0" w:space="0" w:color="auto"/>
        <w:left w:val="none" w:sz="0" w:space="0" w:color="auto"/>
        <w:bottom w:val="none" w:sz="0" w:space="0" w:color="auto"/>
        <w:right w:val="none" w:sz="0" w:space="0" w:color="auto"/>
      </w:divBdr>
    </w:div>
    <w:div w:id="1576015426">
      <w:bodyDiv w:val="1"/>
      <w:marLeft w:val="0"/>
      <w:marRight w:val="0"/>
      <w:marTop w:val="0"/>
      <w:marBottom w:val="0"/>
      <w:divBdr>
        <w:top w:val="none" w:sz="0" w:space="0" w:color="auto"/>
        <w:left w:val="none" w:sz="0" w:space="0" w:color="auto"/>
        <w:bottom w:val="none" w:sz="0" w:space="0" w:color="auto"/>
        <w:right w:val="none" w:sz="0" w:space="0" w:color="auto"/>
      </w:divBdr>
    </w:div>
    <w:div w:id="1577085978">
      <w:bodyDiv w:val="1"/>
      <w:marLeft w:val="0"/>
      <w:marRight w:val="0"/>
      <w:marTop w:val="0"/>
      <w:marBottom w:val="0"/>
      <w:divBdr>
        <w:top w:val="none" w:sz="0" w:space="0" w:color="auto"/>
        <w:left w:val="none" w:sz="0" w:space="0" w:color="auto"/>
        <w:bottom w:val="none" w:sz="0" w:space="0" w:color="auto"/>
        <w:right w:val="none" w:sz="0" w:space="0" w:color="auto"/>
      </w:divBdr>
    </w:div>
    <w:div w:id="1577131210">
      <w:bodyDiv w:val="1"/>
      <w:marLeft w:val="0"/>
      <w:marRight w:val="0"/>
      <w:marTop w:val="0"/>
      <w:marBottom w:val="0"/>
      <w:divBdr>
        <w:top w:val="none" w:sz="0" w:space="0" w:color="auto"/>
        <w:left w:val="none" w:sz="0" w:space="0" w:color="auto"/>
        <w:bottom w:val="none" w:sz="0" w:space="0" w:color="auto"/>
        <w:right w:val="none" w:sz="0" w:space="0" w:color="auto"/>
      </w:divBdr>
    </w:div>
    <w:div w:id="1577668592">
      <w:bodyDiv w:val="1"/>
      <w:marLeft w:val="0"/>
      <w:marRight w:val="0"/>
      <w:marTop w:val="0"/>
      <w:marBottom w:val="0"/>
      <w:divBdr>
        <w:top w:val="none" w:sz="0" w:space="0" w:color="auto"/>
        <w:left w:val="none" w:sz="0" w:space="0" w:color="auto"/>
        <w:bottom w:val="none" w:sz="0" w:space="0" w:color="auto"/>
        <w:right w:val="none" w:sz="0" w:space="0" w:color="auto"/>
      </w:divBdr>
    </w:div>
    <w:div w:id="1578247433">
      <w:bodyDiv w:val="1"/>
      <w:marLeft w:val="0"/>
      <w:marRight w:val="0"/>
      <w:marTop w:val="0"/>
      <w:marBottom w:val="0"/>
      <w:divBdr>
        <w:top w:val="none" w:sz="0" w:space="0" w:color="auto"/>
        <w:left w:val="none" w:sz="0" w:space="0" w:color="auto"/>
        <w:bottom w:val="none" w:sz="0" w:space="0" w:color="auto"/>
        <w:right w:val="none" w:sz="0" w:space="0" w:color="auto"/>
      </w:divBdr>
    </w:div>
    <w:div w:id="1579249923">
      <w:bodyDiv w:val="1"/>
      <w:marLeft w:val="0"/>
      <w:marRight w:val="0"/>
      <w:marTop w:val="0"/>
      <w:marBottom w:val="0"/>
      <w:divBdr>
        <w:top w:val="none" w:sz="0" w:space="0" w:color="auto"/>
        <w:left w:val="none" w:sz="0" w:space="0" w:color="auto"/>
        <w:bottom w:val="none" w:sz="0" w:space="0" w:color="auto"/>
        <w:right w:val="none" w:sz="0" w:space="0" w:color="auto"/>
      </w:divBdr>
    </w:div>
    <w:div w:id="1579827251">
      <w:bodyDiv w:val="1"/>
      <w:marLeft w:val="0"/>
      <w:marRight w:val="0"/>
      <w:marTop w:val="0"/>
      <w:marBottom w:val="0"/>
      <w:divBdr>
        <w:top w:val="none" w:sz="0" w:space="0" w:color="auto"/>
        <w:left w:val="none" w:sz="0" w:space="0" w:color="auto"/>
        <w:bottom w:val="none" w:sz="0" w:space="0" w:color="auto"/>
        <w:right w:val="none" w:sz="0" w:space="0" w:color="auto"/>
      </w:divBdr>
    </w:div>
    <w:div w:id="1580286233">
      <w:bodyDiv w:val="1"/>
      <w:marLeft w:val="0"/>
      <w:marRight w:val="0"/>
      <w:marTop w:val="0"/>
      <w:marBottom w:val="0"/>
      <w:divBdr>
        <w:top w:val="none" w:sz="0" w:space="0" w:color="auto"/>
        <w:left w:val="none" w:sz="0" w:space="0" w:color="auto"/>
        <w:bottom w:val="none" w:sz="0" w:space="0" w:color="auto"/>
        <w:right w:val="none" w:sz="0" w:space="0" w:color="auto"/>
      </w:divBdr>
    </w:div>
    <w:div w:id="1581137801">
      <w:bodyDiv w:val="1"/>
      <w:marLeft w:val="0"/>
      <w:marRight w:val="0"/>
      <w:marTop w:val="0"/>
      <w:marBottom w:val="0"/>
      <w:divBdr>
        <w:top w:val="none" w:sz="0" w:space="0" w:color="auto"/>
        <w:left w:val="none" w:sz="0" w:space="0" w:color="auto"/>
        <w:bottom w:val="none" w:sz="0" w:space="0" w:color="auto"/>
        <w:right w:val="none" w:sz="0" w:space="0" w:color="auto"/>
      </w:divBdr>
    </w:div>
    <w:div w:id="1581521837">
      <w:bodyDiv w:val="1"/>
      <w:marLeft w:val="0"/>
      <w:marRight w:val="0"/>
      <w:marTop w:val="0"/>
      <w:marBottom w:val="0"/>
      <w:divBdr>
        <w:top w:val="none" w:sz="0" w:space="0" w:color="auto"/>
        <w:left w:val="none" w:sz="0" w:space="0" w:color="auto"/>
        <w:bottom w:val="none" w:sz="0" w:space="0" w:color="auto"/>
        <w:right w:val="none" w:sz="0" w:space="0" w:color="auto"/>
      </w:divBdr>
    </w:div>
    <w:div w:id="1581865363">
      <w:bodyDiv w:val="1"/>
      <w:marLeft w:val="0"/>
      <w:marRight w:val="0"/>
      <w:marTop w:val="0"/>
      <w:marBottom w:val="0"/>
      <w:divBdr>
        <w:top w:val="none" w:sz="0" w:space="0" w:color="auto"/>
        <w:left w:val="none" w:sz="0" w:space="0" w:color="auto"/>
        <w:bottom w:val="none" w:sz="0" w:space="0" w:color="auto"/>
        <w:right w:val="none" w:sz="0" w:space="0" w:color="auto"/>
      </w:divBdr>
    </w:div>
    <w:div w:id="1582058109">
      <w:bodyDiv w:val="1"/>
      <w:marLeft w:val="0"/>
      <w:marRight w:val="0"/>
      <w:marTop w:val="0"/>
      <w:marBottom w:val="0"/>
      <w:divBdr>
        <w:top w:val="none" w:sz="0" w:space="0" w:color="auto"/>
        <w:left w:val="none" w:sz="0" w:space="0" w:color="auto"/>
        <w:bottom w:val="none" w:sz="0" w:space="0" w:color="auto"/>
        <w:right w:val="none" w:sz="0" w:space="0" w:color="auto"/>
      </w:divBdr>
    </w:div>
    <w:div w:id="1582176524">
      <w:bodyDiv w:val="1"/>
      <w:marLeft w:val="0"/>
      <w:marRight w:val="0"/>
      <w:marTop w:val="0"/>
      <w:marBottom w:val="0"/>
      <w:divBdr>
        <w:top w:val="none" w:sz="0" w:space="0" w:color="auto"/>
        <w:left w:val="none" w:sz="0" w:space="0" w:color="auto"/>
        <w:bottom w:val="none" w:sz="0" w:space="0" w:color="auto"/>
        <w:right w:val="none" w:sz="0" w:space="0" w:color="auto"/>
      </w:divBdr>
    </w:div>
    <w:div w:id="1583179175">
      <w:bodyDiv w:val="1"/>
      <w:marLeft w:val="0"/>
      <w:marRight w:val="0"/>
      <w:marTop w:val="0"/>
      <w:marBottom w:val="0"/>
      <w:divBdr>
        <w:top w:val="none" w:sz="0" w:space="0" w:color="auto"/>
        <w:left w:val="none" w:sz="0" w:space="0" w:color="auto"/>
        <w:bottom w:val="none" w:sz="0" w:space="0" w:color="auto"/>
        <w:right w:val="none" w:sz="0" w:space="0" w:color="auto"/>
      </w:divBdr>
    </w:div>
    <w:div w:id="1585214463">
      <w:bodyDiv w:val="1"/>
      <w:marLeft w:val="0"/>
      <w:marRight w:val="0"/>
      <w:marTop w:val="0"/>
      <w:marBottom w:val="0"/>
      <w:divBdr>
        <w:top w:val="none" w:sz="0" w:space="0" w:color="auto"/>
        <w:left w:val="none" w:sz="0" w:space="0" w:color="auto"/>
        <w:bottom w:val="none" w:sz="0" w:space="0" w:color="auto"/>
        <w:right w:val="none" w:sz="0" w:space="0" w:color="auto"/>
      </w:divBdr>
    </w:div>
    <w:div w:id="1585451328">
      <w:bodyDiv w:val="1"/>
      <w:marLeft w:val="0"/>
      <w:marRight w:val="0"/>
      <w:marTop w:val="0"/>
      <w:marBottom w:val="0"/>
      <w:divBdr>
        <w:top w:val="none" w:sz="0" w:space="0" w:color="auto"/>
        <w:left w:val="none" w:sz="0" w:space="0" w:color="auto"/>
        <w:bottom w:val="none" w:sz="0" w:space="0" w:color="auto"/>
        <w:right w:val="none" w:sz="0" w:space="0" w:color="auto"/>
      </w:divBdr>
    </w:div>
    <w:div w:id="1585607691">
      <w:bodyDiv w:val="1"/>
      <w:marLeft w:val="0"/>
      <w:marRight w:val="0"/>
      <w:marTop w:val="0"/>
      <w:marBottom w:val="0"/>
      <w:divBdr>
        <w:top w:val="none" w:sz="0" w:space="0" w:color="auto"/>
        <w:left w:val="none" w:sz="0" w:space="0" w:color="auto"/>
        <w:bottom w:val="none" w:sz="0" w:space="0" w:color="auto"/>
        <w:right w:val="none" w:sz="0" w:space="0" w:color="auto"/>
      </w:divBdr>
    </w:div>
    <w:div w:id="1585649476">
      <w:bodyDiv w:val="1"/>
      <w:marLeft w:val="0"/>
      <w:marRight w:val="0"/>
      <w:marTop w:val="0"/>
      <w:marBottom w:val="0"/>
      <w:divBdr>
        <w:top w:val="none" w:sz="0" w:space="0" w:color="auto"/>
        <w:left w:val="none" w:sz="0" w:space="0" w:color="auto"/>
        <w:bottom w:val="none" w:sz="0" w:space="0" w:color="auto"/>
        <w:right w:val="none" w:sz="0" w:space="0" w:color="auto"/>
      </w:divBdr>
    </w:div>
    <w:div w:id="1586299271">
      <w:bodyDiv w:val="1"/>
      <w:marLeft w:val="0"/>
      <w:marRight w:val="0"/>
      <w:marTop w:val="0"/>
      <w:marBottom w:val="0"/>
      <w:divBdr>
        <w:top w:val="none" w:sz="0" w:space="0" w:color="auto"/>
        <w:left w:val="none" w:sz="0" w:space="0" w:color="auto"/>
        <w:bottom w:val="none" w:sz="0" w:space="0" w:color="auto"/>
        <w:right w:val="none" w:sz="0" w:space="0" w:color="auto"/>
      </w:divBdr>
    </w:div>
    <w:div w:id="1586770013">
      <w:bodyDiv w:val="1"/>
      <w:marLeft w:val="0"/>
      <w:marRight w:val="0"/>
      <w:marTop w:val="0"/>
      <w:marBottom w:val="0"/>
      <w:divBdr>
        <w:top w:val="none" w:sz="0" w:space="0" w:color="auto"/>
        <w:left w:val="none" w:sz="0" w:space="0" w:color="auto"/>
        <w:bottom w:val="none" w:sz="0" w:space="0" w:color="auto"/>
        <w:right w:val="none" w:sz="0" w:space="0" w:color="auto"/>
      </w:divBdr>
    </w:div>
    <w:div w:id="1586956812">
      <w:bodyDiv w:val="1"/>
      <w:marLeft w:val="0"/>
      <w:marRight w:val="0"/>
      <w:marTop w:val="0"/>
      <w:marBottom w:val="0"/>
      <w:divBdr>
        <w:top w:val="none" w:sz="0" w:space="0" w:color="auto"/>
        <w:left w:val="none" w:sz="0" w:space="0" w:color="auto"/>
        <w:bottom w:val="none" w:sz="0" w:space="0" w:color="auto"/>
        <w:right w:val="none" w:sz="0" w:space="0" w:color="auto"/>
      </w:divBdr>
    </w:div>
    <w:div w:id="1587378124">
      <w:bodyDiv w:val="1"/>
      <w:marLeft w:val="0"/>
      <w:marRight w:val="0"/>
      <w:marTop w:val="0"/>
      <w:marBottom w:val="0"/>
      <w:divBdr>
        <w:top w:val="none" w:sz="0" w:space="0" w:color="auto"/>
        <w:left w:val="none" w:sz="0" w:space="0" w:color="auto"/>
        <w:bottom w:val="none" w:sz="0" w:space="0" w:color="auto"/>
        <w:right w:val="none" w:sz="0" w:space="0" w:color="auto"/>
      </w:divBdr>
    </w:div>
    <w:div w:id="1589189640">
      <w:bodyDiv w:val="1"/>
      <w:marLeft w:val="0"/>
      <w:marRight w:val="0"/>
      <w:marTop w:val="0"/>
      <w:marBottom w:val="0"/>
      <w:divBdr>
        <w:top w:val="none" w:sz="0" w:space="0" w:color="auto"/>
        <w:left w:val="none" w:sz="0" w:space="0" w:color="auto"/>
        <w:bottom w:val="none" w:sz="0" w:space="0" w:color="auto"/>
        <w:right w:val="none" w:sz="0" w:space="0" w:color="auto"/>
      </w:divBdr>
    </w:div>
    <w:div w:id="1591043922">
      <w:bodyDiv w:val="1"/>
      <w:marLeft w:val="0"/>
      <w:marRight w:val="0"/>
      <w:marTop w:val="0"/>
      <w:marBottom w:val="0"/>
      <w:divBdr>
        <w:top w:val="none" w:sz="0" w:space="0" w:color="auto"/>
        <w:left w:val="none" w:sz="0" w:space="0" w:color="auto"/>
        <w:bottom w:val="none" w:sz="0" w:space="0" w:color="auto"/>
        <w:right w:val="none" w:sz="0" w:space="0" w:color="auto"/>
      </w:divBdr>
    </w:div>
    <w:div w:id="1591504364">
      <w:bodyDiv w:val="1"/>
      <w:marLeft w:val="0"/>
      <w:marRight w:val="0"/>
      <w:marTop w:val="0"/>
      <w:marBottom w:val="0"/>
      <w:divBdr>
        <w:top w:val="none" w:sz="0" w:space="0" w:color="auto"/>
        <w:left w:val="none" w:sz="0" w:space="0" w:color="auto"/>
        <w:bottom w:val="none" w:sz="0" w:space="0" w:color="auto"/>
        <w:right w:val="none" w:sz="0" w:space="0" w:color="auto"/>
      </w:divBdr>
    </w:div>
    <w:div w:id="1591696343">
      <w:bodyDiv w:val="1"/>
      <w:marLeft w:val="0"/>
      <w:marRight w:val="0"/>
      <w:marTop w:val="0"/>
      <w:marBottom w:val="0"/>
      <w:divBdr>
        <w:top w:val="none" w:sz="0" w:space="0" w:color="auto"/>
        <w:left w:val="none" w:sz="0" w:space="0" w:color="auto"/>
        <w:bottom w:val="none" w:sz="0" w:space="0" w:color="auto"/>
        <w:right w:val="none" w:sz="0" w:space="0" w:color="auto"/>
      </w:divBdr>
    </w:div>
    <w:div w:id="1591742914">
      <w:bodyDiv w:val="1"/>
      <w:marLeft w:val="0"/>
      <w:marRight w:val="0"/>
      <w:marTop w:val="0"/>
      <w:marBottom w:val="0"/>
      <w:divBdr>
        <w:top w:val="none" w:sz="0" w:space="0" w:color="auto"/>
        <w:left w:val="none" w:sz="0" w:space="0" w:color="auto"/>
        <w:bottom w:val="none" w:sz="0" w:space="0" w:color="auto"/>
        <w:right w:val="none" w:sz="0" w:space="0" w:color="auto"/>
      </w:divBdr>
    </w:div>
    <w:div w:id="1593049714">
      <w:bodyDiv w:val="1"/>
      <w:marLeft w:val="0"/>
      <w:marRight w:val="0"/>
      <w:marTop w:val="0"/>
      <w:marBottom w:val="0"/>
      <w:divBdr>
        <w:top w:val="none" w:sz="0" w:space="0" w:color="auto"/>
        <w:left w:val="none" w:sz="0" w:space="0" w:color="auto"/>
        <w:bottom w:val="none" w:sz="0" w:space="0" w:color="auto"/>
        <w:right w:val="none" w:sz="0" w:space="0" w:color="auto"/>
      </w:divBdr>
    </w:div>
    <w:div w:id="1593078561">
      <w:bodyDiv w:val="1"/>
      <w:marLeft w:val="0"/>
      <w:marRight w:val="0"/>
      <w:marTop w:val="0"/>
      <w:marBottom w:val="0"/>
      <w:divBdr>
        <w:top w:val="none" w:sz="0" w:space="0" w:color="auto"/>
        <w:left w:val="none" w:sz="0" w:space="0" w:color="auto"/>
        <w:bottom w:val="none" w:sz="0" w:space="0" w:color="auto"/>
        <w:right w:val="none" w:sz="0" w:space="0" w:color="auto"/>
      </w:divBdr>
    </w:div>
    <w:div w:id="1593470728">
      <w:bodyDiv w:val="1"/>
      <w:marLeft w:val="0"/>
      <w:marRight w:val="0"/>
      <w:marTop w:val="0"/>
      <w:marBottom w:val="0"/>
      <w:divBdr>
        <w:top w:val="none" w:sz="0" w:space="0" w:color="auto"/>
        <w:left w:val="none" w:sz="0" w:space="0" w:color="auto"/>
        <w:bottom w:val="none" w:sz="0" w:space="0" w:color="auto"/>
        <w:right w:val="none" w:sz="0" w:space="0" w:color="auto"/>
      </w:divBdr>
    </w:div>
    <w:div w:id="1596284349">
      <w:bodyDiv w:val="1"/>
      <w:marLeft w:val="0"/>
      <w:marRight w:val="0"/>
      <w:marTop w:val="0"/>
      <w:marBottom w:val="0"/>
      <w:divBdr>
        <w:top w:val="none" w:sz="0" w:space="0" w:color="auto"/>
        <w:left w:val="none" w:sz="0" w:space="0" w:color="auto"/>
        <w:bottom w:val="none" w:sz="0" w:space="0" w:color="auto"/>
        <w:right w:val="none" w:sz="0" w:space="0" w:color="auto"/>
      </w:divBdr>
    </w:div>
    <w:div w:id="1596548724">
      <w:bodyDiv w:val="1"/>
      <w:marLeft w:val="0"/>
      <w:marRight w:val="0"/>
      <w:marTop w:val="0"/>
      <w:marBottom w:val="0"/>
      <w:divBdr>
        <w:top w:val="none" w:sz="0" w:space="0" w:color="auto"/>
        <w:left w:val="none" w:sz="0" w:space="0" w:color="auto"/>
        <w:bottom w:val="none" w:sz="0" w:space="0" w:color="auto"/>
        <w:right w:val="none" w:sz="0" w:space="0" w:color="auto"/>
      </w:divBdr>
    </w:div>
    <w:div w:id="1597513925">
      <w:bodyDiv w:val="1"/>
      <w:marLeft w:val="0"/>
      <w:marRight w:val="0"/>
      <w:marTop w:val="0"/>
      <w:marBottom w:val="0"/>
      <w:divBdr>
        <w:top w:val="none" w:sz="0" w:space="0" w:color="auto"/>
        <w:left w:val="none" w:sz="0" w:space="0" w:color="auto"/>
        <w:bottom w:val="none" w:sz="0" w:space="0" w:color="auto"/>
        <w:right w:val="none" w:sz="0" w:space="0" w:color="auto"/>
      </w:divBdr>
    </w:div>
    <w:div w:id="1597788378">
      <w:bodyDiv w:val="1"/>
      <w:marLeft w:val="0"/>
      <w:marRight w:val="0"/>
      <w:marTop w:val="0"/>
      <w:marBottom w:val="0"/>
      <w:divBdr>
        <w:top w:val="none" w:sz="0" w:space="0" w:color="auto"/>
        <w:left w:val="none" w:sz="0" w:space="0" w:color="auto"/>
        <w:bottom w:val="none" w:sz="0" w:space="0" w:color="auto"/>
        <w:right w:val="none" w:sz="0" w:space="0" w:color="auto"/>
      </w:divBdr>
    </w:div>
    <w:div w:id="1597860921">
      <w:bodyDiv w:val="1"/>
      <w:marLeft w:val="0"/>
      <w:marRight w:val="0"/>
      <w:marTop w:val="0"/>
      <w:marBottom w:val="0"/>
      <w:divBdr>
        <w:top w:val="none" w:sz="0" w:space="0" w:color="auto"/>
        <w:left w:val="none" w:sz="0" w:space="0" w:color="auto"/>
        <w:bottom w:val="none" w:sz="0" w:space="0" w:color="auto"/>
        <w:right w:val="none" w:sz="0" w:space="0" w:color="auto"/>
      </w:divBdr>
    </w:div>
    <w:div w:id="1598099009">
      <w:bodyDiv w:val="1"/>
      <w:marLeft w:val="0"/>
      <w:marRight w:val="0"/>
      <w:marTop w:val="0"/>
      <w:marBottom w:val="0"/>
      <w:divBdr>
        <w:top w:val="none" w:sz="0" w:space="0" w:color="auto"/>
        <w:left w:val="none" w:sz="0" w:space="0" w:color="auto"/>
        <w:bottom w:val="none" w:sz="0" w:space="0" w:color="auto"/>
        <w:right w:val="none" w:sz="0" w:space="0" w:color="auto"/>
      </w:divBdr>
    </w:div>
    <w:div w:id="1598714568">
      <w:bodyDiv w:val="1"/>
      <w:marLeft w:val="0"/>
      <w:marRight w:val="0"/>
      <w:marTop w:val="0"/>
      <w:marBottom w:val="0"/>
      <w:divBdr>
        <w:top w:val="none" w:sz="0" w:space="0" w:color="auto"/>
        <w:left w:val="none" w:sz="0" w:space="0" w:color="auto"/>
        <w:bottom w:val="none" w:sz="0" w:space="0" w:color="auto"/>
        <w:right w:val="none" w:sz="0" w:space="0" w:color="auto"/>
      </w:divBdr>
    </w:div>
    <w:div w:id="1599092768">
      <w:bodyDiv w:val="1"/>
      <w:marLeft w:val="0"/>
      <w:marRight w:val="0"/>
      <w:marTop w:val="0"/>
      <w:marBottom w:val="0"/>
      <w:divBdr>
        <w:top w:val="none" w:sz="0" w:space="0" w:color="auto"/>
        <w:left w:val="none" w:sz="0" w:space="0" w:color="auto"/>
        <w:bottom w:val="none" w:sz="0" w:space="0" w:color="auto"/>
        <w:right w:val="none" w:sz="0" w:space="0" w:color="auto"/>
      </w:divBdr>
    </w:div>
    <w:div w:id="1600020059">
      <w:bodyDiv w:val="1"/>
      <w:marLeft w:val="0"/>
      <w:marRight w:val="0"/>
      <w:marTop w:val="0"/>
      <w:marBottom w:val="0"/>
      <w:divBdr>
        <w:top w:val="none" w:sz="0" w:space="0" w:color="auto"/>
        <w:left w:val="none" w:sz="0" w:space="0" w:color="auto"/>
        <w:bottom w:val="none" w:sz="0" w:space="0" w:color="auto"/>
        <w:right w:val="none" w:sz="0" w:space="0" w:color="auto"/>
      </w:divBdr>
    </w:div>
    <w:div w:id="1600141480">
      <w:bodyDiv w:val="1"/>
      <w:marLeft w:val="0"/>
      <w:marRight w:val="0"/>
      <w:marTop w:val="0"/>
      <w:marBottom w:val="0"/>
      <w:divBdr>
        <w:top w:val="none" w:sz="0" w:space="0" w:color="auto"/>
        <w:left w:val="none" w:sz="0" w:space="0" w:color="auto"/>
        <w:bottom w:val="none" w:sz="0" w:space="0" w:color="auto"/>
        <w:right w:val="none" w:sz="0" w:space="0" w:color="auto"/>
      </w:divBdr>
    </w:div>
    <w:div w:id="1600523152">
      <w:bodyDiv w:val="1"/>
      <w:marLeft w:val="0"/>
      <w:marRight w:val="0"/>
      <w:marTop w:val="0"/>
      <w:marBottom w:val="0"/>
      <w:divBdr>
        <w:top w:val="none" w:sz="0" w:space="0" w:color="auto"/>
        <w:left w:val="none" w:sz="0" w:space="0" w:color="auto"/>
        <w:bottom w:val="none" w:sz="0" w:space="0" w:color="auto"/>
        <w:right w:val="none" w:sz="0" w:space="0" w:color="auto"/>
      </w:divBdr>
    </w:div>
    <w:div w:id="1601252697">
      <w:bodyDiv w:val="1"/>
      <w:marLeft w:val="0"/>
      <w:marRight w:val="0"/>
      <w:marTop w:val="0"/>
      <w:marBottom w:val="0"/>
      <w:divBdr>
        <w:top w:val="none" w:sz="0" w:space="0" w:color="auto"/>
        <w:left w:val="none" w:sz="0" w:space="0" w:color="auto"/>
        <w:bottom w:val="none" w:sz="0" w:space="0" w:color="auto"/>
        <w:right w:val="none" w:sz="0" w:space="0" w:color="auto"/>
      </w:divBdr>
    </w:div>
    <w:div w:id="1601600358">
      <w:bodyDiv w:val="1"/>
      <w:marLeft w:val="0"/>
      <w:marRight w:val="0"/>
      <w:marTop w:val="0"/>
      <w:marBottom w:val="0"/>
      <w:divBdr>
        <w:top w:val="none" w:sz="0" w:space="0" w:color="auto"/>
        <w:left w:val="none" w:sz="0" w:space="0" w:color="auto"/>
        <w:bottom w:val="none" w:sz="0" w:space="0" w:color="auto"/>
        <w:right w:val="none" w:sz="0" w:space="0" w:color="auto"/>
      </w:divBdr>
    </w:div>
    <w:div w:id="1603106127">
      <w:bodyDiv w:val="1"/>
      <w:marLeft w:val="0"/>
      <w:marRight w:val="0"/>
      <w:marTop w:val="0"/>
      <w:marBottom w:val="0"/>
      <w:divBdr>
        <w:top w:val="none" w:sz="0" w:space="0" w:color="auto"/>
        <w:left w:val="none" w:sz="0" w:space="0" w:color="auto"/>
        <w:bottom w:val="none" w:sz="0" w:space="0" w:color="auto"/>
        <w:right w:val="none" w:sz="0" w:space="0" w:color="auto"/>
      </w:divBdr>
    </w:div>
    <w:div w:id="1603296767">
      <w:bodyDiv w:val="1"/>
      <w:marLeft w:val="0"/>
      <w:marRight w:val="0"/>
      <w:marTop w:val="0"/>
      <w:marBottom w:val="0"/>
      <w:divBdr>
        <w:top w:val="none" w:sz="0" w:space="0" w:color="auto"/>
        <w:left w:val="none" w:sz="0" w:space="0" w:color="auto"/>
        <w:bottom w:val="none" w:sz="0" w:space="0" w:color="auto"/>
        <w:right w:val="none" w:sz="0" w:space="0" w:color="auto"/>
      </w:divBdr>
    </w:div>
    <w:div w:id="1603731580">
      <w:bodyDiv w:val="1"/>
      <w:marLeft w:val="0"/>
      <w:marRight w:val="0"/>
      <w:marTop w:val="0"/>
      <w:marBottom w:val="0"/>
      <w:divBdr>
        <w:top w:val="none" w:sz="0" w:space="0" w:color="auto"/>
        <w:left w:val="none" w:sz="0" w:space="0" w:color="auto"/>
        <w:bottom w:val="none" w:sz="0" w:space="0" w:color="auto"/>
        <w:right w:val="none" w:sz="0" w:space="0" w:color="auto"/>
      </w:divBdr>
    </w:div>
    <w:div w:id="1605990872">
      <w:bodyDiv w:val="1"/>
      <w:marLeft w:val="0"/>
      <w:marRight w:val="0"/>
      <w:marTop w:val="0"/>
      <w:marBottom w:val="0"/>
      <w:divBdr>
        <w:top w:val="none" w:sz="0" w:space="0" w:color="auto"/>
        <w:left w:val="none" w:sz="0" w:space="0" w:color="auto"/>
        <w:bottom w:val="none" w:sz="0" w:space="0" w:color="auto"/>
        <w:right w:val="none" w:sz="0" w:space="0" w:color="auto"/>
      </w:divBdr>
    </w:div>
    <w:div w:id="1606569351">
      <w:bodyDiv w:val="1"/>
      <w:marLeft w:val="0"/>
      <w:marRight w:val="0"/>
      <w:marTop w:val="0"/>
      <w:marBottom w:val="0"/>
      <w:divBdr>
        <w:top w:val="none" w:sz="0" w:space="0" w:color="auto"/>
        <w:left w:val="none" w:sz="0" w:space="0" w:color="auto"/>
        <w:bottom w:val="none" w:sz="0" w:space="0" w:color="auto"/>
        <w:right w:val="none" w:sz="0" w:space="0" w:color="auto"/>
      </w:divBdr>
    </w:div>
    <w:div w:id="1607498362">
      <w:bodyDiv w:val="1"/>
      <w:marLeft w:val="0"/>
      <w:marRight w:val="0"/>
      <w:marTop w:val="0"/>
      <w:marBottom w:val="0"/>
      <w:divBdr>
        <w:top w:val="none" w:sz="0" w:space="0" w:color="auto"/>
        <w:left w:val="none" w:sz="0" w:space="0" w:color="auto"/>
        <w:bottom w:val="none" w:sz="0" w:space="0" w:color="auto"/>
        <w:right w:val="none" w:sz="0" w:space="0" w:color="auto"/>
      </w:divBdr>
    </w:div>
    <w:div w:id="1607695396">
      <w:bodyDiv w:val="1"/>
      <w:marLeft w:val="0"/>
      <w:marRight w:val="0"/>
      <w:marTop w:val="0"/>
      <w:marBottom w:val="0"/>
      <w:divBdr>
        <w:top w:val="none" w:sz="0" w:space="0" w:color="auto"/>
        <w:left w:val="none" w:sz="0" w:space="0" w:color="auto"/>
        <w:bottom w:val="none" w:sz="0" w:space="0" w:color="auto"/>
        <w:right w:val="none" w:sz="0" w:space="0" w:color="auto"/>
      </w:divBdr>
    </w:div>
    <w:div w:id="1608346493">
      <w:bodyDiv w:val="1"/>
      <w:marLeft w:val="0"/>
      <w:marRight w:val="0"/>
      <w:marTop w:val="0"/>
      <w:marBottom w:val="0"/>
      <w:divBdr>
        <w:top w:val="none" w:sz="0" w:space="0" w:color="auto"/>
        <w:left w:val="none" w:sz="0" w:space="0" w:color="auto"/>
        <w:bottom w:val="none" w:sz="0" w:space="0" w:color="auto"/>
        <w:right w:val="none" w:sz="0" w:space="0" w:color="auto"/>
      </w:divBdr>
    </w:div>
    <w:div w:id="1609004331">
      <w:bodyDiv w:val="1"/>
      <w:marLeft w:val="0"/>
      <w:marRight w:val="0"/>
      <w:marTop w:val="0"/>
      <w:marBottom w:val="0"/>
      <w:divBdr>
        <w:top w:val="none" w:sz="0" w:space="0" w:color="auto"/>
        <w:left w:val="none" w:sz="0" w:space="0" w:color="auto"/>
        <w:bottom w:val="none" w:sz="0" w:space="0" w:color="auto"/>
        <w:right w:val="none" w:sz="0" w:space="0" w:color="auto"/>
      </w:divBdr>
    </w:div>
    <w:div w:id="1609502797">
      <w:bodyDiv w:val="1"/>
      <w:marLeft w:val="0"/>
      <w:marRight w:val="0"/>
      <w:marTop w:val="0"/>
      <w:marBottom w:val="0"/>
      <w:divBdr>
        <w:top w:val="none" w:sz="0" w:space="0" w:color="auto"/>
        <w:left w:val="none" w:sz="0" w:space="0" w:color="auto"/>
        <w:bottom w:val="none" w:sz="0" w:space="0" w:color="auto"/>
        <w:right w:val="none" w:sz="0" w:space="0" w:color="auto"/>
      </w:divBdr>
    </w:div>
    <w:div w:id="1610236767">
      <w:bodyDiv w:val="1"/>
      <w:marLeft w:val="0"/>
      <w:marRight w:val="0"/>
      <w:marTop w:val="0"/>
      <w:marBottom w:val="0"/>
      <w:divBdr>
        <w:top w:val="none" w:sz="0" w:space="0" w:color="auto"/>
        <w:left w:val="none" w:sz="0" w:space="0" w:color="auto"/>
        <w:bottom w:val="none" w:sz="0" w:space="0" w:color="auto"/>
        <w:right w:val="none" w:sz="0" w:space="0" w:color="auto"/>
      </w:divBdr>
    </w:div>
    <w:div w:id="1610576741">
      <w:bodyDiv w:val="1"/>
      <w:marLeft w:val="0"/>
      <w:marRight w:val="0"/>
      <w:marTop w:val="0"/>
      <w:marBottom w:val="0"/>
      <w:divBdr>
        <w:top w:val="none" w:sz="0" w:space="0" w:color="auto"/>
        <w:left w:val="none" w:sz="0" w:space="0" w:color="auto"/>
        <w:bottom w:val="none" w:sz="0" w:space="0" w:color="auto"/>
        <w:right w:val="none" w:sz="0" w:space="0" w:color="auto"/>
      </w:divBdr>
    </w:div>
    <w:div w:id="1611158412">
      <w:bodyDiv w:val="1"/>
      <w:marLeft w:val="0"/>
      <w:marRight w:val="0"/>
      <w:marTop w:val="0"/>
      <w:marBottom w:val="0"/>
      <w:divBdr>
        <w:top w:val="none" w:sz="0" w:space="0" w:color="auto"/>
        <w:left w:val="none" w:sz="0" w:space="0" w:color="auto"/>
        <w:bottom w:val="none" w:sz="0" w:space="0" w:color="auto"/>
        <w:right w:val="none" w:sz="0" w:space="0" w:color="auto"/>
      </w:divBdr>
    </w:div>
    <w:div w:id="1611621067">
      <w:bodyDiv w:val="1"/>
      <w:marLeft w:val="0"/>
      <w:marRight w:val="0"/>
      <w:marTop w:val="0"/>
      <w:marBottom w:val="0"/>
      <w:divBdr>
        <w:top w:val="none" w:sz="0" w:space="0" w:color="auto"/>
        <w:left w:val="none" w:sz="0" w:space="0" w:color="auto"/>
        <w:bottom w:val="none" w:sz="0" w:space="0" w:color="auto"/>
        <w:right w:val="none" w:sz="0" w:space="0" w:color="auto"/>
      </w:divBdr>
    </w:div>
    <w:div w:id="1612711394">
      <w:bodyDiv w:val="1"/>
      <w:marLeft w:val="0"/>
      <w:marRight w:val="0"/>
      <w:marTop w:val="0"/>
      <w:marBottom w:val="0"/>
      <w:divBdr>
        <w:top w:val="none" w:sz="0" w:space="0" w:color="auto"/>
        <w:left w:val="none" w:sz="0" w:space="0" w:color="auto"/>
        <w:bottom w:val="none" w:sz="0" w:space="0" w:color="auto"/>
        <w:right w:val="none" w:sz="0" w:space="0" w:color="auto"/>
      </w:divBdr>
    </w:div>
    <w:div w:id="1612854255">
      <w:bodyDiv w:val="1"/>
      <w:marLeft w:val="0"/>
      <w:marRight w:val="0"/>
      <w:marTop w:val="0"/>
      <w:marBottom w:val="0"/>
      <w:divBdr>
        <w:top w:val="none" w:sz="0" w:space="0" w:color="auto"/>
        <w:left w:val="none" w:sz="0" w:space="0" w:color="auto"/>
        <w:bottom w:val="none" w:sz="0" w:space="0" w:color="auto"/>
        <w:right w:val="none" w:sz="0" w:space="0" w:color="auto"/>
      </w:divBdr>
    </w:div>
    <w:div w:id="1612935231">
      <w:bodyDiv w:val="1"/>
      <w:marLeft w:val="0"/>
      <w:marRight w:val="0"/>
      <w:marTop w:val="0"/>
      <w:marBottom w:val="0"/>
      <w:divBdr>
        <w:top w:val="none" w:sz="0" w:space="0" w:color="auto"/>
        <w:left w:val="none" w:sz="0" w:space="0" w:color="auto"/>
        <w:bottom w:val="none" w:sz="0" w:space="0" w:color="auto"/>
        <w:right w:val="none" w:sz="0" w:space="0" w:color="auto"/>
      </w:divBdr>
    </w:div>
    <w:div w:id="1614483480">
      <w:bodyDiv w:val="1"/>
      <w:marLeft w:val="0"/>
      <w:marRight w:val="0"/>
      <w:marTop w:val="0"/>
      <w:marBottom w:val="0"/>
      <w:divBdr>
        <w:top w:val="none" w:sz="0" w:space="0" w:color="auto"/>
        <w:left w:val="none" w:sz="0" w:space="0" w:color="auto"/>
        <w:bottom w:val="none" w:sz="0" w:space="0" w:color="auto"/>
        <w:right w:val="none" w:sz="0" w:space="0" w:color="auto"/>
      </w:divBdr>
    </w:div>
    <w:div w:id="1615287086">
      <w:bodyDiv w:val="1"/>
      <w:marLeft w:val="0"/>
      <w:marRight w:val="0"/>
      <w:marTop w:val="0"/>
      <w:marBottom w:val="0"/>
      <w:divBdr>
        <w:top w:val="none" w:sz="0" w:space="0" w:color="auto"/>
        <w:left w:val="none" w:sz="0" w:space="0" w:color="auto"/>
        <w:bottom w:val="none" w:sz="0" w:space="0" w:color="auto"/>
        <w:right w:val="none" w:sz="0" w:space="0" w:color="auto"/>
      </w:divBdr>
    </w:div>
    <w:div w:id="1615405961">
      <w:bodyDiv w:val="1"/>
      <w:marLeft w:val="0"/>
      <w:marRight w:val="0"/>
      <w:marTop w:val="0"/>
      <w:marBottom w:val="0"/>
      <w:divBdr>
        <w:top w:val="none" w:sz="0" w:space="0" w:color="auto"/>
        <w:left w:val="none" w:sz="0" w:space="0" w:color="auto"/>
        <w:bottom w:val="none" w:sz="0" w:space="0" w:color="auto"/>
        <w:right w:val="none" w:sz="0" w:space="0" w:color="auto"/>
      </w:divBdr>
    </w:div>
    <w:div w:id="1616134354">
      <w:bodyDiv w:val="1"/>
      <w:marLeft w:val="0"/>
      <w:marRight w:val="0"/>
      <w:marTop w:val="0"/>
      <w:marBottom w:val="0"/>
      <w:divBdr>
        <w:top w:val="none" w:sz="0" w:space="0" w:color="auto"/>
        <w:left w:val="none" w:sz="0" w:space="0" w:color="auto"/>
        <w:bottom w:val="none" w:sz="0" w:space="0" w:color="auto"/>
        <w:right w:val="none" w:sz="0" w:space="0" w:color="auto"/>
      </w:divBdr>
    </w:div>
    <w:div w:id="1616139199">
      <w:bodyDiv w:val="1"/>
      <w:marLeft w:val="0"/>
      <w:marRight w:val="0"/>
      <w:marTop w:val="0"/>
      <w:marBottom w:val="0"/>
      <w:divBdr>
        <w:top w:val="none" w:sz="0" w:space="0" w:color="auto"/>
        <w:left w:val="none" w:sz="0" w:space="0" w:color="auto"/>
        <w:bottom w:val="none" w:sz="0" w:space="0" w:color="auto"/>
        <w:right w:val="none" w:sz="0" w:space="0" w:color="auto"/>
      </w:divBdr>
    </w:div>
    <w:div w:id="1616408009">
      <w:bodyDiv w:val="1"/>
      <w:marLeft w:val="0"/>
      <w:marRight w:val="0"/>
      <w:marTop w:val="0"/>
      <w:marBottom w:val="0"/>
      <w:divBdr>
        <w:top w:val="none" w:sz="0" w:space="0" w:color="auto"/>
        <w:left w:val="none" w:sz="0" w:space="0" w:color="auto"/>
        <w:bottom w:val="none" w:sz="0" w:space="0" w:color="auto"/>
        <w:right w:val="none" w:sz="0" w:space="0" w:color="auto"/>
      </w:divBdr>
    </w:div>
    <w:div w:id="1616448657">
      <w:bodyDiv w:val="1"/>
      <w:marLeft w:val="0"/>
      <w:marRight w:val="0"/>
      <w:marTop w:val="0"/>
      <w:marBottom w:val="0"/>
      <w:divBdr>
        <w:top w:val="none" w:sz="0" w:space="0" w:color="auto"/>
        <w:left w:val="none" w:sz="0" w:space="0" w:color="auto"/>
        <w:bottom w:val="none" w:sz="0" w:space="0" w:color="auto"/>
        <w:right w:val="none" w:sz="0" w:space="0" w:color="auto"/>
      </w:divBdr>
    </w:div>
    <w:div w:id="1618368893">
      <w:bodyDiv w:val="1"/>
      <w:marLeft w:val="0"/>
      <w:marRight w:val="0"/>
      <w:marTop w:val="0"/>
      <w:marBottom w:val="0"/>
      <w:divBdr>
        <w:top w:val="none" w:sz="0" w:space="0" w:color="auto"/>
        <w:left w:val="none" w:sz="0" w:space="0" w:color="auto"/>
        <w:bottom w:val="none" w:sz="0" w:space="0" w:color="auto"/>
        <w:right w:val="none" w:sz="0" w:space="0" w:color="auto"/>
      </w:divBdr>
    </w:div>
    <w:div w:id="1618757402">
      <w:bodyDiv w:val="1"/>
      <w:marLeft w:val="0"/>
      <w:marRight w:val="0"/>
      <w:marTop w:val="0"/>
      <w:marBottom w:val="0"/>
      <w:divBdr>
        <w:top w:val="none" w:sz="0" w:space="0" w:color="auto"/>
        <w:left w:val="none" w:sz="0" w:space="0" w:color="auto"/>
        <w:bottom w:val="none" w:sz="0" w:space="0" w:color="auto"/>
        <w:right w:val="none" w:sz="0" w:space="0" w:color="auto"/>
      </w:divBdr>
    </w:div>
    <w:div w:id="1619029110">
      <w:bodyDiv w:val="1"/>
      <w:marLeft w:val="0"/>
      <w:marRight w:val="0"/>
      <w:marTop w:val="0"/>
      <w:marBottom w:val="0"/>
      <w:divBdr>
        <w:top w:val="none" w:sz="0" w:space="0" w:color="auto"/>
        <w:left w:val="none" w:sz="0" w:space="0" w:color="auto"/>
        <w:bottom w:val="none" w:sz="0" w:space="0" w:color="auto"/>
        <w:right w:val="none" w:sz="0" w:space="0" w:color="auto"/>
      </w:divBdr>
    </w:div>
    <w:div w:id="1620455447">
      <w:bodyDiv w:val="1"/>
      <w:marLeft w:val="0"/>
      <w:marRight w:val="0"/>
      <w:marTop w:val="0"/>
      <w:marBottom w:val="0"/>
      <w:divBdr>
        <w:top w:val="none" w:sz="0" w:space="0" w:color="auto"/>
        <w:left w:val="none" w:sz="0" w:space="0" w:color="auto"/>
        <w:bottom w:val="none" w:sz="0" w:space="0" w:color="auto"/>
        <w:right w:val="none" w:sz="0" w:space="0" w:color="auto"/>
      </w:divBdr>
    </w:div>
    <w:div w:id="1621304902">
      <w:bodyDiv w:val="1"/>
      <w:marLeft w:val="0"/>
      <w:marRight w:val="0"/>
      <w:marTop w:val="0"/>
      <w:marBottom w:val="0"/>
      <w:divBdr>
        <w:top w:val="none" w:sz="0" w:space="0" w:color="auto"/>
        <w:left w:val="none" w:sz="0" w:space="0" w:color="auto"/>
        <w:bottom w:val="none" w:sz="0" w:space="0" w:color="auto"/>
        <w:right w:val="none" w:sz="0" w:space="0" w:color="auto"/>
      </w:divBdr>
    </w:div>
    <w:div w:id="1622371722">
      <w:bodyDiv w:val="1"/>
      <w:marLeft w:val="0"/>
      <w:marRight w:val="0"/>
      <w:marTop w:val="0"/>
      <w:marBottom w:val="0"/>
      <w:divBdr>
        <w:top w:val="none" w:sz="0" w:space="0" w:color="auto"/>
        <w:left w:val="none" w:sz="0" w:space="0" w:color="auto"/>
        <w:bottom w:val="none" w:sz="0" w:space="0" w:color="auto"/>
        <w:right w:val="none" w:sz="0" w:space="0" w:color="auto"/>
      </w:divBdr>
    </w:div>
    <w:div w:id="1622686098">
      <w:bodyDiv w:val="1"/>
      <w:marLeft w:val="0"/>
      <w:marRight w:val="0"/>
      <w:marTop w:val="0"/>
      <w:marBottom w:val="0"/>
      <w:divBdr>
        <w:top w:val="none" w:sz="0" w:space="0" w:color="auto"/>
        <w:left w:val="none" w:sz="0" w:space="0" w:color="auto"/>
        <w:bottom w:val="none" w:sz="0" w:space="0" w:color="auto"/>
        <w:right w:val="none" w:sz="0" w:space="0" w:color="auto"/>
      </w:divBdr>
    </w:div>
    <w:div w:id="1622761170">
      <w:bodyDiv w:val="1"/>
      <w:marLeft w:val="0"/>
      <w:marRight w:val="0"/>
      <w:marTop w:val="0"/>
      <w:marBottom w:val="0"/>
      <w:divBdr>
        <w:top w:val="none" w:sz="0" w:space="0" w:color="auto"/>
        <w:left w:val="none" w:sz="0" w:space="0" w:color="auto"/>
        <w:bottom w:val="none" w:sz="0" w:space="0" w:color="auto"/>
        <w:right w:val="none" w:sz="0" w:space="0" w:color="auto"/>
      </w:divBdr>
    </w:div>
    <w:div w:id="1623416091">
      <w:bodyDiv w:val="1"/>
      <w:marLeft w:val="0"/>
      <w:marRight w:val="0"/>
      <w:marTop w:val="0"/>
      <w:marBottom w:val="0"/>
      <w:divBdr>
        <w:top w:val="none" w:sz="0" w:space="0" w:color="auto"/>
        <w:left w:val="none" w:sz="0" w:space="0" w:color="auto"/>
        <w:bottom w:val="none" w:sz="0" w:space="0" w:color="auto"/>
        <w:right w:val="none" w:sz="0" w:space="0" w:color="auto"/>
      </w:divBdr>
    </w:div>
    <w:div w:id="1624573165">
      <w:bodyDiv w:val="1"/>
      <w:marLeft w:val="0"/>
      <w:marRight w:val="0"/>
      <w:marTop w:val="0"/>
      <w:marBottom w:val="0"/>
      <w:divBdr>
        <w:top w:val="none" w:sz="0" w:space="0" w:color="auto"/>
        <w:left w:val="none" w:sz="0" w:space="0" w:color="auto"/>
        <w:bottom w:val="none" w:sz="0" w:space="0" w:color="auto"/>
        <w:right w:val="none" w:sz="0" w:space="0" w:color="auto"/>
      </w:divBdr>
    </w:div>
    <w:div w:id="1624968550">
      <w:bodyDiv w:val="1"/>
      <w:marLeft w:val="0"/>
      <w:marRight w:val="0"/>
      <w:marTop w:val="0"/>
      <w:marBottom w:val="0"/>
      <w:divBdr>
        <w:top w:val="none" w:sz="0" w:space="0" w:color="auto"/>
        <w:left w:val="none" w:sz="0" w:space="0" w:color="auto"/>
        <w:bottom w:val="none" w:sz="0" w:space="0" w:color="auto"/>
        <w:right w:val="none" w:sz="0" w:space="0" w:color="auto"/>
      </w:divBdr>
    </w:div>
    <w:div w:id="1625379005">
      <w:bodyDiv w:val="1"/>
      <w:marLeft w:val="0"/>
      <w:marRight w:val="0"/>
      <w:marTop w:val="0"/>
      <w:marBottom w:val="0"/>
      <w:divBdr>
        <w:top w:val="none" w:sz="0" w:space="0" w:color="auto"/>
        <w:left w:val="none" w:sz="0" w:space="0" w:color="auto"/>
        <w:bottom w:val="none" w:sz="0" w:space="0" w:color="auto"/>
        <w:right w:val="none" w:sz="0" w:space="0" w:color="auto"/>
      </w:divBdr>
    </w:div>
    <w:div w:id="1626081425">
      <w:bodyDiv w:val="1"/>
      <w:marLeft w:val="0"/>
      <w:marRight w:val="0"/>
      <w:marTop w:val="0"/>
      <w:marBottom w:val="0"/>
      <w:divBdr>
        <w:top w:val="none" w:sz="0" w:space="0" w:color="auto"/>
        <w:left w:val="none" w:sz="0" w:space="0" w:color="auto"/>
        <w:bottom w:val="none" w:sz="0" w:space="0" w:color="auto"/>
        <w:right w:val="none" w:sz="0" w:space="0" w:color="auto"/>
      </w:divBdr>
    </w:div>
    <w:div w:id="1626539070">
      <w:bodyDiv w:val="1"/>
      <w:marLeft w:val="0"/>
      <w:marRight w:val="0"/>
      <w:marTop w:val="0"/>
      <w:marBottom w:val="0"/>
      <w:divBdr>
        <w:top w:val="none" w:sz="0" w:space="0" w:color="auto"/>
        <w:left w:val="none" w:sz="0" w:space="0" w:color="auto"/>
        <w:bottom w:val="none" w:sz="0" w:space="0" w:color="auto"/>
        <w:right w:val="none" w:sz="0" w:space="0" w:color="auto"/>
      </w:divBdr>
    </w:div>
    <w:div w:id="1628075330">
      <w:bodyDiv w:val="1"/>
      <w:marLeft w:val="0"/>
      <w:marRight w:val="0"/>
      <w:marTop w:val="0"/>
      <w:marBottom w:val="0"/>
      <w:divBdr>
        <w:top w:val="none" w:sz="0" w:space="0" w:color="auto"/>
        <w:left w:val="none" w:sz="0" w:space="0" w:color="auto"/>
        <w:bottom w:val="none" w:sz="0" w:space="0" w:color="auto"/>
        <w:right w:val="none" w:sz="0" w:space="0" w:color="auto"/>
      </w:divBdr>
    </w:div>
    <w:div w:id="1629235375">
      <w:bodyDiv w:val="1"/>
      <w:marLeft w:val="0"/>
      <w:marRight w:val="0"/>
      <w:marTop w:val="0"/>
      <w:marBottom w:val="0"/>
      <w:divBdr>
        <w:top w:val="none" w:sz="0" w:space="0" w:color="auto"/>
        <w:left w:val="none" w:sz="0" w:space="0" w:color="auto"/>
        <w:bottom w:val="none" w:sz="0" w:space="0" w:color="auto"/>
        <w:right w:val="none" w:sz="0" w:space="0" w:color="auto"/>
      </w:divBdr>
    </w:div>
    <w:div w:id="1631090090">
      <w:bodyDiv w:val="1"/>
      <w:marLeft w:val="0"/>
      <w:marRight w:val="0"/>
      <w:marTop w:val="0"/>
      <w:marBottom w:val="0"/>
      <w:divBdr>
        <w:top w:val="none" w:sz="0" w:space="0" w:color="auto"/>
        <w:left w:val="none" w:sz="0" w:space="0" w:color="auto"/>
        <w:bottom w:val="none" w:sz="0" w:space="0" w:color="auto"/>
        <w:right w:val="none" w:sz="0" w:space="0" w:color="auto"/>
      </w:divBdr>
    </w:div>
    <w:div w:id="1631130899">
      <w:bodyDiv w:val="1"/>
      <w:marLeft w:val="0"/>
      <w:marRight w:val="0"/>
      <w:marTop w:val="0"/>
      <w:marBottom w:val="0"/>
      <w:divBdr>
        <w:top w:val="none" w:sz="0" w:space="0" w:color="auto"/>
        <w:left w:val="none" w:sz="0" w:space="0" w:color="auto"/>
        <w:bottom w:val="none" w:sz="0" w:space="0" w:color="auto"/>
        <w:right w:val="none" w:sz="0" w:space="0" w:color="auto"/>
      </w:divBdr>
    </w:div>
    <w:div w:id="1632058795">
      <w:bodyDiv w:val="1"/>
      <w:marLeft w:val="0"/>
      <w:marRight w:val="0"/>
      <w:marTop w:val="0"/>
      <w:marBottom w:val="0"/>
      <w:divBdr>
        <w:top w:val="none" w:sz="0" w:space="0" w:color="auto"/>
        <w:left w:val="none" w:sz="0" w:space="0" w:color="auto"/>
        <w:bottom w:val="none" w:sz="0" w:space="0" w:color="auto"/>
        <w:right w:val="none" w:sz="0" w:space="0" w:color="auto"/>
      </w:divBdr>
    </w:div>
    <w:div w:id="1634480635">
      <w:bodyDiv w:val="1"/>
      <w:marLeft w:val="0"/>
      <w:marRight w:val="0"/>
      <w:marTop w:val="0"/>
      <w:marBottom w:val="0"/>
      <w:divBdr>
        <w:top w:val="none" w:sz="0" w:space="0" w:color="auto"/>
        <w:left w:val="none" w:sz="0" w:space="0" w:color="auto"/>
        <w:bottom w:val="none" w:sz="0" w:space="0" w:color="auto"/>
        <w:right w:val="none" w:sz="0" w:space="0" w:color="auto"/>
      </w:divBdr>
    </w:div>
    <w:div w:id="1634822405">
      <w:bodyDiv w:val="1"/>
      <w:marLeft w:val="0"/>
      <w:marRight w:val="0"/>
      <w:marTop w:val="0"/>
      <w:marBottom w:val="0"/>
      <w:divBdr>
        <w:top w:val="none" w:sz="0" w:space="0" w:color="auto"/>
        <w:left w:val="none" w:sz="0" w:space="0" w:color="auto"/>
        <w:bottom w:val="none" w:sz="0" w:space="0" w:color="auto"/>
        <w:right w:val="none" w:sz="0" w:space="0" w:color="auto"/>
      </w:divBdr>
    </w:div>
    <w:div w:id="1634943868">
      <w:bodyDiv w:val="1"/>
      <w:marLeft w:val="0"/>
      <w:marRight w:val="0"/>
      <w:marTop w:val="0"/>
      <w:marBottom w:val="0"/>
      <w:divBdr>
        <w:top w:val="none" w:sz="0" w:space="0" w:color="auto"/>
        <w:left w:val="none" w:sz="0" w:space="0" w:color="auto"/>
        <w:bottom w:val="none" w:sz="0" w:space="0" w:color="auto"/>
        <w:right w:val="none" w:sz="0" w:space="0" w:color="auto"/>
      </w:divBdr>
    </w:div>
    <w:div w:id="1636134511">
      <w:bodyDiv w:val="1"/>
      <w:marLeft w:val="0"/>
      <w:marRight w:val="0"/>
      <w:marTop w:val="0"/>
      <w:marBottom w:val="0"/>
      <w:divBdr>
        <w:top w:val="none" w:sz="0" w:space="0" w:color="auto"/>
        <w:left w:val="none" w:sz="0" w:space="0" w:color="auto"/>
        <w:bottom w:val="none" w:sz="0" w:space="0" w:color="auto"/>
        <w:right w:val="none" w:sz="0" w:space="0" w:color="auto"/>
      </w:divBdr>
    </w:div>
    <w:div w:id="1636831298">
      <w:bodyDiv w:val="1"/>
      <w:marLeft w:val="0"/>
      <w:marRight w:val="0"/>
      <w:marTop w:val="0"/>
      <w:marBottom w:val="0"/>
      <w:divBdr>
        <w:top w:val="none" w:sz="0" w:space="0" w:color="auto"/>
        <w:left w:val="none" w:sz="0" w:space="0" w:color="auto"/>
        <w:bottom w:val="none" w:sz="0" w:space="0" w:color="auto"/>
        <w:right w:val="none" w:sz="0" w:space="0" w:color="auto"/>
      </w:divBdr>
    </w:div>
    <w:div w:id="1637369942">
      <w:bodyDiv w:val="1"/>
      <w:marLeft w:val="0"/>
      <w:marRight w:val="0"/>
      <w:marTop w:val="0"/>
      <w:marBottom w:val="0"/>
      <w:divBdr>
        <w:top w:val="none" w:sz="0" w:space="0" w:color="auto"/>
        <w:left w:val="none" w:sz="0" w:space="0" w:color="auto"/>
        <w:bottom w:val="none" w:sz="0" w:space="0" w:color="auto"/>
        <w:right w:val="none" w:sz="0" w:space="0" w:color="auto"/>
      </w:divBdr>
    </w:div>
    <w:div w:id="1639725962">
      <w:bodyDiv w:val="1"/>
      <w:marLeft w:val="0"/>
      <w:marRight w:val="0"/>
      <w:marTop w:val="0"/>
      <w:marBottom w:val="0"/>
      <w:divBdr>
        <w:top w:val="none" w:sz="0" w:space="0" w:color="auto"/>
        <w:left w:val="none" w:sz="0" w:space="0" w:color="auto"/>
        <w:bottom w:val="none" w:sz="0" w:space="0" w:color="auto"/>
        <w:right w:val="none" w:sz="0" w:space="0" w:color="auto"/>
      </w:divBdr>
    </w:div>
    <w:div w:id="1640963587">
      <w:bodyDiv w:val="1"/>
      <w:marLeft w:val="0"/>
      <w:marRight w:val="0"/>
      <w:marTop w:val="0"/>
      <w:marBottom w:val="0"/>
      <w:divBdr>
        <w:top w:val="none" w:sz="0" w:space="0" w:color="auto"/>
        <w:left w:val="none" w:sz="0" w:space="0" w:color="auto"/>
        <w:bottom w:val="none" w:sz="0" w:space="0" w:color="auto"/>
        <w:right w:val="none" w:sz="0" w:space="0" w:color="auto"/>
      </w:divBdr>
    </w:div>
    <w:div w:id="1642922434">
      <w:bodyDiv w:val="1"/>
      <w:marLeft w:val="0"/>
      <w:marRight w:val="0"/>
      <w:marTop w:val="0"/>
      <w:marBottom w:val="0"/>
      <w:divBdr>
        <w:top w:val="none" w:sz="0" w:space="0" w:color="auto"/>
        <w:left w:val="none" w:sz="0" w:space="0" w:color="auto"/>
        <w:bottom w:val="none" w:sz="0" w:space="0" w:color="auto"/>
        <w:right w:val="none" w:sz="0" w:space="0" w:color="auto"/>
      </w:divBdr>
    </w:div>
    <w:div w:id="1643534392">
      <w:bodyDiv w:val="1"/>
      <w:marLeft w:val="0"/>
      <w:marRight w:val="0"/>
      <w:marTop w:val="0"/>
      <w:marBottom w:val="0"/>
      <w:divBdr>
        <w:top w:val="none" w:sz="0" w:space="0" w:color="auto"/>
        <w:left w:val="none" w:sz="0" w:space="0" w:color="auto"/>
        <w:bottom w:val="none" w:sz="0" w:space="0" w:color="auto"/>
        <w:right w:val="none" w:sz="0" w:space="0" w:color="auto"/>
      </w:divBdr>
    </w:div>
    <w:div w:id="1644432971">
      <w:bodyDiv w:val="1"/>
      <w:marLeft w:val="0"/>
      <w:marRight w:val="0"/>
      <w:marTop w:val="0"/>
      <w:marBottom w:val="0"/>
      <w:divBdr>
        <w:top w:val="none" w:sz="0" w:space="0" w:color="auto"/>
        <w:left w:val="none" w:sz="0" w:space="0" w:color="auto"/>
        <w:bottom w:val="none" w:sz="0" w:space="0" w:color="auto"/>
        <w:right w:val="none" w:sz="0" w:space="0" w:color="auto"/>
      </w:divBdr>
    </w:div>
    <w:div w:id="1644626579">
      <w:bodyDiv w:val="1"/>
      <w:marLeft w:val="0"/>
      <w:marRight w:val="0"/>
      <w:marTop w:val="0"/>
      <w:marBottom w:val="0"/>
      <w:divBdr>
        <w:top w:val="none" w:sz="0" w:space="0" w:color="auto"/>
        <w:left w:val="none" w:sz="0" w:space="0" w:color="auto"/>
        <w:bottom w:val="none" w:sz="0" w:space="0" w:color="auto"/>
        <w:right w:val="none" w:sz="0" w:space="0" w:color="auto"/>
      </w:divBdr>
    </w:div>
    <w:div w:id="1646085955">
      <w:bodyDiv w:val="1"/>
      <w:marLeft w:val="0"/>
      <w:marRight w:val="0"/>
      <w:marTop w:val="0"/>
      <w:marBottom w:val="0"/>
      <w:divBdr>
        <w:top w:val="none" w:sz="0" w:space="0" w:color="auto"/>
        <w:left w:val="none" w:sz="0" w:space="0" w:color="auto"/>
        <w:bottom w:val="none" w:sz="0" w:space="0" w:color="auto"/>
        <w:right w:val="none" w:sz="0" w:space="0" w:color="auto"/>
      </w:divBdr>
    </w:div>
    <w:div w:id="1646735696">
      <w:bodyDiv w:val="1"/>
      <w:marLeft w:val="0"/>
      <w:marRight w:val="0"/>
      <w:marTop w:val="0"/>
      <w:marBottom w:val="0"/>
      <w:divBdr>
        <w:top w:val="none" w:sz="0" w:space="0" w:color="auto"/>
        <w:left w:val="none" w:sz="0" w:space="0" w:color="auto"/>
        <w:bottom w:val="none" w:sz="0" w:space="0" w:color="auto"/>
        <w:right w:val="none" w:sz="0" w:space="0" w:color="auto"/>
      </w:divBdr>
    </w:div>
    <w:div w:id="1646932451">
      <w:bodyDiv w:val="1"/>
      <w:marLeft w:val="0"/>
      <w:marRight w:val="0"/>
      <w:marTop w:val="0"/>
      <w:marBottom w:val="0"/>
      <w:divBdr>
        <w:top w:val="none" w:sz="0" w:space="0" w:color="auto"/>
        <w:left w:val="none" w:sz="0" w:space="0" w:color="auto"/>
        <w:bottom w:val="none" w:sz="0" w:space="0" w:color="auto"/>
        <w:right w:val="none" w:sz="0" w:space="0" w:color="auto"/>
      </w:divBdr>
    </w:div>
    <w:div w:id="1647591996">
      <w:bodyDiv w:val="1"/>
      <w:marLeft w:val="0"/>
      <w:marRight w:val="0"/>
      <w:marTop w:val="0"/>
      <w:marBottom w:val="0"/>
      <w:divBdr>
        <w:top w:val="none" w:sz="0" w:space="0" w:color="auto"/>
        <w:left w:val="none" w:sz="0" w:space="0" w:color="auto"/>
        <w:bottom w:val="none" w:sz="0" w:space="0" w:color="auto"/>
        <w:right w:val="none" w:sz="0" w:space="0" w:color="auto"/>
      </w:divBdr>
    </w:div>
    <w:div w:id="1648313693">
      <w:bodyDiv w:val="1"/>
      <w:marLeft w:val="0"/>
      <w:marRight w:val="0"/>
      <w:marTop w:val="0"/>
      <w:marBottom w:val="0"/>
      <w:divBdr>
        <w:top w:val="none" w:sz="0" w:space="0" w:color="auto"/>
        <w:left w:val="none" w:sz="0" w:space="0" w:color="auto"/>
        <w:bottom w:val="none" w:sz="0" w:space="0" w:color="auto"/>
        <w:right w:val="none" w:sz="0" w:space="0" w:color="auto"/>
      </w:divBdr>
    </w:div>
    <w:div w:id="1648897041">
      <w:bodyDiv w:val="1"/>
      <w:marLeft w:val="0"/>
      <w:marRight w:val="0"/>
      <w:marTop w:val="0"/>
      <w:marBottom w:val="0"/>
      <w:divBdr>
        <w:top w:val="none" w:sz="0" w:space="0" w:color="auto"/>
        <w:left w:val="none" w:sz="0" w:space="0" w:color="auto"/>
        <w:bottom w:val="none" w:sz="0" w:space="0" w:color="auto"/>
        <w:right w:val="none" w:sz="0" w:space="0" w:color="auto"/>
      </w:divBdr>
    </w:div>
    <w:div w:id="1649164615">
      <w:bodyDiv w:val="1"/>
      <w:marLeft w:val="0"/>
      <w:marRight w:val="0"/>
      <w:marTop w:val="0"/>
      <w:marBottom w:val="0"/>
      <w:divBdr>
        <w:top w:val="none" w:sz="0" w:space="0" w:color="auto"/>
        <w:left w:val="none" w:sz="0" w:space="0" w:color="auto"/>
        <w:bottom w:val="none" w:sz="0" w:space="0" w:color="auto"/>
        <w:right w:val="none" w:sz="0" w:space="0" w:color="auto"/>
      </w:divBdr>
    </w:div>
    <w:div w:id="1649237516">
      <w:bodyDiv w:val="1"/>
      <w:marLeft w:val="0"/>
      <w:marRight w:val="0"/>
      <w:marTop w:val="0"/>
      <w:marBottom w:val="0"/>
      <w:divBdr>
        <w:top w:val="none" w:sz="0" w:space="0" w:color="auto"/>
        <w:left w:val="none" w:sz="0" w:space="0" w:color="auto"/>
        <w:bottom w:val="none" w:sz="0" w:space="0" w:color="auto"/>
        <w:right w:val="none" w:sz="0" w:space="0" w:color="auto"/>
      </w:divBdr>
    </w:div>
    <w:div w:id="1649476250">
      <w:bodyDiv w:val="1"/>
      <w:marLeft w:val="0"/>
      <w:marRight w:val="0"/>
      <w:marTop w:val="0"/>
      <w:marBottom w:val="0"/>
      <w:divBdr>
        <w:top w:val="none" w:sz="0" w:space="0" w:color="auto"/>
        <w:left w:val="none" w:sz="0" w:space="0" w:color="auto"/>
        <w:bottom w:val="none" w:sz="0" w:space="0" w:color="auto"/>
        <w:right w:val="none" w:sz="0" w:space="0" w:color="auto"/>
      </w:divBdr>
    </w:div>
    <w:div w:id="1650095479">
      <w:bodyDiv w:val="1"/>
      <w:marLeft w:val="0"/>
      <w:marRight w:val="0"/>
      <w:marTop w:val="0"/>
      <w:marBottom w:val="0"/>
      <w:divBdr>
        <w:top w:val="none" w:sz="0" w:space="0" w:color="auto"/>
        <w:left w:val="none" w:sz="0" w:space="0" w:color="auto"/>
        <w:bottom w:val="none" w:sz="0" w:space="0" w:color="auto"/>
        <w:right w:val="none" w:sz="0" w:space="0" w:color="auto"/>
      </w:divBdr>
    </w:div>
    <w:div w:id="1650136077">
      <w:bodyDiv w:val="1"/>
      <w:marLeft w:val="0"/>
      <w:marRight w:val="0"/>
      <w:marTop w:val="0"/>
      <w:marBottom w:val="0"/>
      <w:divBdr>
        <w:top w:val="none" w:sz="0" w:space="0" w:color="auto"/>
        <w:left w:val="none" w:sz="0" w:space="0" w:color="auto"/>
        <w:bottom w:val="none" w:sz="0" w:space="0" w:color="auto"/>
        <w:right w:val="none" w:sz="0" w:space="0" w:color="auto"/>
      </w:divBdr>
    </w:div>
    <w:div w:id="1651327739">
      <w:bodyDiv w:val="1"/>
      <w:marLeft w:val="0"/>
      <w:marRight w:val="0"/>
      <w:marTop w:val="0"/>
      <w:marBottom w:val="0"/>
      <w:divBdr>
        <w:top w:val="none" w:sz="0" w:space="0" w:color="auto"/>
        <w:left w:val="none" w:sz="0" w:space="0" w:color="auto"/>
        <w:bottom w:val="none" w:sz="0" w:space="0" w:color="auto"/>
        <w:right w:val="none" w:sz="0" w:space="0" w:color="auto"/>
      </w:divBdr>
    </w:div>
    <w:div w:id="1654065231">
      <w:bodyDiv w:val="1"/>
      <w:marLeft w:val="0"/>
      <w:marRight w:val="0"/>
      <w:marTop w:val="0"/>
      <w:marBottom w:val="0"/>
      <w:divBdr>
        <w:top w:val="none" w:sz="0" w:space="0" w:color="auto"/>
        <w:left w:val="none" w:sz="0" w:space="0" w:color="auto"/>
        <w:bottom w:val="none" w:sz="0" w:space="0" w:color="auto"/>
        <w:right w:val="none" w:sz="0" w:space="0" w:color="auto"/>
      </w:divBdr>
    </w:div>
    <w:div w:id="1654748754">
      <w:bodyDiv w:val="1"/>
      <w:marLeft w:val="0"/>
      <w:marRight w:val="0"/>
      <w:marTop w:val="0"/>
      <w:marBottom w:val="0"/>
      <w:divBdr>
        <w:top w:val="none" w:sz="0" w:space="0" w:color="auto"/>
        <w:left w:val="none" w:sz="0" w:space="0" w:color="auto"/>
        <w:bottom w:val="none" w:sz="0" w:space="0" w:color="auto"/>
        <w:right w:val="none" w:sz="0" w:space="0" w:color="auto"/>
      </w:divBdr>
    </w:div>
    <w:div w:id="1656378285">
      <w:bodyDiv w:val="1"/>
      <w:marLeft w:val="0"/>
      <w:marRight w:val="0"/>
      <w:marTop w:val="0"/>
      <w:marBottom w:val="0"/>
      <w:divBdr>
        <w:top w:val="none" w:sz="0" w:space="0" w:color="auto"/>
        <w:left w:val="none" w:sz="0" w:space="0" w:color="auto"/>
        <w:bottom w:val="none" w:sz="0" w:space="0" w:color="auto"/>
        <w:right w:val="none" w:sz="0" w:space="0" w:color="auto"/>
      </w:divBdr>
    </w:div>
    <w:div w:id="1656447435">
      <w:bodyDiv w:val="1"/>
      <w:marLeft w:val="0"/>
      <w:marRight w:val="0"/>
      <w:marTop w:val="0"/>
      <w:marBottom w:val="0"/>
      <w:divBdr>
        <w:top w:val="none" w:sz="0" w:space="0" w:color="auto"/>
        <w:left w:val="none" w:sz="0" w:space="0" w:color="auto"/>
        <w:bottom w:val="none" w:sz="0" w:space="0" w:color="auto"/>
        <w:right w:val="none" w:sz="0" w:space="0" w:color="auto"/>
      </w:divBdr>
    </w:div>
    <w:div w:id="1656489727">
      <w:bodyDiv w:val="1"/>
      <w:marLeft w:val="0"/>
      <w:marRight w:val="0"/>
      <w:marTop w:val="0"/>
      <w:marBottom w:val="0"/>
      <w:divBdr>
        <w:top w:val="none" w:sz="0" w:space="0" w:color="auto"/>
        <w:left w:val="none" w:sz="0" w:space="0" w:color="auto"/>
        <w:bottom w:val="none" w:sz="0" w:space="0" w:color="auto"/>
        <w:right w:val="none" w:sz="0" w:space="0" w:color="auto"/>
      </w:divBdr>
    </w:div>
    <w:div w:id="1657220800">
      <w:bodyDiv w:val="1"/>
      <w:marLeft w:val="0"/>
      <w:marRight w:val="0"/>
      <w:marTop w:val="0"/>
      <w:marBottom w:val="0"/>
      <w:divBdr>
        <w:top w:val="none" w:sz="0" w:space="0" w:color="auto"/>
        <w:left w:val="none" w:sz="0" w:space="0" w:color="auto"/>
        <w:bottom w:val="none" w:sz="0" w:space="0" w:color="auto"/>
        <w:right w:val="none" w:sz="0" w:space="0" w:color="auto"/>
      </w:divBdr>
    </w:div>
    <w:div w:id="1658924437">
      <w:bodyDiv w:val="1"/>
      <w:marLeft w:val="0"/>
      <w:marRight w:val="0"/>
      <w:marTop w:val="0"/>
      <w:marBottom w:val="0"/>
      <w:divBdr>
        <w:top w:val="none" w:sz="0" w:space="0" w:color="auto"/>
        <w:left w:val="none" w:sz="0" w:space="0" w:color="auto"/>
        <w:bottom w:val="none" w:sz="0" w:space="0" w:color="auto"/>
        <w:right w:val="none" w:sz="0" w:space="0" w:color="auto"/>
      </w:divBdr>
    </w:div>
    <w:div w:id="1659571804">
      <w:bodyDiv w:val="1"/>
      <w:marLeft w:val="0"/>
      <w:marRight w:val="0"/>
      <w:marTop w:val="0"/>
      <w:marBottom w:val="0"/>
      <w:divBdr>
        <w:top w:val="none" w:sz="0" w:space="0" w:color="auto"/>
        <w:left w:val="none" w:sz="0" w:space="0" w:color="auto"/>
        <w:bottom w:val="none" w:sz="0" w:space="0" w:color="auto"/>
        <w:right w:val="none" w:sz="0" w:space="0" w:color="auto"/>
      </w:divBdr>
    </w:div>
    <w:div w:id="1660307042">
      <w:bodyDiv w:val="1"/>
      <w:marLeft w:val="0"/>
      <w:marRight w:val="0"/>
      <w:marTop w:val="0"/>
      <w:marBottom w:val="0"/>
      <w:divBdr>
        <w:top w:val="none" w:sz="0" w:space="0" w:color="auto"/>
        <w:left w:val="none" w:sz="0" w:space="0" w:color="auto"/>
        <w:bottom w:val="none" w:sz="0" w:space="0" w:color="auto"/>
        <w:right w:val="none" w:sz="0" w:space="0" w:color="auto"/>
      </w:divBdr>
    </w:div>
    <w:div w:id="1661155263">
      <w:bodyDiv w:val="1"/>
      <w:marLeft w:val="0"/>
      <w:marRight w:val="0"/>
      <w:marTop w:val="0"/>
      <w:marBottom w:val="0"/>
      <w:divBdr>
        <w:top w:val="none" w:sz="0" w:space="0" w:color="auto"/>
        <w:left w:val="none" w:sz="0" w:space="0" w:color="auto"/>
        <w:bottom w:val="none" w:sz="0" w:space="0" w:color="auto"/>
        <w:right w:val="none" w:sz="0" w:space="0" w:color="auto"/>
      </w:divBdr>
    </w:div>
    <w:div w:id="1662536308">
      <w:bodyDiv w:val="1"/>
      <w:marLeft w:val="0"/>
      <w:marRight w:val="0"/>
      <w:marTop w:val="0"/>
      <w:marBottom w:val="0"/>
      <w:divBdr>
        <w:top w:val="none" w:sz="0" w:space="0" w:color="auto"/>
        <w:left w:val="none" w:sz="0" w:space="0" w:color="auto"/>
        <w:bottom w:val="none" w:sz="0" w:space="0" w:color="auto"/>
        <w:right w:val="none" w:sz="0" w:space="0" w:color="auto"/>
      </w:divBdr>
    </w:div>
    <w:div w:id="1665428215">
      <w:bodyDiv w:val="1"/>
      <w:marLeft w:val="0"/>
      <w:marRight w:val="0"/>
      <w:marTop w:val="0"/>
      <w:marBottom w:val="0"/>
      <w:divBdr>
        <w:top w:val="none" w:sz="0" w:space="0" w:color="auto"/>
        <w:left w:val="none" w:sz="0" w:space="0" w:color="auto"/>
        <w:bottom w:val="none" w:sz="0" w:space="0" w:color="auto"/>
        <w:right w:val="none" w:sz="0" w:space="0" w:color="auto"/>
      </w:divBdr>
    </w:div>
    <w:div w:id="1666740401">
      <w:bodyDiv w:val="1"/>
      <w:marLeft w:val="0"/>
      <w:marRight w:val="0"/>
      <w:marTop w:val="0"/>
      <w:marBottom w:val="0"/>
      <w:divBdr>
        <w:top w:val="none" w:sz="0" w:space="0" w:color="auto"/>
        <w:left w:val="none" w:sz="0" w:space="0" w:color="auto"/>
        <w:bottom w:val="none" w:sz="0" w:space="0" w:color="auto"/>
        <w:right w:val="none" w:sz="0" w:space="0" w:color="auto"/>
      </w:divBdr>
    </w:div>
    <w:div w:id="1666779242">
      <w:bodyDiv w:val="1"/>
      <w:marLeft w:val="0"/>
      <w:marRight w:val="0"/>
      <w:marTop w:val="0"/>
      <w:marBottom w:val="0"/>
      <w:divBdr>
        <w:top w:val="none" w:sz="0" w:space="0" w:color="auto"/>
        <w:left w:val="none" w:sz="0" w:space="0" w:color="auto"/>
        <w:bottom w:val="none" w:sz="0" w:space="0" w:color="auto"/>
        <w:right w:val="none" w:sz="0" w:space="0" w:color="auto"/>
      </w:divBdr>
    </w:div>
    <w:div w:id="1666929867">
      <w:bodyDiv w:val="1"/>
      <w:marLeft w:val="0"/>
      <w:marRight w:val="0"/>
      <w:marTop w:val="0"/>
      <w:marBottom w:val="0"/>
      <w:divBdr>
        <w:top w:val="none" w:sz="0" w:space="0" w:color="auto"/>
        <w:left w:val="none" w:sz="0" w:space="0" w:color="auto"/>
        <w:bottom w:val="none" w:sz="0" w:space="0" w:color="auto"/>
        <w:right w:val="none" w:sz="0" w:space="0" w:color="auto"/>
      </w:divBdr>
    </w:div>
    <w:div w:id="1667712238">
      <w:bodyDiv w:val="1"/>
      <w:marLeft w:val="0"/>
      <w:marRight w:val="0"/>
      <w:marTop w:val="0"/>
      <w:marBottom w:val="0"/>
      <w:divBdr>
        <w:top w:val="none" w:sz="0" w:space="0" w:color="auto"/>
        <w:left w:val="none" w:sz="0" w:space="0" w:color="auto"/>
        <w:bottom w:val="none" w:sz="0" w:space="0" w:color="auto"/>
        <w:right w:val="none" w:sz="0" w:space="0" w:color="auto"/>
      </w:divBdr>
    </w:div>
    <w:div w:id="1668558197">
      <w:bodyDiv w:val="1"/>
      <w:marLeft w:val="0"/>
      <w:marRight w:val="0"/>
      <w:marTop w:val="0"/>
      <w:marBottom w:val="0"/>
      <w:divBdr>
        <w:top w:val="none" w:sz="0" w:space="0" w:color="auto"/>
        <w:left w:val="none" w:sz="0" w:space="0" w:color="auto"/>
        <w:bottom w:val="none" w:sz="0" w:space="0" w:color="auto"/>
        <w:right w:val="none" w:sz="0" w:space="0" w:color="auto"/>
      </w:divBdr>
    </w:div>
    <w:div w:id="1669671368">
      <w:bodyDiv w:val="1"/>
      <w:marLeft w:val="0"/>
      <w:marRight w:val="0"/>
      <w:marTop w:val="0"/>
      <w:marBottom w:val="0"/>
      <w:divBdr>
        <w:top w:val="none" w:sz="0" w:space="0" w:color="auto"/>
        <w:left w:val="none" w:sz="0" w:space="0" w:color="auto"/>
        <w:bottom w:val="none" w:sz="0" w:space="0" w:color="auto"/>
        <w:right w:val="none" w:sz="0" w:space="0" w:color="auto"/>
      </w:divBdr>
    </w:div>
    <w:div w:id="1670020439">
      <w:bodyDiv w:val="1"/>
      <w:marLeft w:val="0"/>
      <w:marRight w:val="0"/>
      <w:marTop w:val="0"/>
      <w:marBottom w:val="0"/>
      <w:divBdr>
        <w:top w:val="none" w:sz="0" w:space="0" w:color="auto"/>
        <w:left w:val="none" w:sz="0" w:space="0" w:color="auto"/>
        <w:bottom w:val="none" w:sz="0" w:space="0" w:color="auto"/>
        <w:right w:val="none" w:sz="0" w:space="0" w:color="auto"/>
      </w:divBdr>
    </w:div>
    <w:div w:id="1670863010">
      <w:bodyDiv w:val="1"/>
      <w:marLeft w:val="0"/>
      <w:marRight w:val="0"/>
      <w:marTop w:val="0"/>
      <w:marBottom w:val="0"/>
      <w:divBdr>
        <w:top w:val="none" w:sz="0" w:space="0" w:color="auto"/>
        <w:left w:val="none" w:sz="0" w:space="0" w:color="auto"/>
        <w:bottom w:val="none" w:sz="0" w:space="0" w:color="auto"/>
        <w:right w:val="none" w:sz="0" w:space="0" w:color="auto"/>
      </w:divBdr>
    </w:div>
    <w:div w:id="1672291666">
      <w:bodyDiv w:val="1"/>
      <w:marLeft w:val="0"/>
      <w:marRight w:val="0"/>
      <w:marTop w:val="0"/>
      <w:marBottom w:val="0"/>
      <w:divBdr>
        <w:top w:val="none" w:sz="0" w:space="0" w:color="auto"/>
        <w:left w:val="none" w:sz="0" w:space="0" w:color="auto"/>
        <w:bottom w:val="none" w:sz="0" w:space="0" w:color="auto"/>
        <w:right w:val="none" w:sz="0" w:space="0" w:color="auto"/>
      </w:divBdr>
    </w:div>
    <w:div w:id="1672483293">
      <w:bodyDiv w:val="1"/>
      <w:marLeft w:val="0"/>
      <w:marRight w:val="0"/>
      <w:marTop w:val="0"/>
      <w:marBottom w:val="0"/>
      <w:divBdr>
        <w:top w:val="none" w:sz="0" w:space="0" w:color="auto"/>
        <w:left w:val="none" w:sz="0" w:space="0" w:color="auto"/>
        <w:bottom w:val="none" w:sz="0" w:space="0" w:color="auto"/>
        <w:right w:val="none" w:sz="0" w:space="0" w:color="auto"/>
      </w:divBdr>
    </w:div>
    <w:div w:id="1673026065">
      <w:bodyDiv w:val="1"/>
      <w:marLeft w:val="0"/>
      <w:marRight w:val="0"/>
      <w:marTop w:val="0"/>
      <w:marBottom w:val="0"/>
      <w:divBdr>
        <w:top w:val="none" w:sz="0" w:space="0" w:color="auto"/>
        <w:left w:val="none" w:sz="0" w:space="0" w:color="auto"/>
        <w:bottom w:val="none" w:sz="0" w:space="0" w:color="auto"/>
        <w:right w:val="none" w:sz="0" w:space="0" w:color="auto"/>
      </w:divBdr>
    </w:div>
    <w:div w:id="1673684813">
      <w:bodyDiv w:val="1"/>
      <w:marLeft w:val="0"/>
      <w:marRight w:val="0"/>
      <w:marTop w:val="0"/>
      <w:marBottom w:val="0"/>
      <w:divBdr>
        <w:top w:val="none" w:sz="0" w:space="0" w:color="auto"/>
        <w:left w:val="none" w:sz="0" w:space="0" w:color="auto"/>
        <w:bottom w:val="none" w:sz="0" w:space="0" w:color="auto"/>
        <w:right w:val="none" w:sz="0" w:space="0" w:color="auto"/>
      </w:divBdr>
    </w:div>
    <w:div w:id="1675301190">
      <w:bodyDiv w:val="1"/>
      <w:marLeft w:val="0"/>
      <w:marRight w:val="0"/>
      <w:marTop w:val="0"/>
      <w:marBottom w:val="0"/>
      <w:divBdr>
        <w:top w:val="none" w:sz="0" w:space="0" w:color="auto"/>
        <w:left w:val="none" w:sz="0" w:space="0" w:color="auto"/>
        <w:bottom w:val="none" w:sz="0" w:space="0" w:color="auto"/>
        <w:right w:val="none" w:sz="0" w:space="0" w:color="auto"/>
      </w:divBdr>
    </w:div>
    <w:div w:id="1675451173">
      <w:bodyDiv w:val="1"/>
      <w:marLeft w:val="0"/>
      <w:marRight w:val="0"/>
      <w:marTop w:val="0"/>
      <w:marBottom w:val="0"/>
      <w:divBdr>
        <w:top w:val="none" w:sz="0" w:space="0" w:color="auto"/>
        <w:left w:val="none" w:sz="0" w:space="0" w:color="auto"/>
        <w:bottom w:val="none" w:sz="0" w:space="0" w:color="auto"/>
        <w:right w:val="none" w:sz="0" w:space="0" w:color="auto"/>
      </w:divBdr>
    </w:div>
    <w:div w:id="1678271998">
      <w:bodyDiv w:val="1"/>
      <w:marLeft w:val="0"/>
      <w:marRight w:val="0"/>
      <w:marTop w:val="0"/>
      <w:marBottom w:val="0"/>
      <w:divBdr>
        <w:top w:val="none" w:sz="0" w:space="0" w:color="auto"/>
        <w:left w:val="none" w:sz="0" w:space="0" w:color="auto"/>
        <w:bottom w:val="none" w:sz="0" w:space="0" w:color="auto"/>
        <w:right w:val="none" w:sz="0" w:space="0" w:color="auto"/>
      </w:divBdr>
    </w:div>
    <w:div w:id="1679036335">
      <w:bodyDiv w:val="1"/>
      <w:marLeft w:val="0"/>
      <w:marRight w:val="0"/>
      <w:marTop w:val="0"/>
      <w:marBottom w:val="0"/>
      <w:divBdr>
        <w:top w:val="none" w:sz="0" w:space="0" w:color="auto"/>
        <w:left w:val="none" w:sz="0" w:space="0" w:color="auto"/>
        <w:bottom w:val="none" w:sz="0" w:space="0" w:color="auto"/>
        <w:right w:val="none" w:sz="0" w:space="0" w:color="auto"/>
      </w:divBdr>
    </w:div>
    <w:div w:id="1679888204">
      <w:bodyDiv w:val="1"/>
      <w:marLeft w:val="0"/>
      <w:marRight w:val="0"/>
      <w:marTop w:val="0"/>
      <w:marBottom w:val="0"/>
      <w:divBdr>
        <w:top w:val="none" w:sz="0" w:space="0" w:color="auto"/>
        <w:left w:val="none" w:sz="0" w:space="0" w:color="auto"/>
        <w:bottom w:val="none" w:sz="0" w:space="0" w:color="auto"/>
        <w:right w:val="none" w:sz="0" w:space="0" w:color="auto"/>
      </w:divBdr>
    </w:div>
    <w:div w:id="1680542970">
      <w:bodyDiv w:val="1"/>
      <w:marLeft w:val="0"/>
      <w:marRight w:val="0"/>
      <w:marTop w:val="0"/>
      <w:marBottom w:val="0"/>
      <w:divBdr>
        <w:top w:val="none" w:sz="0" w:space="0" w:color="auto"/>
        <w:left w:val="none" w:sz="0" w:space="0" w:color="auto"/>
        <w:bottom w:val="none" w:sz="0" w:space="0" w:color="auto"/>
        <w:right w:val="none" w:sz="0" w:space="0" w:color="auto"/>
      </w:divBdr>
    </w:div>
    <w:div w:id="1680812328">
      <w:bodyDiv w:val="1"/>
      <w:marLeft w:val="0"/>
      <w:marRight w:val="0"/>
      <w:marTop w:val="0"/>
      <w:marBottom w:val="0"/>
      <w:divBdr>
        <w:top w:val="none" w:sz="0" w:space="0" w:color="auto"/>
        <w:left w:val="none" w:sz="0" w:space="0" w:color="auto"/>
        <w:bottom w:val="none" w:sz="0" w:space="0" w:color="auto"/>
        <w:right w:val="none" w:sz="0" w:space="0" w:color="auto"/>
      </w:divBdr>
    </w:div>
    <w:div w:id="1680891026">
      <w:bodyDiv w:val="1"/>
      <w:marLeft w:val="0"/>
      <w:marRight w:val="0"/>
      <w:marTop w:val="0"/>
      <w:marBottom w:val="0"/>
      <w:divBdr>
        <w:top w:val="none" w:sz="0" w:space="0" w:color="auto"/>
        <w:left w:val="none" w:sz="0" w:space="0" w:color="auto"/>
        <w:bottom w:val="none" w:sz="0" w:space="0" w:color="auto"/>
        <w:right w:val="none" w:sz="0" w:space="0" w:color="auto"/>
      </w:divBdr>
    </w:div>
    <w:div w:id="1681010751">
      <w:bodyDiv w:val="1"/>
      <w:marLeft w:val="0"/>
      <w:marRight w:val="0"/>
      <w:marTop w:val="0"/>
      <w:marBottom w:val="0"/>
      <w:divBdr>
        <w:top w:val="none" w:sz="0" w:space="0" w:color="auto"/>
        <w:left w:val="none" w:sz="0" w:space="0" w:color="auto"/>
        <w:bottom w:val="none" w:sz="0" w:space="0" w:color="auto"/>
        <w:right w:val="none" w:sz="0" w:space="0" w:color="auto"/>
      </w:divBdr>
    </w:div>
    <w:div w:id="1681470472">
      <w:bodyDiv w:val="1"/>
      <w:marLeft w:val="0"/>
      <w:marRight w:val="0"/>
      <w:marTop w:val="0"/>
      <w:marBottom w:val="0"/>
      <w:divBdr>
        <w:top w:val="none" w:sz="0" w:space="0" w:color="auto"/>
        <w:left w:val="none" w:sz="0" w:space="0" w:color="auto"/>
        <w:bottom w:val="none" w:sz="0" w:space="0" w:color="auto"/>
        <w:right w:val="none" w:sz="0" w:space="0" w:color="auto"/>
      </w:divBdr>
    </w:div>
    <w:div w:id="1681661646">
      <w:bodyDiv w:val="1"/>
      <w:marLeft w:val="0"/>
      <w:marRight w:val="0"/>
      <w:marTop w:val="0"/>
      <w:marBottom w:val="0"/>
      <w:divBdr>
        <w:top w:val="none" w:sz="0" w:space="0" w:color="auto"/>
        <w:left w:val="none" w:sz="0" w:space="0" w:color="auto"/>
        <w:bottom w:val="none" w:sz="0" w:space="0" w:color="auto"/>
        <w:right w:val="none" w:sz="0" w:space="0" w:color="auto"/>
      </w:divBdr>
    </w:div>
    <w:div w:id="1682582066">
      <w:bodyDiv w:val="1"/>
      <w:marLeft w:val="0"/>
      <w:marRight w:val="0"/>
      <w:marTop w:val="0"/>
      <w:marBottom w:val="0"/>
      <w:divBdr>
        <w:top w:val="none" w:sz="0" w:space="0" w:color="auto"/>
        <w:left w:val="none" w:sz="0" w:space="0" w:color="auto"/>
        <w:bottom w:val="none" w:sz="0" w:space="0" w:color="auto"/>
        <w:right w:val="none" w:sz="0" w:space="0" w:color="auto"/>
      </w:divBdr>
    </w:div>
    <w:div w:id="1683363116">
      <w:bodyDiv w:val="1"/>
      <w:marLeft w:val="0"/>
      <w:marRight w:val="0"/>
      <w:marTop w:val="0"/>
      <w:marBottom w:val="0"/>
      <w:divBdr>
        <w:top w:val="none" w:sz="0" w:space="0" w:color="auto"/>
        <w:left w:val="none" w:sz="0" w:space="0" w:color="auto"/>
        <w:bottom w:val="none" w:sz="0" w:space="0" w:color="auto"/>
        <w:right w:val="none" w:sz="0" w:space="0" w:color="auto"/>
      </w:divBdr>
    </w:div>
    <w:div w:id="1684700088">
      <w:bodyDiv w:val="1"/>
      <w:marLeft w:val="0"/>
      <w:marRight w:val="0"/>
      <w:marTop w:val="0"/>
      <w:marBottom w:val="0"/>
      <w:divBdr>
        <w:top w:val="none" w:sz="0" w:space="0" w:color="auto"/>
        <w:left w:val="none" w:sz="0" w:space="0" w:color="auto"/>
        <w:bottom w:val="none" w:sz="0" w:space="0" w:color="auto"/>
        <w:right w:val="none" w:sz="0" w:space="0" w:color="auto"/>
      </w:divBdr>
    </w:div>
    <w:div w:id="1685128611">
      <w:bodyDiv w:val="1"/>
      <w:marLeft w:val="0"/>
      <w:marRight w:val="0"/>
      <w:marTop w:val="0"/>
      <w:marBottom w:val="0"/>
      <w:divBdr>
        <w:top w:val="none" w:sz="0" w:space="0" w:color="auto"/>
        <w:left w:val="none" w:sz="0" w:space="0" w:color="auto"/>
        <w:bottom w:val="none" w:sz="0" w:space="0" w:color="auto"/>
        <w:right w:val="none" w:sz="0" w:space="0" w:color="auto"/>
      </w:divBdr>
    </w:div>
    <w:div w:id="1685936198">
      <w:bodyDiv w:val="1"/>
      <w:marLeft w:val="0"/>
      <w:marRight w:val="0"/>
      <w:marTop w:val="0"/>
      <w:marBottom w:val="0"/>
      <w:divBdr>
        <w:top w:val="none" w:sz="0" w:space="0" w:color="auto"/>
        <w:left w:val="none" w:sz="0" w:space="0" w:color="auto"/>
        <w:bottom w:val="none" w:sz="0" w:space="0" w:color="auto"/>
        <w:right w:val="none" w:sz="0" w:space="0" w:color="auto"/>
      </w:divBdr>
    </w:div>
    <w:div w:id="1686321628">
      <w:bodyDiv w:val="1"/>
      <w:marLeft w:val="0"/>
      <w:marRight w:val="0"/>
      <w:marTop w:val="0"/>
      <w:marBottom w:val="0"/>
      <w:divBdr>
        <w:top w:val="none" w:sz="0" w:space="0" w:color="auto"/>
        <w:left w:val="none" w:sz="0" w:space="0" w:color="auto"/>
        <w:bottom w:val="none" w:sz="0" w:space="0" w:color="auto"/>
        <w:right w:val="none" w:sz="0" w:space="0" w:color="auto"/>
      </w:divBdr>
    </w:div>
    <w:div w:id="1687098993">
      <w:bodyDiv w:val="1"/>
      <w:marLeft w:val="0"/>
      <w:marRight w:val="0"/>
      <w:marTop w:val="0"/>
      <w:marBottom w:val="0"/>
      <w:divBdr>
        <w:top w:val="none" w:sz="0" w:space="0" w:color="auto"/>
        <w:left w:val="none" w:sz="0" w:space="0" w:color="auto"/>
        <w:bottom w:val="none" w:sz="0" w:space="0" w:color="auto"/>
        <w:right w:val="none" w:sz="0" w:space="0" w:color="auto"/>
      </w:divBdr>
    </w:div>
    <w:div w:id="1689284486">
      <w:bodyDiv w:val="1"/>
      <w:marLeft w:val="0"/>
      <w:marRight w:val="0"/>
      <w:marTop w:val="0"/>
      <w:marBottom w:val="0"/>
      <w:divBdr>
        <w:top w:val="none" w:sz="0" w:space="0" w:color="auto"/>
        <w:left w:val="none" w:sz="0" w:space="0" w:color="auto"/>
        <w:bottom w:val="none" w:sz="0" w:space="0" w:color="auto"/>
        <w:right w:val="none" w:sz="0" w:space="0" w:color="auto"/>
      </w:divBdr>
    </w:div>
    <w:div w:id="1689985756">
      <w:bodyDiv w:val="1"/>
      <w:marLeft w:val="0"/>
      <w:marRight w:val="0"/>
      <w:marTop w:val="0"/>
      <w:marBottom w:val="0"/>
      <w:divBdr>
        <w:top w:val="none" w:sz="0" w:space="0" w:color="auto"/>
        <w:left w:val="none" w:sz="0" w:space="0" w:color="auto"/>
        <w:bottom w:val="none" w:sz="0" w:space="0" w:color="auto"/>
        <w:right w:val="none" w:sz="0" w:space="0" w:color="auto"/>
      </w:divBdr>
    </w:div>
    <w:div w:id="1690372126">
      <w:bodyDiv w:val="1"/>
      <w:marLeft w:val="0"/>
      <w:marRight w:val="0"/>
      <w:marTop w:val="0"/>
      <w:marBottom w:val="0"/>
      <w:divBdr>
        <w:top w:val="none" w:sz="0" w:space="0" w:color="auto"/>
        <w:left w:val="none" w:sz="0" w:space="0" w:color="auto"/>
        <w:bottom w:val="none" w:sz="0" w:space="0" w:color="auto"/>
        <w:right w:val="none" w:sz="0" w:space="0" w:color="auto"/>
      </w:divBdr>
    </w:div>
    <w:div w:id="1691686939">
      <w:bodyDiv w:val="1"/>
      <w:marLeft w:val="0"/>
      <w:marRight w:val="0"/>
      <w:marTop w:val="0"/>
      <w:marBottom w:val="0"/>
      <w:divBdr>
        <w:top w:val="none" w:sz="0" w:space="0" w:color="auto"/>
        <w:left w:val="none" w:sz="0" w:space="0" w:color="auto"/>
        <w:bottom w:val="none" w:sz="0" w:space="0" w:color="auto"/>
        <w:right w:val="none" w:sz="0" w:space="0" w:color="auto"/>
      </w:divBdr>
    </w:div>
    <w:div w:id="1692217340">
      <w:bodyDiv w:val="1"/>
      <w:marLeft w:val="0"/>
      <w:marRight w:val="0"/>
      <w:marTop w:val="0"/>
      <w:marBottom w:val="0"/>
      <w:divBdr>
        <w:top w:val="none" w:sz="0" w:space="0" w:color="auto"/>
        <w:left w:val="none" w:sz="0" w:space="0" w:color="auto"/>
        <w:bottom w:val="none" w:sz="0" w:space="0" w:color="auto"/>
        <w:right w:val="none" w:sz="0" w:space="0" w:color="auto"/>
      </w:divBdr>
    </w:div>
    <w:div w:id="1692950784">
      <w:bodyDiv w:val="1"/>
      <w:marLeft w:val="0"/>
      <w:marRight w:val="0"/>
      <w:marTop w:val="0"/>
      <w:marBottom w:val="0"/>
      <w:divBdr>
        <w:top w:val="none" w:sz="0" w:space="0" w:color="auto"/>
        <w:left w:val="none" w:sz="0" w:space="0" w:color="auto"/>
        <w:bottom w:val="none" w:sz="0" w:space="0" w:color="auto"/>
        <w:right w:val="none" w:sz="0" w:space="0" w:color="auto"/>
      </w:divBdr>
    </w:div>
    <w:div w:id="1693720607">
      <w:bodyDiv w:val="1"/>
      <w:marLeft w:val="0"/>
      <w:marRight w:val="0"/>
      <w:marTop w:val="0"/>
      <w:marBottom w:val="0"/>
      <w:divBdr>
        <w:top w:val="none" w:sz="0" w:space="0" w:color="auto"/>
        <w:left w:val="none" w:sz="0" w:space="0" w:color="auto"/>
        <w:bottom w:val="none" w:sz="0" w:space="0" w:color="auto"/>
        <w:right w:val="none" w:sz="0" w:space="0" w:color="auto"/>
      </w:divBdr>
    </w:div>
    <w:div w:id="1693920191">
      <w:bodyDiv w:val="1"/>
      <w:marLeft w:val="0"/>
      <w:marRight w:val="0"/>
      <w:marTop w:val="0"/>
      <w:marBottom w:val="0"/>
      <w:divBdr>
        <w:top w:val="none" w:sz="0" w:space="0" w:color="auto"/>
        <w:left w:val="none" w:sz="0" w:space="0" w:color="auto"/>
        <w:bottom w:val="none" w:sz="0" w:space="0" w:color="auto"/>
        <w:right w:val="none" w:sz="0" w:space="0" w:color="auto"/>
      </w:divBdr>
    </w:div>
    <w:div w:id="1694575309">
      <w:bodyDiv w:val="1"/>
      <w:marLeft w:val="0"/>
      <w:marRight w:val="0"/>
      <w:marTop w:val="0"/>
      <w:marBottom w:val="0"/>
      <w:divBdr>
        <w:top w:val="none" w:sz="0" w:space="0" w:color="auto"/>
        <w:left w:val="none" w:sz="0" w:space="0" w:color="auto"/>
        <w:bottom w:val="none" w:sz="0" w:space="0" w:color="auto"/>
        <w:right w:val="none" w:sz="0" w:space="0" w:color="auto"/>
      </w:divBdr>
    </w:div>
    <w:div w:id="1694723863">
      <w:bodyDiv w:val="1"/>
      <w:marLeft w:val="0"/>
      <w:marRight w:val="0"/>
      <w:marTop w:val="0"/>
      <w:marBottom w:val="0"/>
      <w:divBdr>
        <w:top w:val="none" w:sz="0" w:space="0" w:color="auto"/>
        <w:left w:val="none" w:sz="0" w:space="0" w:color="auto"/>
        <w:bottom w:val="none" w:sz="0" w:space="0" w:color="auto"/>
        <w:right w:val="none" w:sz="0" w:space="0" w:color="auto"/>
      </w:divBdr>
    </w:div>
    <w:div w:id="1694960556">
      <w:bodyDiv w:val="1"/>
      <w:marLeft w:val="0"/>
      <w:marRight w:val="0"/>
      <w:marTop w:val="0"/>
      <w:marBottom w:val="0"/>
      <w:divBdr>
        <w:top w:val="none" w:sz="0" w:space="0" w:color="auto"/>
        <w:left w:val="none" w:sz="0" w:space="0" w:color="auto"/>
        <w:bottom w:val="none" w:sz="0" w:space="0" w:color="auto"/>
        <w:right w:val="none" w:sz="0" w:space="0" w:color="auto"/>
      </w:divBdr>
    </w:div>
    <w:div w:id="1695884653">
      <w:bodyDiv w:val="1"/>
      <w:marLeft w:val="0"/>
      <w:marRight w:val="0"/>
      <w:marTop w:val="0"/>
      <w:marBottom w:val="0"/>
      <w:divBdr>
        <w:top w:val="none" w:sz="0" w:space="0" w:color="auto"/>
        <w:left w:val="none" w:sz="0" w:space="0" w:color="auto"/>
        <w:bottom w:val="none" w:sz="0" w:space="0" w:color="auto"/>
        <w:right w:val="none" w:sz="0" w:space="0" w:color="auto"/>
      </w:divBdr>
    </w:div>
    <w:div w:id="1696156926">
      <w:bodyDiv w:val="1"/>
      <w:marLeft w:val="0"/>
      <w:marRight w:val="0"/>
      <w:marTop w:val="0"/>
      <w:marBottom w:val="0"/>
      <w:divBdr>
        <w:top w:val="none" w:sz="0" w:space="0" w:color="auto"/>
        <w:left w:val="none" w:sz="0" w:space="0" w:color="auto"/>
        <w:bottom w:val="none" w:sz="0" w:space="0" w:color="auto"/>
        <w:right w:val="none" w:sz="0" w:space="0" w:color="auto"/>
      </w:divBdr>
    </w:div>
    <w:div w:id="1696274023">
      <w:bodyDiv w:val="1"/>
      <w:marLeft w:val="0"/>
      <w:marRight w:val="0"/>
      <w:marTop w:val="0"/>
      <w:marBottom w:val="0"/>
      <w:divBdr>
        <w:top w:val="none" w:sz="0" w:space="0" w:color="auto"/>
        <w:left w:val="none" w:sz="0" w:space="0" w:color="auto"/>
        <w:bottom w:val="none" w:sz="0" w:space="0" w:color="auto"/>
        <w:right w:val="none" w:sz="0" w:space="0" w:color="auto"/>
      </w:divBdr>
    </w:div>
    <w:div w:id="1696492613">
      <w:bodyDiv w:val="1"/>
      <w:marLeft w:val="0"/>
      <w:marRight w:val="0"/>
      <w:marTop w:val="0"/>
      <w:marBottom w:val="0"/>
      <w:divBdr>
        <w:top w:val="none" w:sz="0" w:space="0" w:color="auto"/>
        <w:left w:val="none" w:sz="0" w:space="0" w:color="auto"/>
        <w:bottom w:val="none" w:sz="0" w:space="0" w:color="auto"/>
        <w:right w:val="none" w:sz="0" w:space="0" w:color="auto"/>
      </w:divBdr>
    </w:div>
    <w:div w:id="1698695970">
      <w:bodyDiv w:val="1"/>
      <w:marLeft w:val="0"/>
      <w:marRight w:val="0"/>
      <w:marTop w:val="0"/>
      <w:marBottom w:val="0"/>
      <w:divBdr>
        <w:top w:val="none" w:sz="0" w:space="0" w:color="auto"/>
        <w:left w:val="none" w:sz="0" w:space="0" w:color="auto"/>
        <w:bottom w:val="none" w:sz="0" w:space="0" w:color="auto"/>
        <w:right w:val="none" w:sz="0" w:space="0" w:color="auto"/>
      </w:divBdr>
    </w:div>
    <w:div w:id="1699164214">
      <w:bodyDiv w:val="1"/>
      <w:marLeft w:val="0"/>
      <w:marRight w:val="0"/>
      <w:marTop w:val="0"/>
      <w:marBottom w:val="0"/>
      <w:divBdr>
        <w:top w:val="none" w:sz="0" w:space="0" w:color="auto"/>
        <w:left w:val="none" w:sz="0" w:space="0" w:color="auto"/>
        <w:bottom w:val="none" w:sz="0" w:space="0" w:color="auto"/>
        <w:right w:val="none" w:sz="0" w:space="0" w:color="auto"/>
      </w:divBdr>
    </w:div>
    <w:div w:id="1699236499">
      <w:bodyDiv w:val="1"/>
      <w:marLeft w:val="0"/>
      <w:marRight w:val="0"/>
      <w:marTop w:val="0"/>
      <w:marBottom w:val="0"/>
      <w:divBdr>
        <w:top w:val="none" w:sz="0" w:space="0" w:color="auto"/>
        <w:left w:val="none" w:sz="0" w:space="0" w:color="auto"/>
        <w:bottom w:val="none" w:sz="0" w:space="0" w:color="auto"/>
        <w:right w:val="none" w:sz="0" w:space="0" w:color="auto"/>
      </w:divBdr>
    </w:div>
    <w:div w:id="1700856811">
      <w:bodyDiv w:val="1"/>
      <w:marLeft w:val="0"/>
      <w:marRight w:val="0"/>
      <w:marTop w:val="0"/>
      <w:marBottom w:val="0"/>
      <w:divBdr>
        <w:top w:val="none" w:sz="0" w:space="0" w:color="auto"/>
        <w:left w:val="none" w:sz="0" w:space="0" w:color="auto"/>
        <w:bottom w:val="none" w:sz="0" w:space="0" w:color="auto"/>
        <w:right w:val="none" w:sz="0" w:space="0" w:color="auto"/>
      </w:divBdr>
    </w:div>
    <w:div w:id="1701465657">
      <w:bodyDiv w:val="1"/>
      <w:marLeft w:val="0"/>
      <w:marRight w:val="0"/>
      <w:marTop w:val="0"/>
      <w:marBottom w:val="0"/>
      <w:divBdr>
        <w:top w:val="none" w:sz="0" w:space="0" w:color="auto"/>
        <w:left w:val="none" w:sz="0" w:space="0" w:color="auto"/>
        <w:bottom w:val="none" w:sz="0" w:space="0" w:color="auto"/>
        <w:right w:val="none" w:sz="0" w:space="0" w:color="auto"/>
      </w:divBdr>
    </w:div>
    <w:div w:id="1701710318">
      <w:bodyDiv w:val="1"/>
      <w:marLeft w:val="0"/>
      <w:marRight w:val="0"/>
      <w:marTop w:val="0"/>
      <w:marBottom w:val="0"/>
      <w:divBdr>
        <w:top w:val="none" w:sz="0" w:space="0" w:color="auto"/>
        <w:left w:val="none" w:sz="0" w:space="0" w:color="auto"/>
        <w:bottom w:val="none" w:sz="0" w:space="0" w:color="auto"/>
        <w:right w:val="none" w:sz="0" w:space="0" w:color="auto"/>
      </w:divBdr>
    </w:div>
    <w:div w:id="1702776640">
      <w:bodyDiv w:val="1"/>
      <w:marLeft w:val="0"/>
      <w:marRight w:val="0"/>
      <w:marTop w:val="0"/>
      <w:marBottom w:val="0"/>
      <w:divBdr>
        <w:top w:val="none" w:sz="0" w:space="0" w:color="auto"/>
        <w:left w:val="none" w:sz="0" w:space="0" w:color="auto"/>
        <w:bottom w:val="none" w:sz="0" w:space="0" w:color="auto"/>
        <w:right w:val="none" w:sz="0" w:space="0" w:color="auto"/>
      </w:divBdr>
    </w:div>
    <w:div w:id="1702903026">
      <w:bodyDiv w:val="1"/>
      <w:marLeft w:val="0"/>
      <w:marRight w:val="0"/>
      <w:marTop w:val="0"/>
      <w:marBottom w:val="0"/>
      <w:divBdr>
        <w:top w:val="none" w:sz="0" w:space="0" w:color="auto"/>
        <w:left w:val="none" w:sz="0" w:space="0" w:color="auto"/>
        <w:bottom w:val="none" w:sz="0" w:space="0" w:color="auto"/>
        <w:right w:val="none" w:sz="0" w:space="0" w:color="auto"/>
      </w:divBdr>
    </w:div>
    <w:div w:id="1702975388">
      <w:bodyDiv w:val="1"/>
      <w:marLeft w:val="0"/>
      <w:marRight w:val="0"/>
      <w:marTop w:val="0"/>
      <w:marBottom w:val="0"/>
      <w:divBdr>
        <w:top w:val="none" w:sz="0" w:space="0" w:color="auto"/>
        <w:left w:val="none" w:sz="0" w:space="0" w:color="auto"/>
        <w:bottom w:val="none" w:sz="0" w:space="0" w:color="auto"/>
        <w:right w:val="none" w:sz="0" w:space="0" w:color="auto"/>
      </w:divBdr>
    </w:div>
    <w:div w:id="1703171859">
      <w:bodyDiv w:val="1"/>
      <w:marLeft w:val="0"/>
      <w:marRight w:val="0"/>
      <w:marTop w:val="0"/>
      <w:marBottom w:val="0"/>
      <w:divBdr>
        <w:top w:val="none" w:sz="0" w:space="0" w:color="auto"/>
        <w:left w:val="none" w:sz="0" w:space="0" w:color="auto"/>
        <w:bottom w:val="none" w:sz="0" w:space="0" w:color="auto"/>
        <w:right w:val="none" w:sz="0" w:space="0" w:color="auto"/>
      </w:divBdr>
    </w:div>
    <w:div w:id="1703243730">
      <w:bodyDiv w:val="1"/>
      <w:marLeft w:val="0"/>
      <w:marRight w:val="0"/>
      <w:marTop w:val="0"/>
      <w:marBottom w:val="0"/>
      <w:divBdr>
        <w:top w:val="none" w:sz="0" w:space="0" w:color="auto"/>
        <w:left w:val="none" w:sz="0" w:space="0" w:color="auto"/>
        <w:bottom w:val="none" w:sz="0" w:space="0" w:color="auto"/>
        <w:right w:val="none" w:sz="0" w:space="0" w:color="auto"/>
      </w:divBdr>
    </w:div>
    <w:div w:id="1703245459">
      <w:bodyDiv w:val="1"/>
      <w:marLeft w:val="0"/>
      <w:marRight w:val="0"/>
      <w:marTop w:val="0"/>
      <w:marBottom w:val="0"/>
      <w:divBdr>
        <w:top w:val="none" w:sz="0" w:space="0" w:color="auto"/>
        <w:left w:val="none" w:sz="0" w:space="0" w:color="auto"/>
        <w:bottom w:val="none" w:sz="0" w:space="0" w:color="auto"/>
        <w:right w:val="none" w:sz="0" w:space="0" w:color="auto"/>
      </w:divBdr>
    </w:div>
    <w:div w:id="1703751912">
      <w:bodyDiv w:val="1"/>
      <w:marLeft w:val="0"/>
      <w:marRight w:val="0"/>
      <w:marTop w:val="0"/>
      <w:marBottom w:val="0"/>
      <w:divBdr>
        <w:top w:val="none" w:sz="0" w:space="0" w:color="auto"/>
        <w:left w:val="none" w:sz="0" w:space="0" w:color="auto"/>
        <w:bottom w:val="none" w:sz="0" w:space="0" w:color="auto"/>
        <w:right w:val="none" w:sz="0" w:space="0" w:color="auto"/>
      </w:divBdr>
    </w:div>
    <w:div w:id="1703900946">
      <w:bodyDiv w:val="1"/>
      <w:marLeft w:val="0"/>
      <w:marRight w:val="0"/>
      <w:marTop w:val="0"/>
      <w:marBottom w:val="0"/>
      <w:divBdr>
        <w:top w:val="none" w:sz="0" w:space="0" w:color="auto"/>
        <w:left w:val="none" w:sz="0" w:space="0" w:color="auto"/>
        <w:bottom w:val="none" w:sz="0" w:space="0" w:color="auto"/>
        <w:right w:val="none" w:sz="0" w:space="0" w:color="auto"/>
      </w:divBdr>
    </w:div>
    <w:div w:id="1704399004">
      <w:bodyDiv w:val="1"/>
      <w:marLeft w:val="0"/>
      <w:marRight w:val="0"/>
      <w:marTop w:val="0"/>
      <w:marBottom w:val="0"/>
      <w:divBdr>
        <w:top w:val="none" w:sz="0" w:space="0" w:color="auto"/>
        <w:left w:val="none" w:sz="0" w:space="0" w:color="auto"/>
        <w:bottom w:val="none" w:sz="0" w:space="0" w:color="auto"/>
        <w:right w:val="none" w:sz="0" w:space="0" w:color="auto"/>
      </w:divBdr>
    </w:div>
    <w:div w:id="1705325509">
      <w:bodyDiv w:val="1"/>
      <w:marLeft w:val="0"/>
      <w:marRight w:val="0"/>
      <w:marTop w:val="0"/>
      <w:marBottom w:val="0"/>
      <w:divBdr>
        <w:top w:val="none" w:sz="0" w:space="0" w:color="auto"/>
        <w:left w:val="none" w:sz="0" w:space="0" w:color="auto"/>
        <w:bottom w:val="none" w:sz="0" w:space="0" w:color="auto"/>
        <w:right w:val="none" w:sz="0" w:space="0" w:color="auto"/>
      </w:divBdr>
    </w:div>
    <w:div w:id="1706370470">
      <w:bodyDiv w:val="1"/>
      <w:marLeft w:val="0"/>
      <w:marRight w:val="0"/>
      <w:marTop w:val="0"/>
      <w:marBottom w:val="0"/>
      <w:divBdr>
        <w:top w:val="none" w:sz="0" w:space="0" w:color="auto"/>
        <w:left w:val="none" w:sz="0" w:space="0" w:color="auto"/>
        <w:bottom w:val="none" w:sz="0" w:space="0" w:color="auto"/>
        <w:right w:val="none" w:sz="0" w:space="0" w:color="auto"/>
      </w:divBdr>
    </w:div>
    <w:div w:id="1707562827">
      <w:bodyDiv w:val="1"/>
      <w:marLeft w:val="0"/>
      <w:marRight w:val="0"/>
      <w:marTop w:val="0"/>
      <w:marBottom w:val="0"/>
      <w:divBdr>
        <w:top w:val="none" w:sz="0" w:space="0" w:color="auto"/>
        <w:left w:val="none" w:sz="0" w:space="0" w:color="auto"/>
        <w:bottom w:val="none" w:sz="0" w:space="0" w:color="auto"/>
        <w:right w:val="none" w:sz="0" w:space="0" w:color="auto"/>
      </w:divBdr>
    </w:div>
    <w:div w:id="1707873489">
      <w:bodyDiv w:val="1"/>
      <w:marLeft w:val="0"/>
      <w:marRight w:val="0"/>
      <w:marTop w:val="0"/>
      <w:marBottom w:val="0"/>
      <w:divBdr>
        <w:top w:val="none" w:sz="0" w:space="0" w:color="auto"/>
        <w:left w:val="none" w:sz="0" w:space="0" w:color="auto"/>
        <w:bottom w:val="none" w:sz="0" w:space="0" w:color="auto"/>
        <w:right w:val="none" w:sz="0" w:space="0" w:color="auto"/>
      </w:divBdr>
    </w:div>
    <w:div w:id="1709454553">
      <w:bodyDiv w:val="1"/>
      <w:marLeft w:val="0"/>
      <w:marRight w:val="0"/>
      <w:marTop w:val="0"/>
      <w:marBottom w:val="0"/>
      <w:divBdr>
        <w:top w:val="none" w:sz="0" w:space="0" w:color="auto"/>
        <w:left w:val="none" w:sz="0" w:space="0" w:color="auto"/>
        <w:bottom w:val="none" w:sz="0" w:space="0" w:color="auto"/>
        <w:right w:val="none" w:sz="0" w:space="0" w:color="auto"/>
      </w:divBdr>
    </w:div>
    <w:div w:id="1711416318">
      <w:bodyDiv w:val="1"/>
      <w:marLeft w:val="0"/>
      <w:marRight w:val="0"/>
      <w:marTop w:val="0"/>
      <w:marBottom w:val="0"/>
      <w:divBdr>
        <w:top w:val="none" w:sz="0" w:space="0" w:color="auto"/>
        <w:left w:val="none" w:sz="0" w:space="0" w:color="auto"/>
        <w:bottom w:val="none" w:sz="0" w:space="0" w:color="auto"/>
        <w:right w:val="none" w:sz="0" w:space="0" w:color="auto"/>
      </w:divBdr>
    </w:div>
    <w:div w:id="1711421368">
      <w:bodyDiv w:val="1"/>
      <w:marLeft w:val="0"/>
      <w:marRight w:val="0"/>
      <w:marTop w:val="0"/>
      <w:marBottom w:val="0"/>
      <w:divBdr>
        <w:top w:val="none" w:sz="0" w:space="0" w:color="auto"/>
        <w:left w:val="none" w:sz="0" w:space="0" w:color="auto"/>
        <w:bottom w:val="none" w:sz="0" w:space="0" w:color="auto"/>
        <w:right w:val="none" w:sz="0" w:space="0" w:color="auto"/>
      </w:divBdr>
    </w:div>
    <w:div w:id="1711490240">
      <w:bodyDiv w:val="1"/>
      <w:marLeft w:val="0"/>
      <w:marRight w:val="0"/>
      <w:marTop w:val="0"/>
      <w:marBottom w:val="0"/>
      <w:divBdr>
        <w:top w:val="none" w:sz="0" w:space="0" w:color="auto"/>
        <w:left w:val="none" w:sz="0" w:space="0" w:color="auto"/>
        <w:bottom w:val="none" w:sz="0" w:space="0" w:color="auto"/>
        <w:right w:val="none" w:sz="0" w:space="0" w:color="auto"/>
      </w:divBdr>
    </w:div>
    <w:div w:id="1713260971">
      <w:bodyDiv w:val="1"/>
      <w:marLeft w:val="0"/>
      <w:marRight w:val="0"/>
      <w:marTop w:val="0"/>
      <w:marBottom w:val="0"/>
      <w:divBdr>
        <w:top w:val="none" w:sz="0" w:space="0" w:color="auto"/>
        <w:left w:val="none" w:sz="0" w:space="0" w:color="auto"/>
        <w:bottom w:val="none" w:sz="0" w:space="0" w:color="auto"/>
        <w:right w:val="none" w:sz="0" w:space="0" w:color="auto"/>
      </w:divBdr>
    </w:div>
    <w:div w:id="1714495710">
      <w:bodyDiv w:val="1"/>
      <w:marLeft w:val="0"/>
      <w:marRight w:val="0"/>
      <w:marTop w:val="0"/>
      <w:marBottom w:val="0"/>
      <w:divBdr>
        <w:top w:val="none" w:sz="0" w:space="0" w:color="auto"/>
        <w:left w:val="none" w:sz="0" w:space="0" w:color="auto"/>
        <w:bottom w:val="none" w:sz="0" w:space="0" w:color="auto"/>
        <w:right w:val="none" w:sz="0" w:space="0" w:color="auto"/>
      </w:divBdr>
    </w:div>
    <w:div w:id="1714697325">
      <w:bodyDiv w:val="1"/>
      <w:marLeft w:val="0"/>
      <w:marRight w:val="0"/>
      <w:marTop w:val="0"/>
      <w:marBottom w:val="0"/>
      <w:divBdr>
        <w:top w:val="none" w:sz="0" w:space="0" w:color="auto"/>
        <w:left w:val="none" w:sz="0" w:space="0" w:color="auto"/>
        <w:bottom w:val="none" w:sz="0" w:space="0" w:color="auto"/>
        <w:right w:val="none" w:sz="0" w:space="0" w:color="auto"/>
      </w:divBdr>
    </w:div>
    <w:div w:id="1714957330">
      <w:bodyDiv w:val="1"/>
      <w:marLeft w:val="0"/>
      <w:marRight w:val="0"/>
      <w:marTop w:val="0"/>
      <w:marBottom w:val="0"/>
      <w:divBdr>
        <w:top w:val="none" w:sz="0" w:space="0" w:color="auto"/>
        <w:left w:val="none" w:sz="0" w:space="0" w:color="auto"/>
        <w:bottom w:val="none" w:sz="0" w:space="0" w:color="auto"/>
        <w:right w:val="none" w:sz="0" w:space="0" w:color="auto"/>
      </w:divBdr>
    </w:div>
    <w:div w:id="1715037765">
      <w:bodyDiv w:val="1"/>
      <w:marLeft w:val="0"/>
      <w:marRight w:val="0"/>
      <w:marTop w:val="0"/>
      <w:marBottom w:val="0"/>
      <w:divBdr>
        <w:top w:val="none" w:sz="0" w:space="0" w:color="auto"/>
        <w:left w:val="none" w:sz="0" w:space="0" w:color="auto"/>
        <w:bottom w:val="none" w:sz="0" w:space="0" w:color="auto"/>
        <w:right w:val="none" w:sz="0" w:space="0" w:color="auto"/>
      </w:divBdr>
    </w:div>
    <w:div w:id="1715229816">
      <w:bodyDiv w:val="1"/>
      <w:marLeft w:val="0"/>
      <w:marRight w:val="0"/>
      <w:marTop w:val="0"/>
      <w:marBottom w:val="0"/>
      <w:divBdr>
        <w:top w:val="none" w:sz="0" w:space="0" w:color="auto"/>
        <w:left w:val="none" w:sz="0" w:space="0" w:color="auto"/>
        <w:bottom w:val="none" w:sz="0" w:space="0" w:color="auto"/>
        <w:right w:val="none" w:sz="0" w:space="0" w:color="auto"/>
      </w:divBdr>
    </w:div>
    <w:div w:id="1716394655">
      <w:bodyDiv w:val="1"/>
      <w:marLeft w:val="0"/>
      <w:marRight w:val="0"/>
      <w:marTop w:val="0"/>
      <w:marBottom w:val="0"/>
      <w:divBdr>
        <w:top w:val="none" w:sz="0" w:space="0" w:color="auto"/>
        <w:left w:val="none" w:sz="0" w:space="0" w:color="auto"/>
        <w:bottom w:val="none" w:sz="0" w:space="0" w:color="auto"/>
        <w:right w:val="none" w:sz="0" w:space="0" w:color="auto"/>
      </w:divBdr>
    </w:div>
    <w:div w:id="1717662957">
      <w:bodyDiv w:val="1"/>
      <w:marLeft w:val="0"/>
      <w:marRight w:val="0"/>
      <w:marTop w:val="0"/>
      <w:marBottom w:val="0"/>
      <w:divBdr>
        <w:top w:val="none" w:sz="0" w:space="0" w:color="auto"/>
        <w:left w:val="none" w:sz="0" w:space="0" w:color="auto"/>
        <w:bottom w:val="none" w:sz="0" w:space="0" w:color="auto"/>
        <w:right w:val="none" w:sz="0" w:space="0" w:color="auto"/>
      </w:divBdr>
    </w:div>
    <w:div w:id="1718046040">
      <w:bodyDiv w:val="1"/>
      <w:marLeft w:val="0"/>
      <w:marRight w:val="0"/>
      <w:marTop w:val="0"/>
      <w:marBottom w:val="0"/>
      <w:divBdr>
        <w:top w:val="none" w:sz="0" w:space="0" w:color="auto"/>
        <w:left w:val="none" w:sz="0" w:space="0" w:color="auto"/>
        <w:bottom w:val="none" w:sz="0" w:space="0" w:color="auto"/>
        <w:right w:val="none" w:sz="0" w:space="0" w:color="auto"/>
      </w:divBdr>
    </w:div>
    <w:div w:id="1718702225">
      <w:bodyDiv w:val="1"/>
      <w:marLeft w:val="0"/>
      <w:marRight w:val="0"/>
      <w:marTop w:val="0"/>
      <w:marBottom w:val="0"/>
      <w:divBdr>
        <w:top w:val="none" w:sz="0" w:space="0" w:color="auto"/>
        <w:left w:val="none" w:sz="0" w:space="0" w:color="auto"/>
        <w:bottom w:val="none" w:sz="0" w:space="0" w:color="auto"/>
        <w:right w:val="none" w:sz="0" w:space="0" w:color="auto"/>
      </w:divBdr>
    </w:div>
    <w:div w:id="1719014272">
      <w:bodyDiv w:val="1"/>
      <w:marLeft w:val="0"/>
      <w:marRight w:val="0"/>
      <w:marTop w:val="0"/>
      <w:marBottom w:val="0"/>
      <w:divBdr>
        <w:top w:val="none" w:sz="0" w:space="0" w:color="auto"/>
        <w:left w:val="none" w:sz="0" w:space="0" w:color="auto"/>
        <w:bottom w:val="none" w:sz="0" w:space="0" w:color="auto"/>
        <w:right w:val="none" w:sz="0" w:space="0" w:color="auto"/>
      </w:divBdr>
    </w:div>
    <w:div w:id="1719280592">
      <w:bodyDiv w:val="1"/>
      <w:marLeft w:val="0"/>
      <w:marRight w:val="0"/>
      <w:marTop w:val="0"/>
      <w:marBottom w:val="0"/>
      <w:divBdr>
        <w:top w:val="none" w:sz="0" w:space="0" w:color="auto"/>
        <w:left w:val="none" w:sz="0" w:space="0" w:color="auto"/>
        <w:bottom w:val="none" w:sz="0" w:space="0" w:color="auto"/>
        <w:right w:val="none" w:sz="0" w:space="0" w:color="auto"/>
      </w:divBdr>
    </w:div>
    <w:div w:id="1720130771">
      <w:bodyDiv w:val="1"/>
      <w:marLeft w:val="0"/>
      <w:marRight w:val="0"/>
      <w:marTop w:val="0"/>
      <w:marBottom w:val="0"/>
      <w:divBdr>
        <w:top w:val="none" w:sz="0" w:space="0" w:color="auto"/>
        <w:left w:val="none" w:sz="0" w:space="0" w:color="auto"/>
        <w:bottom w:val="none" w:sz="0" w:space="0" w:color="auto"/>
        <w:right w:val="none" w:sz="0" w:space="0" w:color="auto"/>
      </w:divBdr>
    </w:div>
    <w:div w:id="1720474070">
      <w:bodyDiv w:val="1"/>
      <w:marLeft w:val="0"/>
      <w:marRight w:val="0"/>
      <w:marTop w:val="0"/>
      <w:marBottom w:val="0"/>
      <w:divBdr>
        <w:top w:val="none" w:sz="0" w:space="0" w:color="auto"/>
        <w:left w:val="none" w:sz="0" w:space="0" w:color="auto"/>
        <w:bottom w:val="none" w:sz="0" w:space="0" w:color="auto"/>
        <w:right w:val="none" w:sz="0" w:space="0" w:color="auto"/>
      </w:divBdr>
    </w:div>
    <w:div w:id="1721437722">
      <w:bodyDiv w:val="1"/>
      <w:marLeft w:val="0"/>
      <w:marRight w:val="0"/>
      <w:marTop w:val="0"/>
      <w:marBottom w:val="0"/>
      <w:divBdr>
        <w:top w:val="none" w:sz="0" w:space="0" w:color="auto"/>
        <w:left w:val="none" w:sz="0" w:space="0" w:color="auto"/>
        <w:bottom w:val="none" w:sz="0" w:space="0" w:color="auto"/>
        <w:right w:val="none" w:sz="0" w:space="0" w:color="auto"/>
      </w:divBdr>
    </w:div>
    <w:div w:id="1721780225">
      <w:bodyDiv w:val="1"/>
      <w:marLeft w:val="0"/>
      <w:marRight w:val="0"/>
      <w:marTop w:val="0"/>
      <w:marBottom w:val="0"/>
      <w:divBdr>
        <w:top w:val="none" w:sz="0" w:space="0" w:color="auto"/>
        <w:left w:val="none" w:sz="0" w:space="0" w:color="auto"/>
        <w:bottom w:val="none" w:sz="0" w:space="0" w:color="auto"/>
        <w:right w:val="none" w:sz="0" w:space="0" w:color="auto"/>
      </w:divBdr>
    </w:div>
    <w:div w:id="1724283782">
      <w:bodyDiv w:val="1"/>
      <w:marLeft w:val="0"/>
      <w:marRight w:val="0"/>
      <w:marTop w:val="0"/>
      <w:marBottom w:val="0"/>
      <w:divBdr>
        <w:top w:val="none" w:sz="0" w:space="0" w:color="auto"/>
        <w:left w:val="none" w:sz="0" w:space="0" w:color="auto"/>
        <w:bottom w:val="none" w:sz="0" w:space="0" w:color="auto"/>
        <w:right w:val="none" w:sz="0" w:space="0" w:color="auto"/>
      </w:divBdr>
    </w:div>
    <w:div w:id="1725135022">
      <w:bodyDiv w:val="1"/>
      <w:marLeft w:val="0"/>
      <w:marRight w:val="0"/>
      <w:marTop w:val="0"/>
      <w:marBottom w:val="0"/>
      <w:divBdr>
        <w:top w:val="none" w:sz="0" w:space="0" w:color="auto"/>
        <w:left w:val="none" w:sz="0" w:space="0" w:color="auto"/>
        <w:bottom w:val="none" w:sz="0" w:space="0" w:color="auto"/>
        <w:right w:val="none" w:sz="0" w:space="0" w:color="auto"/>
      </w:divBdr>
    </w:div>
    <w:div w:id="1725176227">
      <w:bodyDiv w:val="1"/>
      <w:marLeft w:val="0"/>
      <w:marRight w:val="0"/>
      <w:marTop w:val="0"/>
      <w:marBottom w:val="0"/>
      <w:divBdr>
        <w:top w:val="none" w:sz="0" w:space="0" w:color="auto"/>
        <w:left w:val="none" w:sz="0" w:space="0" w:color="auto"/>
        <w:bottom w:val="none" w:sz="0" w:space="0" w:color="auto"/>
        <w:right w:val="none" w:sz="0" w:space="0" w:color="auto"/>
      </w:divBdr>
    </w:div>
    <w:div w:id="1725637352">
      <w:bodyDiv w:val="1"/>
      <w:marLeft w:val="0"/>
      <w:marRight w:val="0"/>
      <w:marTop w:val="0"/>
      <w:marBottom w:val="0"/>
      <w:divBdr>
        <w:top w:val="none" w:sz="0" w:space="0" w:color="auto"/>
        <w:left w:val="none" w:sz="0" w:space="0" w:color="auto"/>
        <w:bottom w:val="none" w:sz="0" w:space="0" w:color="auto"/>
        <w:right w:val="none" w:sz="0" w:space="0" w:color="auto"/>
      </w:divBdr>
    </w:div>
    <w:div w:id="1726029418">
      <w:bodyDiv w:val="1"/>
      <w:marLeft w:val="0"/>
      <w:marRight w:val="0"/>
      <w:marTop w:val="0"/>
      <w:marBottom w:val="0"/>
      <w:divBdr>
        <w:top w:val="none" w:sz="0" w:space="0" w:color="auto"/>
        <w:left w:val="none" w:sz="0" w:space="0" w:color="auto"/>
        <w:bottom w:val="none" w:sz="0" w:space="0" w:color="auto"/>
        <w:right w:val="none" w:sz="0" w:space="0" w:color="auto"/>
      </w:divBdr>
    </w:div>
    <w:div w:id="1727756449">
      <w:bodyDiv w:val="1"/>
      <w:marLeft w:val="0"/>
      <w:marRight w:val="0"/>
      <w:marTop w:val="0"/>
      <w:marBottom w:val="0"/>
      <w:divBdr>
        <w:top w:val="none" w:sz="0" w:space="0" w:color="auto"/>
        <w:left w:val="none" w:sz="0" w:space="0" w:color="auto"/>
        <w:bottom w:val="none" w:sz="0" w:space="0" w:color="auto"/>
        <w:right w:val="none" w:sz="0" w:space="0" w:color="auto"/>
      </w:divBdr>
    </w:div>
    <w:div w:id="1729067521">
      <w:bodyDiv w:val="1"/>
      <w:marLeft w:val="0"/>
      <w:marRight w:val="0"/>
      <w:marTop w:val="0"/>
      <w:marBottom w:val="0"/>
      <w:divBdr>
        <w:top w:val="none" w:sz="0" w:space="0" w:color="auto"/>
        <w:left w:val="none" w:sz="0" w:space="0" w:color="auto"/>
        <w:bottom w:val="none" w:sz="0" w:space="0" w:color="auto"/>
        <w:right w:val="none" w:sz="0" w:space="0" w:color="auto"/>
      </w:divBdr>
    </w:div>
    <w:div w:id="1729449242">
      <w:bodyDiv w:val="1"/>
      <w:marLeft w:val="0"/>
      <w:marRight w:val="0"/>
      <w:marTop w:val="0"/>
      <w:marBottom w:val="0"/>
      <w:divBdr>
        <w:top w:val="none" w:sz="0" w:space="0" w:color="auto"/>
        <w:left w:val="none" w:sz="0" w:space="0" w:color="auto"/>
        <w:bottom w:val="none" w:sz="0" w:space="0" w:color="auto"/>
        <w:right w:val="none" w:sz="0" w:space="0" w:color="auto"/>
      </w:divBdr>
    </w:div>
    <w:div w:id="1730377862">
      <w:bodyDiv w:val="1"/>
      <w:marLeft w:val="0"/>
      <w:marRight w:val="0"/>
      <w:marTop w:val="0"/>
      <w:marBottom w:val="0"/>
      <w:divBdr>
        <w:top w:val="none" w:sz="0" w:space="0" w:color="auto"/>
        <w:left w:val="none" w:sz="0" w:space="0" w:color="auto"/>
        <w:bottom w:val="none" w:sz="0" w:space="0" w:color="auto"/>
        <w:right w:val="none" w:sz="0" w:space="0" w:color="auto"/>
      </w:divBdr>
    </w:div>
    <w:div w:id="1730571285">
      <w:bodyDiv w:val="1"/>
      <w:marLeft w:val="0"/>
      <w:marRight w:val="0"/>
      <w:marTop w:val="0"/>
      <w:marBottom w:val="0"/>
      <w:divBdr>
        <w:top w:val="none" w:sz="0" w:space="0" w:color="auto"/>
        <w:left w:val="none" w:sz="0" w:space="0" w:color="auto"/>
        <w:bottom w:val="none" w:sz="0" w:space="0" w:color="auto"/>
        <w:right w:val="none" w:sz="0" w:space="0" w:color="auto"/>
      </w:divBdr>
    </w:div>
    <w:div w:id="1731152923">
      <w:bodyDiv w:val="1"/>
      <w:marLeft w:val="0"/>
      <w:marRight w:val="0"/>
      <w:marTop w:val="0"/>
      <w:marBottom w:val="0"/>
      <w:divBdr>
        <w:top w:val="none" w:sz="0" w:space="0" w:color="auto"/>
        <w:left w:val="none" w:sz="0" w:space="0" w:color="auto"/>
        <w:bottom w:val="none" w:sz="0" w:space="0" w:color="auto"/>
        <w:right w:val="none" w:sz="0" w:space="0" w:color="auto"/>
      </w:divBdr>
    </w:div>
    <w:div w:id="1731688136">
      <w:bodyDiv w:val="1"/>
      <w:marLeft w:val="0"/>
      <w:marRight w:val="0"/>
      <w:marTop w:val="0"/>
      <w:marBottom w:val="0"/>
      <w:divBdr>
        <w:top w:val="none" w:sz="0" w:space="0" w:color="auto"/>
        <w:left w:val="none" w:sz="0" w:space="0" w:color="auto"/>
        <w:bottom w:val="none" w:sz="0" w:space="0" w:color="auto"/>
        <w:right w:val="none" w:sz="0" w:space="0" w:color="auto"/>
      </w:divBdr>
    </w:div>
    <w:div w:id="1732197177">
      <w:bodyDiv w:val="1"/>
      <w:marLeft w:val="0"/>
      <w:marRight w:val="0"/>
      <w:marTop w:val="0"/>
      <w:marBottom w:val="0"/>
      <w:divBdr>
        <w:top w:val="none" w:sz="0" w:space="0" w:color="auto"/>
        <w:left w:val="none" w:sz="0" w:space="0" w:color="auto"/>
        <w:bottom w:val="none" w:sz="0" w:space="0" w:color="auto"/>
        <w:right w:val="none" w:sz="0" w:space="0" w:color="auto"/>
      </w:divBdr>
    </w:div>
    <w:div w:id="1733190811">
      <w:bodyDiv w:val="1"/>
      <w:marLeft w:val="0"/>
      <w:marRight w:val="0"/>
      <w:marTop w:val="0"/>
      <w:marBottom w:val="0"/>
      <w:divBdr>
        <w:top w:val="none" w:sz="0" w:space="0" w:color="auto"/>
        <w:left w:val="none" w:sz="0" w:space="0" w:color="auto"/>
        <w:bottom w:val="none" w:sz="0" w:space="0" w:color="auto"/>
        <w:right w:val="none" w:sz="0" w:space="0" w:color="auto"/>
      </w:divBdr>
    </w:div>
    <w:div w:id="1734304233">
      <w:bodyDiv w:val="1"/>
      <w:marLeft w:val="0"/>
      <w:marRight w:val="0"/>
      <w:marTop w:val="0"/>
      <w:marBottom w:val="0"/>
      <w:divBdr>
        <w:top w:val="none" w:sz="0" w:space="0" w:color="auto"/>
        <w:left w:val="none" w:sz="0" w:space="0" w:color="auto"/>
        <w:bottom w:val="none" w:sz="0" w:space="0" w:color="auto"/>
        <w:right w:val="none" w:sz="0" w:space="0" w:color="auto"/>
      </w:divBdr>
    </w:div>
    <w:div w:id="1735935603">
      <w:bodyDiv w:val="1"/>
      <w:marLeft w:val="0"/>
      <w:marRight w:val="0"/>
      <w:marTop w:val="0"/>
      <w:marBottom w:val="0"/>
      <w:divBdr>
        <w:top w:val="none" w:sz="0" w:space="0" w:color="auto"/>
        <w:left w:val="none" w:sz="0" w:space="0" w:color="auto"/>
        <w:bottom w:val="none" w:sz="0" w:space="0" w:color="auto"/>
        <w:right w:val="none" w:sz="0" w:space="0" w:color="auto"/>
      </w:divBdr>
    </w:div>
    <w:div w:id="1737049769">
      <w:bodyDiv w:val="1"/>
      <w:marLeft w:val="0"/>
      <w:marRight w:val="0"/>
      <w:marTop w:val="0"/>
      <w:marBottom w:val="0"/>
      <w:divBdr>
        <w:top w:val="none" w:sz="0" w:space="0" w:color="auto"/>
        <w:left w:val="none" w:sz="0" w:space="0" w:color="auto"/>
        <w:bottom w:val="none" w:sz="0" w:space="0" w:color="auto"/>
        <w:right w:val="none" w:sz="0" w:space="0" w:color="auto"/>
      </w:divBdr>
    </w:div>
    <w:div w:id="1737320360">
      <w:bodyDiv w:val="1"/>
      <w:marLeft w:val="0"/>
      <w:marRight w:val="0"/>
      <w:marTop w:val="0"/>
      <w:marBottom w:val="0"/>
      <w:divBdr>
        <w:top w:val="none" w:sz="0" w:space="0" w:color="auto"/>
        <w:left w:val="none" w:sz="0" w:space="0" w:color="auto"/>
        <w:bottom w:val="none" w:sz="0" w:space="0" w:color="auto"/>
        <w:right w:val="none" w:sz="0" w:space="0" w:color="auto"/>
      </w:divBdr>
    </w:div>
    <w:div w:id="1737628698">
      <w:bodyDiv w:val="1"/>
      <w:marLeft w:val="0"/>
      <w:marRight w:val="0"/>
      <w:marTop w:val="0"/>
      <w:marBottom w:val="0"/>
      <w:divBdr>
        <w:top w:val="none" w:sz="0" w:space="0" w:color="auto"/>
        <w:left w:val="none" w:sz="0" w:space="0" w:color="auto"/>
        <w:bottom w:val="none" w:sz="0" w:space="0" w:color="auto"/>
        <w:right w:val="none" w:sz="0" w:space="0" w:color="auto"/>
      </w:divBdr>
    </w:div>
    <w:div w:id="1737821929">
      <w:bodyDiv w:val="1"/>
      <w:marLeft w:val="0"/>
      <w:marRight w:val="0"/>
      <w:marTop w:val="0"/>
      <w:marBottom w:val="0"/>
      <w:divBdr>
        <w:top w:val="none" w:sz="0" w:space="0" w:color="auto"/>
        <w:left w:val="none" w:sz="0" w:space="0" w:color="auto"/>
        <w:bottom w:val="none" w:sz="0" w:space="0" w:color="auto"/>
        <w:right w:val="none" w:sz="0" w:space="0" w:color="auto"/>
      </w:divBdr>
    </w:div>
    <w:div w:id="1737976436">
      <w:bodyDiv w:val="1"/>
      <w:marLeft w:val="0"/>
      <w:marRight w:val="0"/>
      <w:marTop w:val="0"/>
      <w:marBottom w:val="0"/>
      <w:divBdr>
        <w:top w:val="none" w:sz="0" w:space="0" w:color="auto"/>
        <w:left w:val="none" w:sz="0" w:space="0" w:color="auto"/>
        <w:bottom w:val="none" w:sz="0" w:space="0" w:color="auto"/>
        <w:right w:val="none" w:sz="0" w:space="0" w:color="auto"/>
      </w:divBdr>
    </w:div>
    <w:div w:id="1738285623">
      <w:bodyDiv w:val="1"/>
      <w:marLeft w:val="0"/>
      <w:marRight w:val="0"/>
      <w:marTop w:val="0"/>
      <w:marBottom w:val="0"/>
      <w:divBdr>
        <w:top w:val="none" w:sz="0" w:space="0" w:color="auto"/>
        <w:left w:val="none" w:sz="0" w:space="0" w:color="auto"/>
        <w:bottom w:val="none" w:sz="0" w:space="0" w:color="auto"/>
        <w:right w:val="none" w:sz="0" w:space="0" w:color="auto"/>
      </w:divBdr>
    </w:div>
    <w:div w:id="1738358989">
      <w:bodyDiv w:val="1"/>
      <w:marLeft w:val="0"/>
      <w:marRight w:val="0"/>
      <w:marTop w:val="0"/>
      <w:marBottom w:val="0"/>
      <w:divBdr>
        <w:top w:val="none" w:sz="0" w:space="0" w:color="auto"/>
        <w:left w:val="none" w:sz="0" w:space="0" w:color="auto"/>
        <w:bottom w:val="none" w:sz="0" w:space="0" w:color="auto"/>
        <w:right w:val="none" w:sz="0" w:space="0" w:color="auto"/>
      </w:divBdr>
    </w:div>
    <w:div w:id="1738820786">
      <w:bodyDiv w:val="1"/>
      <w:marLeft w:val="0"/>
      <w:marRight w:val="0"/>
      <w:marTop w:val="0"/>
      <w:marBottom w:val="0"/>
      <w:divBdr>
        <w:top w:val="none" w:sz="0" w:space="0" w:color="auto"/>
        <w:left w:val="none" w:sz="0" w:space="0" w:color="auto"/>
        <w:bottom w:val="none" w:sz="0" w:space="0" w:color="auto"/>
        <w:right w:val="none" w:sz="0" w:space="0" w:color="auto"/>
      </w:divBdr>
    </w:div>
    <w:div w:id="1738939056">
      <w:bodyDiv w:val="1"/>
      <w:marLeft w:val="0"/>
      <w:marRight w:val="0"/>
      <w:marTop w:val="0"/>
      <w:marBottom w:val="0"/>
      <w:divBdr>
        <w:top w:val="none" w:sz="0" w:space="0" w:color="auto"/>
        <w:left w:val="none" w:sz="0" w:space="0" w:color="auto"/>
        <w:bottom w:val="none" w:sz="0" w:space="0" w:color="auto"/>
        <w:right w:val="none" w:sz="0" w:space="0" w:color="auto"/>
      </w:divBdr>
    </w:div>
    <w:div w:id="1739009745">
      <w:bodyDiv w:val="1"/>
      <w:marLeft w:val="0"/>
      <w:marRight w:val="0"/>
      <w:marTop w:val="0"/>
      <w:marBottom w:val="0"/>
      <w:divBdr>
        <w:top w:val="none" w:sz="0" w:space="0" w:color="auto"/>
        <w:left w:val="none" w:sz="0" w:space="0" w:color="auto"/>
        <w:bottom w:val="none" w:sz="0" w:space="0" w:color="auto"/>
        <w:right w:val="none" w:sz="0" w:space="0" w:color="auto"/>
      </w:divBdr>
    </w:div>
    <w:div w:id="1739358029">
      <w:bodyDiv w:val="1"/>
      <w:marLeft w:val="0"/>
      <w:marRight w:val="0"/>
      <w:marTop w:val="0"/>
      <w:marBottom w:val="0"/>
      <w:divBdr>
        <w:top w:val="none" w:sz="0" w:space="0" w:color="auto"/>
        <w:left w:val="none" w:sz="0" w:space="0" w:color="auto"/>
        <w:bottom w:val="none" w:sz="0" w:space="0" w:color="auto"/>
        <w:right w:val="none" w:sz="0" w:space="0" w:color="auto"/>
      </w:divBdr>
    </w:div>
    <w:div w:id="1739746167">
      <w:bodyDiv w:val="1"/>
      <w:marLeft w:val="0"/>
      <w:marRight w:val="0"/>
      <w:marTop w:val="0"/>
      <w:marBottom w:val="0"/>
      <w:divBdr>
        <w:top w:val="none" w:sz="0" w:space="0" w:color="auto"/>
        <w:left w:val="none" w:sz="0" w:space="0" w:color="auto"/>
        <w:bottom w:val="none" w:sz="0" w:space="0" w:color="auto"/>
        <w:right w:val="none" w:sz="0" w:space="0" w:color="auto"/>
      </w:divBdr>
    </w:div>
    <w:div w:id="1740128809">
      <w:bodyDiv w:val="1"/>
      <w:marLeft w:val="0"/>
      <w:marRight w:val="0"/>
      <w:marTop w:val="0"/>
      <w:marBottom w:val="0"/>
      <w:divBdr>
        <w:top w:val="none" w:sz="0" w:space="0" w:color="auto"/>
        <w:left w:val="none" w:sz="0" w:space="0" w:color="auto"/>
        <w:bottom w:val="none" w:sz="0" w:space="0" w:color="auto"/>
        <w:right w:val="none" w:sz="0" w:space="0" w:color="auto"/>
      </w:divBdr>
    </w:div>
    <w:div w:id="1740471870">
      <w:bodyDiv w:val="1"/>
      <w:marLeft w:val="0"/>
      <w:marRight w:val="0"/>
      <w:marTop w:val="0"/>
      <w:marBottom w:val="0"/>
      <w:divBdr>
        <w:top w:val="none" w:sz="0" w:space="0" w:color="auto"/>
        <w:left w:val="none" w:sz="0" w:space="0" w:color="auto"/>
        <w:bottom w:val="none" w:sz="0" w:space="0" w:color="auto"/>
        <w:right w:val="none" w:sz="0" w:space="0" w:color="auto"/>
      </w:divBdr>
    </w:div>
    <w:div w:id="1741251629">
      <w:bodyDiv w:val="1"/>
      <w:marLeft w:val="0"/>
      <w:marRight w:val="0"/>
      <w:marTop w:val="0"/>
      <w:marBottom w:val="0"/>
      <w:divBdr>
        <w:top w:val="none" w:sz="0" w:space="0" w:color="auto"/>
        <w:left w:val="none" w:sz="0" w:space="0" w:color="auto"/>
        <w:bottom w:val="none" w:sz="0" w:space="0" w:color="auto"/>
        <w:right w:val="none" w:sz="0" w:space="0" w:color="auto"/>
      </w:divBdr>
    </w:div>
    <w:div w:id="1742024351">
      <w:bodyDiv w:val="1"/>
      <w:marLeft w:val="0"/>
      <w:marRight w:val="0"/>
      <w:marTop w:val="0"/>
      <w:marBottom w:val="0"/>
      <w:divBdr>
        <w:top w:val="none" w:sz="0" w:space="0" w:color="auto"/>
        <w:left w:val="none" w:sz="0" w:space="0" w:color="auto"/>
        <w:bottom w:val="none" w:sz="0" w:space="0" w:color="auto"/>
        <w:right w:val="none" w:sz="0" w:space="0" w:color="auto"/>
      </w:divBdr>
    </w:div>
    <w:div w:id="1742481403">
      <w:bodyDiv w:val="1"/>
      <w:marLeft w:val="0"/>
      <w:marRight w:val="0"/>
      <w:marTop w:val="0"/>
      <w:marBottom w:val="0"/>
      <w:divBdr>
        <w:top w:val="none" w:sz="0" w:space="0" w:color="auto"/>
        <w:left w:val="none" w:sz="0" w:space="0" w:color="auto"/>
        <w:bottom w:val="none" w:sz="0" w:space="0" w:color="auto"/>
        <w:right w:val="none" w:sz="0" w:space="0" w:color="auto"/>
      </w:divBdr>
    </w:div>
    <w:div w:id="1742602653">
      <w:bodyDiv w:val="1"/>
      <w:marLeft w:val="0"/>
      <w:marRight w:val="0"/>
      <w:marTop w:val="0"/>
      <w:marBottom w:val="0"/>
      <w:divBdr>
        <w:top w:val="none" w:sz="0" w:space="0" w:color="auto"/>
        <w:left w:val="none" w:sz="0" w:space="0" w:color="auto"/>
        <w:bottom w:val="none" w:sz="0" w:space="0" w:color="auto"/>
        <w:right w:val="none" w:sz="0" w:space="0" w:color="auto"/>
      </w:divBdr>
    </w:div>
    <w:div w:id="1743405761">
      <w:bodyDiv w:val="1"/>
      <w:marLeft w:val="0"/>
      <w:marRight w:val="0"/>
      <w:marTop w:val="0"/>
      <w:marBottom w:val="0"/>
      <w:divBdr>
        <w:top w:val="none" w:sz="0" w:space="0" w:color="auto"/>
        <w:left w:val="none" w:sz="0" w:space="0" w:color="auto"/>
        <w:bottom w:val="none" w:sz="0" w:space="0" w:color="auto"/>
        <w:right w:val="none" w:sz="0" w:space="0" w:color="auto"/>
      </w:divBdr>
    </w:div>
    <w:div w:id="1745033112">
      <w:bodyDiv w:val="1"/>
      <w:marLeft w:val="0"/>
      <w:marRight w:val="0"/>
      <w:marTop w:val="0"/>
      <w:marBottom w:val="0"/>
      <w:divBdr>
        <w:top w:val="none" w:sz="0" w:space="0" w:color="auto"/>
        <w:left w:val="none" w:sz="0" w:space="0" w:color="auto"/>
        <w:bottom w:val="none" w:sz="0" w:space="0" w:color="auto"/>
        <w:right w:val="none" w:sz="0" w:space="0" w:color="auto"/>
      </w:divBdr>
    </w:div>
    <w:div w:id="1745833407">
      <w:bodyDiv w:val="1"/>
      <w:marLeft w:val="0"/>
      <w:marRight w:val="0"/>
      <w:marTop w:val="0"/>
      <w:marBottom w:val="0"/>
      <w:divBdr>
        <w:top w:val="none" w:sz="0" w:space="0" w:color="auto"/>
        <w:left w:val="none" w:sz="0" w:space="0" w:color="auto"/>
        <w:bottom w:val="none" w:sz="0" w:space="0" w:color="auto"/>
        <w:right w:val="none" w:sz="0" w:space="0" w:color="auto"/>
      </w:divBdr>
    </w:div>
    <w:div w:id="1747222332">
      <w:bodyDiv w:val="1"/>
      <w:marLeft w:val="0"/>
      <w:marRight w:val="0"/>
      <w:marTop w:val="0"/>
      <w:marBottom w:val="0"/>
      <w:divBdr>
        <w:top w:val="none" w:sz="0" w:space="0" w:color="auto"/>
        <w:left w:val="none" w:sz="0" w:space="0" w:color="auto"/>
        <w:bottom w:val="none" w:sz="0" w:space="0" w:color="auto"/>
        <w:right w:val="none" w:sz="0" w:space="0" w:color="auto"/>
      </w:divBdr>
    </w:div>
    <w:div w:id="1747336170">
      <w:bodyDiv w:val="1"/>
      <w:marLeft w:val="0"/>
      <w:marRight w:val="0"/>
      <w:marTop w:val="0"/>
      <w:marBottom w:val="0"/>
      <w:divBdr>
        <w:top w:val="none" w:sz="0" w:space="0" w:color="auto"/>
        <w:left w:val="none" w:sz="0" w:space="0" w:color="auto"/>
        <w:bottom w:val="none" w:sz="0" w:space="0" w:color="auto"/>
        <w:right w:val="none" w:sz="0" w:space="0" w:color="auto"/>
      </w:divBdr>
    </w:div>
    <w:div w:id="1747726813">
      <w:bodyDiv w:val="1"/>
      <w:marLeft w:val="0"/>
      <w:marRight w:val="0"/>
      <w:marTop w:val="0"/>
      <w:marBottom w:val="0"/>
      <w:divBdr>
        <w:top w:val="none" w:sz="0" w:space="0" w:color="auto"/>
        <w:left w:val="none" w:sz="0" w:space="0" w:color="auto"/>
        <w:bottom w:val="none" w:sz="0" w:space="0" w:color="auto"/>
        <w:right w:val="none" w:sz="0" w:space="0" w:color="auto"/>
      </w:divBdr>
    </w:div>
    <w:div w:id="1747915681">
      <w:bodyDiv w:val="1"/>
      <w:marLeft w:val="0"/>
      <w:marRight w:val="0"/>
      <w:marTop w:val="0"/>
      <w:marBottom w:val="0"/>
      <w:divBdr>
        <w:top w:val="none" w:sz="0" w:space="0" w:color="auto"/>
        <w:left w:val="none" w:sz="0" w:space="0" w:color="auto"/>
        <w:bottom w:val="none" w:sz="0" w:space="0" w:color="auto"/>
        <w:right w:val="none" w:sz="0" w:space="0" w:color="auto"/>
      </w:divBdr>
    </w:div>
    <w:div w:id="1748533127">
      <w:bodyDiv w:val="1"/>
      <w:marLeft w:val="0"/>
      <w:marRight w:val="0"/>
      <w:marTop w:val="0"/>
      <w:marBottom w:val="0"/>
      <w:divBdr>
        <w:top w:val="none" w:sz="0" w:space="0" w:color="auto"/>
        <w:left w:val="none" w:sz="0" w:space="0" w:color="auto"/>
        <w:bottom w:val="none" w:sz="0" w:space="0" w:color="auto"/>
        <w:right w:val="none" w:sz="0" w:space="0" w:color="auto"/>
      </w:divBdr>
    </w:div>
    <w:div w:id="1750035236">
      <w:bodyDiv w:val="1"/>
      <w:marLeft w:val="0"/>
      <w:marRight w:val="0"/>
      <w:marTop w:val="0"/>
      <w:marBottom w:val="0"/>
      <w:divBdr>
        <w:top w:val="none" w:sz="0" w:space="0" w:color="auto"/>
        <w:left w:val="none" w:sz="0" w:space="0" w:color="auto"/>
        <w:bottom w:val="none" w:sz="0" w:space="0" w:color="auto"/>
        <w:right w:val="none" w:sz="0" w:space="0" w:color="auto"/>
      </w:divBdr>
    </w:div>
    <w:div w:id="1750732196">
      <w:bodyDiv w:val="1"/>
      <w:marLeft w:val="0"/>
      <w:marRight w:val="0"/>
      <w:marTop w:val="0"/>
      <w:marBottom w:val="0"/>
      <w:divBdr>
        <w:top w:val="none" w:sz="0" w:space="0" w:color="auto"/>
        <w:left w:val="none" w:sz="0" w:space="0" w:color="auto"/>
        <w:bottom w:val="none" w:sz="0" w:space="0" w:color="auto"/>
        <w:right w:val="none" w:sz="0" w:space="0" w:color="auto"/>
      </w:divBdr>
    </w:div>
    <w:div w:id="1752268333">
      <w:bodyDiv w:val="1"/>
      <w:marLeft w:val="0"/>
      <w:marRight w:val="0"/>
      <w:marTop w:val="0"/>
      <w:marBottom w:val="0"/>
      <w:divBdr>
        <w:top w:val="none" w:sz="0" w:space="0" w:color="auto"/>
        <w:left w:val="none" w:sz="0" w:space="0" w:color="auto"/>
        <w:bottom w:val="none" w:sz="0" w:space="0" w:color="auto"/>
        <w:right w:val="none" w:sz="0" w:space="0" w:color="auto"/>
      </w:divBdr>
    </w:div>
    <w:div w:id="1752392043">
      <w:bodyDiv w:val="1"/>
      <w:marLeft w:val="0"/>
      <w:marRight w:val="0"/>
      <w:marTop w:val="0"/>
      <w:marBottom w:val="0"/>
      <w:divBdr>
        <w:top w:val="none" w:sz="0" w:space="0" w:color="auto"/>
        <w:left w:val="none" w:sz="0" w:space="0" w:color="auto"/>
        <w:bottom w:val="none" w:sz="0" w:space="0" w:color="auto"/>
        <w:right w:val="none" w:sz="0" w:space="0" w:color="auto"/>
      </w:divBdr>
    </w:div>
    <w:div w:id="1752464003">
      <w:bodyDiv w:val="1"/>
      <w:marLeft w:val="0"/>
      <w:marRight w:val="0"/>
      <w:marTop w:val="0"/>
      <w:marBottom w:val="0"/>
      <w:divBdr>
        <w:top w:val="none" w:sz="0" w:space="0" w:color="auto"/>
        <w:left w:val="none" w:sz="0" w:space="0" w:color="auto"/>
        <w:bottom w:val="none" w:sz="0" w:space="0" w:color="auto"/>
        <w:right w:val="none" w:sz="0" w:space="0" w:color="auto"/>
      </w:divBdr>
    </w:div>
    <w:div w:id="1753696300">
      <w:bodyDiv w:val="1"/>
      <w:marLeft w:val="0"/>
      <w:marRight w:val="0"/>
      <w:marTop w:val="0"/>
      <w:marBottom w:val="0"/>
      <w:divBdr>
        <w:top w:val="none" w:sz="0" w:space="0" w:color="auto"/>
        <w:left w:val="none" w:sz="0" w:space="0" w:color="auto"/>
        <w:bottom w:val="none" w:sz="0" w:space="0" w:color="auto"/>
        <w:right w:val="none" w:sz="0" w:space="0" w:color="auto"/>
      </w:divBdr>
    </w:div>
    <w:div w:id="1754085340">
      <w:bodyDiv w:val="1"/>
      <w:marLeft w:val="0"/>
      <w:marRight w:val="0"/>
      <w:marTop w:val="0"/>
      <w:marBottom w:val="0"/>
      <w:divBdr>
        <w:top w:val="none" w:sz="0" w:space="0" w:color="auto"/>
        <w:left w:val="none" w:sz="0" w:space="0" w:color="auto"/>
        <w:bottom w:val="none" w:sz="0" w:space="0" w:color="auto"/>
        <w:right w:val="none" w:sz="0" w:space="0" w:color="auto"/>
      </w:divBdr>
    </w:div>
    <w:div w:id="1754544801">
      <w:bodyDiv w:val="1"/>
      <w:marLeft w:val="0"/>
      <w:marRight w:val="0"/>
      <w:marTop w:val="0"/>
      <w:marBottom w:val="0"/>
      <w:divBdr>
        <w:top w:val="none" w:sz="0" w:space="0" w:color="auto"/>
        <w:left w:val="none" w:sz="0" w:space="0" w:color="auto"/>
        <w:bottom w:val="none" w:sz="0" w:space="0" w:color="auto"/>
        <w:right w:val="none" w:sz="0" w:space="0" w:color="auto"/>
      </w:divBdr>
    </w:div>
    <w:div w:id="1755542620">
      <w:bodyDiv w:val="1"/>
      <w:marLeft w:val="0"/>
      <w:marRight w:val="0"/>
      <w:marTop w:val="0"/>
      <w:marBottom w:val="0"/>
      <w:divBdr>
        <w:top w:val="none" w:sz="0" w:space="0" w:color="auto"/>
        <w:left w:val="none" w:sz="0" w:space="0" w:color="auto"/>
        <w:bottom w:val="none" w:sz="0" w:space="0" w:color="auto"/>
        <w:right w:val="none" w:sz="0" w:space="0" w:color="auto"/>
      </w:divBdr>
    </w:div>
    <w:div w:id="1755861644">
      <w:bodyDiv w:val="1"/>
      <w:marLeft w:val="0"/>
      <w:marRight w:val="0"/>
      <w:marTop w:val="0"/>
      <w:marBottom w:val="0"/>
      <w:divBdr>
        <w:top w:val="none" w:sz="0" w:space="0" w:color="auto"/>
        <w:left w:val="none" w:sz="0" w:space="0" w:color="auto"/>
        <w:bottom w:val="none" w:sz="0" w:space="0" w:color="auto"/>
        <w:right w:val="none" w:sz="0" w:space="0" w:color="auto"/>
      </w:divBdr>
    </w:div>
    <w:div w:id="1757286704">
      <w:bodyDiv w:val="1"/>
      <w:marLeft w:val="0"/>
      <w:marRight w:val="0"/>
      <w:marTop w:val="0"/>
      <w:marBottom w:val="0"/>
      <w:divBdr>
        <w:top w:val="none" w:sz="0" w:space="0" w:color="auto"/>
        <w:left w:val="none" w:sz="0" w:space="0" w:color="auto"/>
        <w:bottom w:val="none" w:sz="0" w:space="0" w:color="auto"/>
        <w:right w:val="none" w:sz="0" w:space="0" w:color="auto"/>
      </w:divBdr>
    </w:div>
    <w:div w:id="1757827422">
      <w:bodyDiv w:val="1"/>
      <w:marLeft w:val="0"/>
      <w:marRight w:val="0"/>
      <w:marTop w:val="0"/>
      <w:marBottom w:val="0"/>
      <w:divBdr>
        <w:top w:val="none" w:sz="0" w:space="0" w:color="auto"/>
        <w:left w:val="none" w:sz="0" w:space="0" w:color="auto"/>
        <w:bottom w:val="none" w:sz="0" w:space="0" w:color="auto"/>
        <w:right w:val="none" w:sz="0" w:space="0" w:color="auto"/>
      </w:divBdr>
    </w:div>
    <w:div w:id="1760055244">
      <w:bodyDiv w:val="1"/>
      <w:marLeft w:val="0"/>
      <w:marRight w:val="0"/>
      <w:marTop w:val="0"/>
      <w:marBottom w:val="0"/>
      <w:divBdr>
        <w:top w:val="none" w:sz="0" w:space="0" w:color="auto"/>
        <w:left w:val="none" w:sz="0" w:space="0" w:color="auto"/>
        <w:bottom w:val="none" w:sz="0" w:space="0" w:color="auto"/>
        <w:right w:val="none" w:sz="0" w:space="0" w:color="auto"/>
      </w:divBdr>
    </w:div>
    <w:div w:id="1760297520">
      <w:bodyDiv w:val="1"/>
      <w:marLeft w:val="0"/>
      <w:marRight w:val="0"/>
      <w:marTop w:val="0"/>
      <w:marBottom w:val="0"/>
      <w:divBdr>
        <w:top w:val="none" w:sz="0" w:space="0" w:color="auto"/>
        <w:left w:val="none" w:sz="0" w:space="0" w:color="auto"/>
        <w:bottom w:val="none" w:sz="0" w:space="0" w:color="auto"/>
        <w:right w:val="none" w:sz="0" w:space="0" w:color="auto"/>
      </w:divBdr>
    </w:div>
    <w:div w:id="1760324584">
      <w:bodyDiv w:val="1"/>
      <w:marLeft w:val="0"/>
      <w:marRight w:val="0"/>
      <w:marTop w:val="0"/>
      <w:marBottom w:val="0"/>
      <w:divBdr>
        <w:top w:val="none" w:sz="0" w:space="0" w:color="auto"/>
        <w:left w:val="none" w:sz="0" w:space="0" w:color="auto"/>
        <w:bottom w:val="none" w:sz="0" w:space="0" w:color="auto"/>
        <w:right w:val="none" w:sz="0" w:space="0" w:color="auto"/>
      </w:divBdr>
    </w:div>
    <w:div w:id="1761026214">
      <w:bodyDiv w:val="1"/>
      <w:marLeft w:val="0"/>
      <w:marRight w:val="0"/>
      <w:marTop w:val="0"/>
      <w:marBottom w:val="0"/>
      <w:divBdr>
        <w:top w:val="none" w:sz="0" w:space="0" w:color="auto"/>
        <w:left w:val="none" w:sz="0" w:space="0" w:color="auto"/>
        <w:bottom w:val="none" w:sz="0" w:space="0" w:color="auto"/>
        <w:right w:val="none" w:sz="0" w:space="0" w:color="auto"/>
      </w:divBdr>
    </w:div>
    <w:div w:id="1761489077">
      <w:bodyDiv w:val="1"/>
      <w:marLeft w:val="0"/>
      <w:marRight w:val="0"/>
      <w:marTop w:val="0"/>
      <w:marBottom w:val="0"/>
      <w:divBdr>
        <w:top w:val="none" w:sz="0" w:space="0" w:color="auto"/>
        <w:left w:val="none" w:sz="0" w:space="0" w:color="auto"/>
        <w:bottom w:val="none" w:sz="0" w:space="0" w:color="auto"/>
        <w:right w:val="none" w:sz="0" w:space="0" w:color="auto"/>
      </w:divBdr>
    </w:div>
    <w:div w:id="1762330975">
      <w:bodyDiv w:val="1"/>
      <w:marLeft w:val="0"/>
      <w:marRight w:val="0"/>
      <w:marTop w:val="0"/>
      <w:marBottom w:val="0"/>
      <w:divBdr>
        <w:top w:val="none" w:sz="0" w:space="0" w:color="auto"/>
        <w:left w:val="none" w:sz="0" w:space="0" w:color="auto"/>
        <w:bottom w:val="none" w:sz="0" w:space="0" w:color="auto"/>
        <w:right w:val="none" w:sz="0" w:space="0" w:color="auto"/>
      </w:divBdr>
    </w:div>
    <w:div w:id="1762601346">
      <w:bodyDiv w:val="1"/>
      <w:marLeft w:val="0"/>
      <w:marRight w:val="0"/>
      <w:marTop w:val="0"/>
      <w:marBottom w:val="0"/>
      <w:divBdr>
        <w:top w:val="none" w:sz="0" w:space="0" w:color="auto"/>
        <w:left w:val="none" w:sz="0" w:space="0" w:color="auto"/>
        <w:bottom w:val="none" w:sz="0" w:space="0" w:color="auto"/>
        <w:right w:val="none" w:sz="0" w:space="0" w:color="auto"/>
      </w:divBdr>
    </w:div>
    <w:div w:id="1762943799">
      <w:bodyDiv w:val="1"/>
      <w:marLeft w:val="0"/>
      <w:marRight w:val="0"/>
      <w:marTop w:val="0"/>
      <w:marBottom w:val="0"/>
      <w:divBdr>
        <w:top w:val="none" w:sz="0" w:space="0" w:color="auto"/>
        <w:left w:val="none" w:sz="0" w:space="0" w:color="auto"/>
        <w:bottom w:val="none" w:sz="0" w:space="0" w:color="auto"/>
        <w:right w:val="none" w:sz="0" w:space="0" w:color="auto"/>
      </w:divBdr>
    </w:div>
    <w:div w:id="1763378111">
      <w:bodyDiv w:val="1"/>
      <w:marLeft w:val="0"/>
      <w:marRight w:val="0"/>
      <w:marTop w:val="0"/>
      <w:marBottom w:val="0"/>
      <w:divBdr>
        <w:top w:val="none" w:sz="0" w:space="0" w:color="auto"/>
        <w:left w:val="none" w:sz="0" w:space="0" w:color="auto"/>
        <w:bottom w:val="none" w:sz="0" w:space="0" w:color="auto"/>
        <w:right w:val="none" w:sz="0" w:space="0" w:color="auto"/>
      </w:divBdr>
    </w:div>
    <w:div w:id="1763642960">
      <w:bodyDiv w:val="1"/>
      <w:marLeft w:val="0"/>
      <w:marRight w:val="0"/>
      <w:marTop w:val="0"/>
      <w:marBottom w:val="0"/>
      <w:divBdr>
        <w:top w:val="none" w:sz="0" w:space="0" w:color="auto"/>
        <w:left w:val="none" w:sz="0" w:space="0" w:color="auto"/>
        <w:bottom w:val="none" w:sz="0" w:space="0" w:color="auto"/>
        <w:right w:val="none" w:sz="0" w:space="0" w:color="auto"/>
      </w:divBdr>
    </w:div>
    <w:div w:id="1763914090">
      <w:bodyDiv w:val="1"/>
      <w:marLeft w:val="0"/>
      <w:marRight w:val="0"/>
      <w:marTop w:val="0"/>
      <w:marBottom w:val="0"/>
      <w:divBdr>
        <w:top w:val="none" w:sz="0" w:space="0" w:color="auto"/>
        <w:left w:val="none" w:sz="0" w:space="0" w:color="auto"/>
        <w:bottom w:val="none" w:sz="0" w:space="0" w:color="auto"/>
        <w:right w:val="none" w:sz="0" w:space="0" w:color="auto"/>
      </w:divBdr>
    </w:div>
    <w:div w:id="1764108847">
      <w:bodyDiv w:val="1"/>
      <w:marLeft w:val="0"/>
      <w:marRight w:val="0"/>
      <w:marTop w:val="0"/>
      <w:marBottom w:val="0"/>
      <w:divBdr>
        <w:top w:val="none" w:sz="0" w:space="0" w:color="auto"/>
        <w:left w:val="none" w:sz="0" w:space="0" w:color="auto"/>
        <w:bottom w:val="none" w:sz="0" w:space="0" w:color="auto"/>
        <w:right w:val="none" w:sz="0" w:space="0" w:color="auto"/>
      </w:divBdr>
    </w:div>
    <w:div w:id="1764453428">
      <w:bodyDiv w:val="1"/>
      <w:marLeft w:val="0"/>
      <w:marRight w:val="0"/>
      <w:marTop w:val="0"/>
      <w:marBottom w:val="0"/>
      <w:divBdr>
        <w:top w:val="none" w:sz="0" w:space="0" w:color="auto"/>
        <w:left w:val="none" w:sz="0" w:space="0" w:color="auto"/>
        <w:bottom w:val="none" w:sz="0" w:space="0" w:color="auto"/>
        <w:right w:val="none" w:sz="0" w:space="0" w:color="auto"/>
      </w:divBdr>
    </w:div>
    <w:div w:id="1766463849">
      <w:bodyDiv w:val="1"/>
      <w:marLeft w:val="0"/>
      <w:marRight w:val="0"/>
      <w:marTop w:val="0"/>
      <w:marBottom w:val="0"/>
      <w:divBdr>
        <w:top w:val="none" w:sz="0" w:space="0" w:color="auto"/>
        <w:left w:val="none" w:sz="0" w:space="0" w:color="auto"/>
        <w:bottom w:val="none" w:sz="0" w:space="0" w:color="auto"/>
        <w:right w:val="none" w:sz="0" w:space="0" w:color="auto"/>
      </w:divBdr>
    </w:div>
    <w:div w:id="1766489516">
      <w:bodyDiv w:val="1"/>
      <w:marLeft w:val="0"/>
      <w:marRight w:val="0"/>
      <w:marTop w:val="0"/>
      <w:marBottom w:val="0"/>
      <w:divBdr>
        <w:top w:val="none" w:sz="0" w:space="0" w:color="auto"/>
        <w:left w:val="none" w:sz="0" w:space="0" w:color="auto"/>
        <w:bottom w:val="none" w:sz="0" w:space="0" w:color="auto"/>
        <w:right w:val="none" w:sz="0" w:space="0" w:color="auto"/>
      </w:divBdr>
    </w:div>
    <w:div w:id="1767188474">
      <w:bodyDiv w:val="1"/>
      <w:marLeft w:val="0"/>
      <w:marRight w:val="0"/>
      <w:marTop w:val="0"/>
      <w:marBottom w:val="0"/>
      <w:divBdr>
        <w:top w:val="none" w:sz="0" w:space="0" w:color="auto"/>
        <w:left w:val="none" w:sz="0" w:space="0" w:color="auto"/>
        <w:bottom w:val="none" w:sz="0" w:space="0" w:color="auto"/>
        <w:right w:val="none" w:sz="0" w:space="0" w:color="auto"/>
      </w:divBdr>
    </w:div>
    <w:div w:id="1767380217">
      <w:bodyDiv w:val="1"/>
      <w:marLeft w:val="0"/>
      <w:marRight w:val="0"/>
      <w:marTop w:val="0"/>
      <w:marBottom w:val="0"/>
      <w:divBdr>
        <w:top w:val="none" w:sz="0" w:space="0" w:color="auto"/>
        <w:left w:val="none" w:sz="0" w:space="0" w:color="auto"/>
        <w:bottom w:val="none" w:sz="0" w:space="0" w:color="auto"/>
        <w:right w:val="none" w:sz="0" w:space="0" w:color="auto"/>
      </w:divBdr>
    </w:div>
    <w:div w:id="1767771839">
      <w:bodyDiv w:val="1"/>
      <w:marLeft w:val="0"/>
      <w:marRight w:val="0"/>
      <w:marTop w:val="0"/>
      <w:marBottom w:val="0"/>
      <w:divBdr>
        <w:top w:val="none" w:sz="0" w:space="0" w:color="auto"/>
        <w:left w:val="none" w:sz="0" w:space="0" w:color="auto"/>
        <w:bottom w:val="none" w:sz="0" w:space="0" w:color="auto"/>
        <w:right w:val="none" w:sz="0" w:space="0" w:color="auto"/>
      </w:divBdr>
    </w:div>
    <w:div w:id="1768192293">
      <w:bodyDiv w:val="1"/>
      <w:marLeft w:val="0"/>
      <w:marRight w:val="0"/>
      <w:marTop w:val="0"/>
      <w:marBottom w:val="0"/>
      <w:divBdr>
        <w:top w:val="none" w:sz="0" w:space="0" w:color="auto"/>
        <w:left w:val="none" w:sz="0" w:space="0" w:color="auto"/>
        <w:bottom w:val="none" w:sz="0" w:space="0" w:color="auto"/>
        <w:right w:val="none" w:sz="0" w:space="0" w:color="auto"/>
      </w:divBdr>
    </w:div>
    <w:div w:id="1768888915">
      <w:bodyDiv w:val="1"/>
      <w:marLeft w:val="0"/>
      <w:marRight w:val="0"/>
      <w:marTop w:val="0"/>
      <w:marBottom w:val="0"/>
      <w:divBdr>
        <w:top w:val="none" w:sz="0" w:space="0" w:color="auto"/>
        <w:left w:val="none" w:sz="0" w:space="0" w:color="auto"/>
        <w:bottom w:val="none" w:sz="0" w:space="0" w:color="auto"/>
        <w:right w:val="none" w:sz="0" w:space="0" w:color="auto"/>
      </w:divBdr>
    </w:div>
    <w:div w:id="1769276498">
      <w:bodyDiv w:val="1"/>
      <w:marLeft w:val="0"/>
      <w:marRight w:val="0"/>
      <w:marTop w:val="0"/>
      <w:marBottom w:val="0"/>
      <w:divBdr>
        <w:top w:val="none" w:sz="0" w:space="0" w:color="auto"/>
        <w:left w:val="none" w:sz="0" w:space="0" w:color="auto"/>
        <w:bottom w:val="none" w:sz="0" w:space="0" w:color="auto"/>
        <w:right w:val="none" w:sz="0" w:space="0" w:color="auto"/>
      </w:divBdr>
    </w:div>
    <w:div w:id="1770806866">
      <w:bodyDiv w:val="1"/>
      <w:marLeft w:val="0"/>
      <w:marRight w:val="0"/>
      <w:marTop w:val="0"/>
      <w:marBottom w:val="0"/>
      <w:divBdr>
        <w:top w:val="none" w:sz="0" w:space="0" w:color="auto"/>
        <w:left w:val="none" w:sz="0" w:space="0" w:color="auto"/>
        <w:bottom w:val="none" w:sz="0" w:space="0" w:color="auto"/>
        <w:right w:val="none" w:sz="0" w:space="0" w:color="auto"/>
      </w:divBdr>
    </w:div>
    <w:div w:id="1772121924">
      <w:bodyDiv w:val="1"/>
      <w:marLeft w:val="0"/>
      <w:marRight w:val="0"/>
      <w:marTop w:val="0"/>
      <w:marBottom w:val="0"/>
      <w:divBdr>
        <w:top w:val="none" w:sz="0" w:space="0" w:color="auto"/>
        <w:left w:val="none" w:sz="0" w:space="0" w:color="auto"/>
        <w:bottom w:val="none" w:sz="0" w:space="0" w:color="auto"/>
        <w:right w:val="none" w:sz="0" w:space="0" w:color="auto"/>
      </w:divBdr>
    </w:div>
    <w:div w:id="1773234726">
      <w:bodyDiv w:val="1"/>
      <w:marLeft w:val="0"/>
      <w:marRight w:val="0"/>
      <w:marTop w:val="0"/>
      <w:marBottom w:val="0"/>
      <w:divBdr>
        <w:top w:val="none" w:sz="0" w:space="0" w:color="auto"/>
        <w:left w:val="none" w:sz="0" w:space="0" w:color="auto"/>
        <w:bottom w:val="none" w:sz="0" w:space="0" w:color="auto"/>
        <w:right w:val="none" w:sz="0" w:space="0" w:color="auto"/>
      </w:divBdr>
    </w:div>
    <w:div w:id="1774009301">
      <w:bodyDiv w:val="1"/>
      <w:marLeft w:val="0"/>
      <w:marRight w:val="0"/>
      <w:marTop w:val="0"/>
      <w:marBottom w:val="0"/>
      <w:divBdr>
        <w:top w:val="none" w:sz="0" w:space="0" w:color="auto"/>
        <w:left w:val="none" w:sz="0" w:space="0" w:color="auto"/>
        <w:bottom w:val="none" w:sz="0" w:space="0" w:color="auto"/>
        <w:right w:val="none" w:sz="0" w:space="0" w:color="auto"/>
      </w:divBdr>
    </w:div>
    <w:div w:id="1775515834">
      <w:bodyDiv w:val="1"/>
      <w:marLeft w:val="0"/>
      <w:marRight w:val="0"/>
      <w:marTop w:val="0"/>
      <w:marBottom w:val="0"/>
      <w:divBdr>
        <w:top w:val="none" w:sz="0" w:space="0" w:color="auto"/>
        <w:left w:val="none" w:sz="0" w:space="0" w:color="auto"/>
        <w:bottom w:val="none" w:sz="0" w:space="0" w:color="auto"/>
        <w:right w:val="none" w:sz="0" w:space="0" w:color="auto"/>
      </w:divBdr>
    </w:div>
    <w:div w:id="1777554445">
      <w:bodyDiv w:val="1"/>
      <w:marLeft w:val="0"/>
      <w:marRight w:val="0"/>
      <w:marTop w:val="0"/>
      <w:marBottom w:val="0"/>
      <w:divBdr>
        <w:top w:val="none" w:sz="0" w:space="0" w:color="auto"/>
        <w:left w:val="none" w:sz="0" w:space="0" w:color="auto"/>
        <w:bottom w:val="none" w:sz="0" w:space="0" w:color="auto"/>
        <w:right w:val="none" w:sz="0" w:space="0" w:color="auto"/>
      </w:divBdr>
    </w:div>
    <w:div w:id="1779251428">
      <w:bodyDiv w:val="1"/>
      <w:marLeft w:val="0"/>
      <w:marRight w:val="0"/>
      <w:marTop w:val="0"/>
      <w:marBottom w:val="0"/>
      <w:divBdr>
        <w:top w:val="none" w:sz="0" w:space="0" w:color="auto"/>
        <w:left w:val="none" w:sz="0" w:space="0" w:color="auto"/>
        <w:bottom w:val="none" w:sz="0" w:space="0" w:color="auto"/>
        <w:right w:val="none" w:sz="0" w:space="0" w:color="auto"/>
      </w:divBdr>
    </w:div>
    <w:div w:id="1779329364">
      <w:bodyDiv w:val="1"/>
      <w:marLeft w:val="0"/>
      <w:marRight w:val="0"/>
      <w:marTop w:val="0"/>
      <w:marBottom w:val="0"/>
      <w:divBdr>
        <w:top w:val="none" w:sz="0" w:space="0" w:color="auto"/>
        <w:left w:val="none" w:sz="0" w:space="0" w:color="auto"/>
        <w:bottom w:val="none" w:sz="0" w:space="0" w:color="auto"/>
        <w:right w:val="none" w:sz="0" w:space="0" w:color="auto"/>
      </w:divBdr>
    </w:div>
    <w:div w:id="1780754517">
      <w:bodyDiv w:val="1"/>
      <w:marLeft w:val="0"/>
      <w:marRight w:val="0"/>
      <w:marTop w:val="0"/>
      <w:marBottom w:val="0"/>
      <w:divBdr>
        <w:top w:val="none" w:sz="0" w:space="0" w:color="auto"/>
        <w:left w:val="none" w:sz="0" w:space="0" w:color="auto"/>
        <w:bottom w:val="none" w:sz="0" w:space="0" w:color="auto"/>
        <w:right w:val="none" w:sz="0" w:space="0" w:color="auto"/>
      </w:divBdr>
    </w:div>
    <w:div w:id="1780947524">
      <w:bodyDiv w:val="1"/>
      <w:marLeft w:val="0"/>
      <w:marRight w:val="0"/>
      <w:marTop w:val="0"/>
      <w:marBottom w:val="0"/>
      <w:divBdr>
        <w:top w:val="none" w:sz="0" w:space="0" w:color="auto"/>
        <w:left w:val="none" w:sz="0" w:space="0" w:color="auto"/>
        <w:bottom w:val="none" w:sz="0" w:space="0" w:color="auto"/>
        <w:right w:val="none" w:sz="0" w:space="0" w:color="auto"/>
      </w:divBdr>
    </w:div>
    <w:div w:id="1783260483">
      <w:bodyDiv w:val="1"/>
      <w:marLeft w:val="0"/>
      <w:marRight w:val="0"/>
      <w:marTop w:val="0"/>
      <w:marBottom w:val="0"/>
      <w:divBdr>
        <w:top w:val="none" w:sz="0" w:space="0" w:color="auto"/>
        <w:left w:val="none" w:sz="0" w:space="0" w:color="auto"/>
        <w:bottom w:val="none" w:sz="0" w:space="0" w:color="auto"/>
        <w:right w:val="none" w:sz="0" w:space="0" w:color="auto"/>
      </w:divBdr>
    </w:div>
    <w:div w:id="1784421354">
      <w:bodyDiv w:val="1"/>
      <w:marLeft w:val="0"/>
      <w:marRight w:val="0"/>
      <w:marTop w:val="0"/>
      <w:marBottom w:val="0"/>
      <w:divBdr>
        <w:top w:val="none" w:sz="0" w:space="0" w:color="auto"/>
        <w:left w:val="none" w:sz="0" w:space="0" w:color="auto"/>
        <w:bottom w:val="none" w:sz="0" w:space="0" w:color="auto"/>
        <w:right w:val="none" w:sz="0" w:space="0" w:color="auto"/>
      </w:divBdr>
    </w:div>
    <w:div w:id="1786801510">
      <w:bodyDiv w:val="1"/>
      <w:marLeft w:val="0"/>
      <w:marRight w:val="0"/>
      <w:marTop w:val="0"/>
      <w:marBottom w:val="0"/>
      <w:divBdr>
        <w:top w:val="none" w:sz="0" w:space="0" w:color="auto"/>
        <w:left w:val="none" w:sz="0" w:space="0" w:color="auto"/>
        <w:bottom w:val="none" w:sz="0" w:space="0" w:color="auto"/>
        <w:right w:val="none" w:sz="0" w:space="0" w:color="auto"/>
      </w:divBdr>
    </w:div>
    <w:div w:id="1787461546">
      <w:bodyDiv w:val="1"/>
      <w:marLeft w:val="0"/>
      <w:marRight w:val="0"/>
      <w:marTop w:val="0"/>
      <w:marBottom w:val="0"/>
      <w:divBdr>
        <w:top w:val="none" w:sz="0" w:space="0" w:color="auto"/>
        <w:left w:val="none" w:sz="0" w:space="0" w:color="auto"/>
        <w:bottom w:val="none" w:sz="0" w:space="0" w:color="auto"/>
        <w:right w:val="none" w:sz="0" w:space="0" w:color="auto"/>
      </w:divBdr>
    </w:div>
    <w:div w:id="1791895410">
      <w:bodyDiv w:val="1"/>
      <w:marLeft w:val="0"/>
      <w:marRight w:val="0"/>
      <w:marTop w:val="0"/>
      <w:marBottom w:val="0"/>
      <w:divBdr>
        <w:top w:val="none" w:sz="0" w:space="0" w:color="auto"/>
        <w:left w:val="none" w:sz="0" w:space="0" w:color="auto"/>
        <w:bottom w:val="none" w:sz="0" w:space="0" w:color="auto"/>
        <w:right w:val="none" w:sz="0" w:space="0" w:color="auto"/>
      </w:divBdr>
    </w:div>
    <w:div w:id="1792048070">
      <w:bodyDiv w:val="1"/>
      <w:marLeft w:val="0"/>
      <w:marRight w:val="0"/>
      <w:marTop w:val="0"/>
      <w:marBottom w:val="0"/>
      <w:divBdr>
        <w:top w:val="none" w:sz="0" w:space="0" w:color="auto"/>
        <w:left w:val="none" w:sz="0" w:space="0" w:color="auto"/>
        <w:bottom w:val="none" w:sz="0" w:space="0" w:color="auto"/>
        <w:right w:val="none" w:sz="0" w:space="0" w:color="auto"/>
      </w:divBdr>
    </w:div>
    <w:div w:id="1792898629">
      <w:bodyDiv w:val="1"/>
      <w:marLeft w:val="0"/>
      <w:marRight w:val="0"/>
      <w:marTop w:val="0"/>
      <w:marBottom w:val="0"/>
      <w:divBdr>
        <w:top w:val="none" w:sz="0" w:space="0" w:color="auto"/>
        <w:left w:val="none" w:sz="0" w:space="0" w:color="auto"/>
        <w:bottom w:val="none" w:sz="0" w:space="0" w:color="auto"/>
        <w:right w:val="none" w:sz="0" w:space="0" w:color="auto"/>
      </w:divBdr>
    </w:div>
    <w:div w:id="1792940668">
      <w:bodyDiv w:val="1"/>
      <w:marLeft w:val="0"/>
      <w:marRight w:val="0"/>
      <w:marTop w:val="0"/>
      <w:marBottom w:val="0"/>
      <w:divBdr>
        <w:top w:val="none" w:sz="0" w:space="0" w:color="auto"/>
        <w:left w:val="none" w:sz="0" w:space="0" w:color="auto"/>
        <w:bottom w:val="none" w:sz="0" w:space="0" w:color="auto"/>
        <w:right w:val="none" w:sz="0" w:space="0" w:color="auto"/>
      </w:divBdr>
    </w:div>
    <w:div w:id="1793283371">
      <w:bodyDiv w:val="1"/>
      <w:marLeft w:val="0"/>
      <w:marRight w:val="0"/>
      <w:marTop w:val="0"/>
      <w:marBottom w:val="0"/>
      <w:divBdr>
        <w:top w:val="none" w:sz="0" w:space="0" w:color="auto"/>
        <w:left w:val="none" w:sz="0" w:space="0" w:color="auto"/>
        <w:bottom w:val="none" w:sz="0" w:space="0" w:color="auto"/>
        <w:right w:val="none" w:sz="0" w:space="0" w:color="auto"/>
      </w:divBdr>
    </w:div>
    <w:div w:id="1794519451">
      <w:bodyDiv w:val="1"/>
      <w:marLeft w:val="0"/>
      <w:marRight w:val="0"/>
      <w:marTop w:val="0"/>
      <w:marBottom w:val="0"/>
      <w:divBdr>
        <w:top w:val="none" w:sz="0" w:space="0" w:color="auto"/>
        <w:left w:val="none" w:sz="0" w:space="0" w:color="auto"/>
        <w:bottom w:val="none" w:sz="0" w:space="0" w:color="auto"/>
        <w:right w:val="none" w:sz="0" w:space="0" w:color="auto"/>
      </w:divBdr>
    </w:div>
    <w:div w:id="1794714837">
      <w:bodyDiv w:val="1"/>
      <w:marLeft w:val="0"/>
      <w:marRight w:val="0"/>
      <w:marTop w:val="0"/>
      <w:marBottom w:val="0"/>
      <w:divBdr>
        <w:top w:val="none" w:sz="0" w:space="0" w:color="auto"/>
        <w:left w:val="none" w:sz="0" w:space="0" w:color="auto"/>
        <w:bottom w:val="none" w:sz="0" w:space="0" w:color="auto"/>
        <w:right w:val="none" w:sz="0" w:space="0" w:color="auto"/>
      </w:divBdr>
    </w:div>
    <w:div w:id="1795252597">
      <w:bodyDiv w:val="1"/>
      <w:marLeft w:val="0"/>
      <w:marRight w:val="0"/>
      <w:marTop w:val="0"/>
      <w:marBottom w:val="0"/>
      <w:divBdr>
        <w:top w:val="none" w:sz="0" w:space="0" w:color="auto"/>
        <w:left w:val="none" w:sz="0" w:space="0" w:color="auto"/>
        <w:bottom w:val="none" w:sz="0" w:space="0" w:color="auto"/>
        <w:right w:val="none" w:sz="0" w:space="0" w:color="auto"/>
      </w:divBdr>
    </w:div>
    <w:div w:id="1796171044">
      <w:bodyDiv w:val="1"/>
      <w:marLeft w:val="0"/>
      <w:marRight w:val="0"/>
      <w:marTop w:val="0"/>
      <w:marBottom w:val="0"/>
      <w:divBdr>
        <w:top w:val="none" w:sz="0" w:space="0" w:color="auto"/>
        <w:left w:val="none" w:sz="0" w:space="0" w:color="auto"/>
        <w:bottom w:val="none" w:sz="0" w:space="0" w:color="auto"/>
        <w:right w:val="none" w:sz="0" w:space="0" w:color="auto"/>
      </w:divBdr>
    </w:div>
    <w:div w:id="1796412516">
      <w:bodyDiv w:val="1"/>
      <w:marLeft w:val="0"/>
      <w:marRight w:val="0"/>
      <w:marTop w:val="0"/>
      <w:marBottom w:val="0"/>
      <w:divBdr>
        <w:top w:val="none" w:sz="0" w:space="0" w:color="auto"/>
        <w:left w:val="none" w:sz="0" w:space="0" w:color="auto"/>
        <w:bottom w:val="none" w:sz="0" w:space="0" w:color="auto"/>
        <w:right w:val="none" w:sz="0" w:space="0" w:color="auto"/>
      </w:divBdr>
    </w:div>
    <w:div w:id="1796479914">
      <w:bodyDiv w:val="1"/>
      <w:marLeft w:val="0"/>
      <w:marRight w:val="0"/>
      <w:marTop w:val="0"/>
      <w:marBottom w:val="0"/>
      <w:divBdr>
        <w:top w:val="none" w:sz="0" w:space="0" w:color="auto"/>
        <w:left w:val="none" w:sz="0" w:space="0" w:color="auto"/>
        <w:bottom w:val="none" w:sz="0" w:space="0" w:color="auto"/>
        <w:right w:val="none" w:sz="0" w:space="0" w:color="auto"/>
      </w:divBdr>
    </w:div>
    <w:div w:id="1797597140">
      <w:bodyDiv w:val="1"/>
      <w:marLeft w:val="0"/>
      <w:marRight w:val="0"/>
      <w:marTop w:val="0"/>
      <w:marBottom w:val="0"/>
      <w:divBdr>
        <w:top w:val="none" w:sz="0" w:space="0" w:color="auto"/>
        <w:left w:val="none" w:sz="0" w:space="0" w:color="auto"/>
        <w:bottom w:val="none" w:sz="0" w:space="0" w:color="auto"/>
        <w:right w:val="none" w:sz="0" w:space="0" w:color="auto"/>
      </w:divBdr>
    </w:div>
    <w:div w:id="1799647053">
      <w:bodyDiv w:val="1"/>
      <w:marLeft w:val="0"/>
      <w:marRight w:val="0"/>
      <w:marTop w:val="0"/>
      <w:marBottom w:val="0"/>
      <w:divBdr>
        <w:top w:val="none" w:sz="0" w:space="0" w:color="auto"/>
        <w:left w:val="none" w:sz="0" w:space="0" w:color="auto"/>
        <w:bottom w:val="none" w:sz="0" w:space="0" w:color="auto"/>
        <w:right w:val="none" w:sz="0" w:space="0" w:color="auto"/>
      </w:divBdr>
    </w:div>
    <w:div w:id="1800100851">
      <w:bodyDiv w:val="1"/>
      <w:marLeft w:val="0"/>
      <w:marRight w:val="0"/>
      <w:marTop w:val="0"/>
      <w:marBottom w:val="0"/>
      <w:divBdr>
        <w:top w:val="none" w:sz="0" w:space="0" w:color="auto"/>
        <w:left w:val="none" w:sz="0" w:space="0" w:color="auto"/>
        <w:bottom w:val="none" w:sz="0" w:space="0" w:color="auto"/>
        <w:right w:val="none" w:sz="0" w:space="0" w:color="auto"/>
      </w:divBdr>
    </w:div>
    <w:div w:id="1800419417">
      <w:bodyDiv w:val="1"/>
      <w:marLeft w:val="0"/>
      <w:marRight w:val="0"/>
      <w:marTop w:val="0"/>
      <w:marBottom w:val="0"/>
      <w:divBdr>
        <w:top w:val="none" w:sz="0" w:space="0" w:color="auto"/>
        <w:left w:val="none" w:sz="0" w:space="0" w:color="auto"/>
        <w:bottom w:val="none" w:sz="0" w:space="0" w:color="auto"/>
        <w:right w:val="none" w:sz="0" w:space="0" w:color="auto"/>
      </w:divBdr>
    </w:div>
    <w:div w:id="1801528900">
      <w:bodyDiv w:val="1"/>
      <w:marLeft w:val="0"/>
      <w:marRight w:val="0"/>
      <w:marTop w:val="0"/>
      <w:marBottom w:val="0"/>
      <w:divBdr>
        <w:top w:val="none" w:sz="0" w:space="0" w:color="auto"/>
        <w:left w:val="none" w:sz="0" w:space="0" w:color="auto"/>
        <w:bottom w:val="none" w:sz="0" w:space="0" w:color="auto"/>
        <w:right w:val="none" w:sz="0" w:space="0" w:color="auto"/>
      </w:divBdr>
    </w:div>
    <w:div w:id="1801918539">
      <w:bodyDiv w:val="1"/>
      <w:marLeft w:val="0"/>
      <w:marRight w:val="0"/>
      <w:marTop w:val="0"/>
      <w:marBottom w:val="0"/>
      <w:divBdr>
        <w:top w:val="none" w:sz="0" w:space="0" w:color="auto"/>
        <w:left w:val="none" w:sz="0" w:space="0" w:color="auto"/>
        <w:bottom w:val="none" w:sz="0" w:space="0" w:color="auto"/>
        <w:right w:val="none" w:sz="0" w:space="0" w:color="auto"/>
      </w:divBdr>
    </w:div>
    <w:div w:id="1801920275">
      <w:bodyDiv w:val="1"/>
      <w:marLeft w:val="0"/>
      <w:marRight w:val="0"/>
      <w:marTop w:val="0"/>
      <w:marBottom w:val="0"/>
      <w:divBdr>
        <w:top w:val="none" w:sz="0" w:space="0" w:color="auto"/>
        <w:left w:val="none" w:sz="0" w:space="0" w:color="auto"/>
        <w:bottom w:val="none" w:sz="0" w:space="0" w:color="auto"/>
        <w:right w:val="none" w:sz="0" w:space="0" w:color="auto"/>
      </w:divBdr>
    </w:div>
    <w:div w:id="1803230744">
      <w:bodyDiv w:val="1"/>
      <w:marLeft w:val="0"/>
      <w:marRight w:val="0"/>
      <w:marTop w:val="0"/>
      <w:marBottom w:val="0"/>
      <w:divBdr>
        <w:top w:val="none" w:sz="0" w:space="0" w:color="auto"/>
        <w:left w:val="none" w:sz="0" w:space="0" w:color="auto"/>
        <w:bottom w:val="none" w:sz="0" w:space="0" w:color="auto"/>
        <w:right w:val="none" w:sz="0" w:space="0" w:color="auto"/>
      </w:divBdr>
    </w:div>
    <w:div w:id="1803376699">
      <w:bodyDiv w:val="1"/>
      <w:marLeft w:val="0"/>
      <w:marRight w:val="0"/>
      <w:marTop w:val="0"/>
      <w:marBottom w:val="0"/>
      <w:divBdr>
        <w:top w:val="none" w:sz="0" w:space="0" w:color="auto"/>
        <w:left w:val="none" w:sz="0" w:space="0" w:color="auto"/>
        <w:bottom w:val="none" w:sz="0" w:space="0" w:color="auto"/>
        <w:right w:val="none" w:sz="0" w:space="0" w:color="auto"/>
      </w:divBdr>
    </w:div>
    <w:div w:id="1803384455">
      <w:bodyDiv w:val="1"/>
      <w:marLeft w:val="0"/>
      <w:marRight w:val="0"/>
      <w:marTop w:val="0"/>
      <w:marBottom w:val="0"/>
      <w:divBdr>
        <w:top w:val="none" w:sz="0" w:space="0" w:color="auto"/>
        <w:left w:val="none" w:sz="0" w:space="0" w:color="auto"/>
        <w:bottom w:val="none" w:sz="0" w:space="0" w:color="auto"/>
        <w:right w:val="none" w:sz="0" w:space="0" w:color="auto"/>
      </w:divBdr>
    </w:div>
    <w:div w:id="1803574073">
      <w:bodyDiv w:val="1"/>
      <w:marLeft w:val="0"/>
      <w:marRight w:val="0"/>
      <w:marTop w:val="0"/>
      <w:marBottom w:val="0"/>
      <w:divBdr>
        <w:top w:val="none" w:sz="0" w:space="0" w:color="auto"/>
        <w:left w:val="none" w:sz="0" w:space="0" w:color="auto"/>
        <w:bottom w:val="none" w:sz="0" w:space="0" w:color="auto"/>
        <w:right w:val="none" w:sz="0" w:space="0" w:color="auto"/>
      </w:divBdr>
    </w:div>
    <w:div w:id="1804425648">
      <w:bodyDiv w:val="1"/>
      <w:marLeft w:val="0"/>
      <w:marRight w:val="0"/>
      <w:marTop w:val="0"/>
      <w:marBottom w:val="0"/>
      <w:divBdr>
        <w:top w:val="none" w:sz="0" w:space="0" w:color="auto"/>
        <w:left w:val="none" w:sz="0" w:space="0" w:color="auto"/>
        <w:bottom w:val="none" w:sz="0" w:space="0" w:color="auto"/>
        <w:right w:val="none" w:sz="0" w:space="0" w:color="auto"/>
      </w:divBdr>
    </w:div>
    <w:div w:id="1804611572">
      <w:bodyDiv w:val="1"/>
      <w:marLeft w:val="0"/>
      <w:marRight w:val="0"/>
      <w:marTop w:val="0"/>
      <w:marBottom w:val="0"/>
      <w:divBdr>
        <w:top w:val="none" w:sz="0" w:space="0" w:color="auto"/>
        <w:left w:val="none" w:sz="0" w:space="0" w:color="auto"/>
        <w:bottom w:val="none" w:sz="0" w:space="0" w:color="auto"/>
        <w:right w:val="none" w:sz="0" w:space="0" w:color="auto"/>
      </w:divBdr>
    </w:div>
    <w:div w:id="1805007198">
      <w:bodyDiv w:val="1"/>
      <w:marLeft w:val="0"/>
      <w:marRight w:val="0"/>
      <w:marTop w:val="0"/>
      <w:marBottom w:val="0"/>
      <w:divBdr>
        <w:top w:val="none" w:sz="0" w:space="0" w:color="auto"/>
        <w:left w:val="none" w:sz="0" w:space="0" w:color="auto"/>
        <w:bottom w:val="none" w:sz="0" w:space="0" w:color="auto"/>
        <w:right w:val="none" w:sz="0" w:space="0" w:color="auto"/>
      </w:divBdr>
    </w:div>
    <w:div w:id="1805538456">
      <w:bodyDiv w:val="1"/>
      <w:marLeft w:val="0"/>
      <w:marRight w:val="0"/>
      <w:marTop w:val="0"/>
      <w:marBottom w:val="0"/>
      <w:divBdr>
        <w:top w:val="none" w:sz="0" w:space="0" w:color="auto"/>
        <w:left w:val="none" w:sz="0" w:space="0" w:color="auto"/>
        <w:bottom w:val="none" w:sz="0" w:space="0" w:color="auto"/>
        <w:right w:val="none" w:sz="0" w:space="0" w:color="auto"/>
      </w:divBdr>
    </w:div>
    <w:div w:id="1806197665">
      <w:bodyDiv w:val="1"/>
      <w:marLeft w:val="0"/>
      <w:marRight w:val="0"/>
      <w:marTop w:val="0"/>
      <w:marBottom w:val="0"/>
      <w:divBdr>
        <w:top w:val="none" w:sz="0" w:space="0" w:color="auto"/>
        <w:left w:val="none" w:sz="0" w:space="0" w:color="auto"/>
        <w:bottom w:val="none" w:sz="0" w:space="0" w:color="auto"/>
        <w:right w:val="none" w:sz="0" w:space="0" w:color="auto"/>
      </w:divBdr>
    </w:div>
    <w:div w:id="1806311976">
      <w:bodyDiv w:val="1"/>
      <w:marLeft w:val="0"/>
      <w:marRight w:val="0"/>
      <w:marTop w:val="0"/>
      <w:marBottom w:val="0"/>
      <w:divBdr>
        <w:top w:val="none" w:sz="0" w:space="0" w:color="auto"/>
        <w:left w:val="none" w:sz="0" w:space="0" w:color="auto"/>
        <w:bottom w:val="none" w:sz="0" w:space="0" w:color="auto"/>
        <w:right w:val="none" w:sz="0" w:space="0" w:color="auto"/>
      </w:divBdr>
    </w:div>
    <w:div w:id="1806659021">
      <w:bodyDiv w:val="1"/>
      <w:marLeft w:val="0"/>
      <w:marRight w:val="0"/>
      <w:marTop w:val="0"/>
      <w:marBottom w:val="0"/>
      <w:divBdr>
        <w:top w:val="none" w:sz="0" w:space="0" w:color="auto"/>
        <w:left w:val="none" w:sz="0" w:space="0" w:color="auto"/>
        <w:bottom w:val="none" w:sz="0" w:space="0" w:color="auto"/>
        <w:right w:val="none" w:sz="0" w:space="0" w:color="auto"/>
      </w:divBdr>
    </w:div>
    <w:div w:id="1808082223">
      <w:bodyDiv w:val="1"/>
      <w:marLeft w:val="0"/>
      <w:marRight w:val="0"/>
      <w:marTop w:val="0"/>
      <w:marBottom w:val="0"/>
      <w:divBdr>
        <w:top w:val="none" w:sz="0" w:space="0" w:color="auto"/>
        <w:left w:val="none" w:sz="0" w:space="0" w:color="auto"/>
        <w:bottom w:val="none" w:sz="0" w:space="0" w:color="auto"/>
        <w:right w:val="none" w:sz="0" w:space="0" w:color="auto"/>
      </w:divBdr>
    </w:div>
    <w:div w:id="1808357497">
      <w:bodyDiv w:val="1"/>
      <w:marLeft w:val="0"/>
      <w:marRight w:val="0"/>
      <w:marTop w:val="0"/>
      <w:marBottom w:val="0"/>
      <w:divBdr>
        <w:top w:val="none" w:sz="0" w:space="0" w:color="auto"/>
        <w:left w:val="none" w:sz="0" w:space="0" w:color="auto"/>
        <w:bottom w:val="none" w:sz="0" w:space="0" w:color="auto"/>
        <w:right w:val="none" w:sz="0" w:space="0" w:color="auto"/>
      </w:divBdr>
    </w:div>
    <w:div w:id="1808889981">
      <w:bodyDiv w:val="1"/>
      <w:marLeft w:val="0"/>
      <w:marRight w:val="0"/>
      <w:marTop w:val="0"/>
      <w:marBottom w:val="0"/>
      <w:divBdr>
        <w:top w:val="none" w:sz="0" w:space="0" w:color="auto"/>
        <w:left w:val="none" w:sz="0" w:space="0" w:color="auto"/>
        <w:bottom w:val="none" w:sz="0" w:space="0" w:color="auto"/>
        <w:right w:val="none" w:sz="0" w:space="0" w:color="auto"/>
      </w:divBdr>
    </w:div>
    <w:div w:id="1809278669">
      <w:bodyDiv w:val="1"/>
      <w:marLeft w:val="0"/>
      <w:marRight w:val="0"/>
      <w:marTop w:val="0"/>
      <w:marBottom w:val="0"/>
      <w:divBdr>
        <w:top w:val="none" w:sz="0" w:space="0" w:color="auto"/>
        <w:left w:val="none" w:sz="0" w:space="0" w:color="auto"/>
        <w:bottom w:val="none" w:sz="0" w:space="0" w:color="auto"/>
        <w:right w:val="none" w:sz="0" w:space="0" w:color="auto"/>
      </w:divBdr>
    </w:div>
    <w:div w:id="1809855227">
      <w:bodyDiv w:val="1"/>
      <w:marLeft w:val="0"/>
      <w:marRight w:val="0"/>
      <w:marTop w:val="0"/>
      <w:marBottom w:val="0"/>
      <w:divBdr>
        <w:top w:val="none" w:sz="0" w:space="0" w:color="auto"/>
        <w:left w:val="none" w:sz="0" w:space="0" w:color="auto"/>
        <w:bottom w:val="none" w:sz="0" w:space="0" w:color="auto"/>
        <w:right w:val="none" w:sz="0" w:space="0" w:color="auto"/>
      </w:divBdr>
    </w:div>
    <w:div w:id="1810173047">
      <w:bodyDiv w:val="1"/>
      <w:marLeft w:val="0"/>
      <w:marRight w:val="0"/>
      <w:marTop w:val="0"/>
      <w:marBottom w:val="0"/>
      <w:divBdr>
        <w:top w:val="none" w:sz="0" w:space="0" w:color="auto"/>
        <w:left w:val="none" w:sz="0" w:space="0" w:color="auto"/>
        <w:bottom w:val="none" w:sz="0" w:space="0" w:color="auto"/>
        <w:right w:val="none" w:sz="0" w:space="0" w:color="auto"/>
      </w:divBdr>
    </w:div>
    <w:div w:id="1810322671">
      <w:bodyDiv w:val="1"/>
      <w:marLeft w:val="0"/>
      <w:marRight w:val="0"/>
      <w:marTop w:val="0"/>
      <w:marBottom w:val="0"/>
      <w:divBdr>
        <w:top w:val="none" w:sz="0" w:space="0" w:color="auto"/>
        <w:left w:val="none" w:sz="0" w:space="0" w:color="auto"/>
        <w:bottom w:val="none" w:sz="0" w:space="0" w:color="auto"/>
        <w:right w:val="none" w:sz="0" w:space="0" w:color="auto"/>
      </w:divBdr>
    </w:div>
    <w:div w:id="1811093615">
      <w:bodyDiv w:val="1"/>
      <w:marLeft w:val="0"/>
      <w:marRight w:val="0"/>
      <w:marTop w:val="0"/>
      <w:marBottom w:val="0"/>
      <w:divBdr>
        <w:top w:val="none" w:sz="0" w:space="0" w:color="auto"/>
        <w:left w:val="none" w:sz="0" w:space="0" w:color="auto"/>
        <w:bottom w:val="none" w:sz="0" w:space="0" w:color="auto"/>
        <w:right w:val="none" w:sz="0" w:space="0" w:color="auto"/>
      </w:divBdr>
    </w:div>
    <w:div w:id="1811095298">
      <w:bodyDiv w:val="1"/>
      <w:marLeft w:val="0"/>
      <w:marRight w:val="0"/>
      <w:marTop w:val="0"/>
      <w:marBottom w:val="0"/>
      <w:divBdr>
        <w:top w:val="none" w:sz="0" w:space="0" w:color="auto"/>
        <w:left w:val="none" w:sz="0" w:space="0" w:color="auto"/>
        <w:bottom w:val="none" w:sz="0" w:space="0" w:color="auto"/>
        <w:right w:val="none" w:sz="0" w:space="0" w:color="auto"/>
      </w:divBdr>
    </w:div>
    <w:div w:id="1813326362">
      <w:bodyDiv w:val="1"/>
      <w:marLeft w:val="0"/>
      <w:marRight w:val="0"/>
      <w:marTop w:val="0"/>
      <w:marBottom w:val="0"/>
      <w:divBdr>
        <w:top w:val="none" w:sz="0" w:space="0" w:color="auto"/>
        <w:left w:val="none" w:sz="0" w:space="0" w:color="auto"/>
        <w:bottom w:val="none" w:sz="0" w:space="0" w:color="auto"/>
        <w:right w:val="none" w:sz="0" w:space="0" w:color="auto"/>
      </w:divBdr>
    </w:div>
    <w:div w:id="1813327475">
      <w:bodyDiv w:val="1"/>
      <w:marLeft w:val="0"/>
      <w:marRight w:val="0"/>
      <w:marTop w:val="0"/>
      <w:marBottom w:val="0"/>
      <w:divBdr>
        <w:top w:val="none" w:sz="0" w:space="0" w:color="auto"/>
        <w:left w:val="none" w:sz="0" w:space="0" w:color="auto"/>
        <w:bottom w:val="none" w:sz="0" w:space="0" w:color="auto"/>
        <w:right w:val="none" w:sz="0" w:space="0" w:color="auto"/>
      </w:divBdr>
    </w:div>
    <w:div w:id="1813718054">
      <w:bodyDiv w:val="1"/>
      <w:marLeft w:val="0"/>
      <w:marRight w:val="0"/>
      <w:marTop w:val="0"/>
      <w:marBottom w:val="0"/>
      <w:divBdr>
        <w:top w:val="none" w:sz="0" w:space="0" w:color="auto"/>
        <w:left w:val="none" w:sz="0" w:space="0" w:color="auto"/>
        <w:bottom w:val="none" w:sz="0" w:space="0" w:color="auto"/>
        <w:right w:val="none" w:sz="0" w:space="0" w:color="auto"/>
      </w:divBdr>
    </w:div>
    <w:div w:id="1814178678">
      <w:bodyDiv w:val="1"/>
      <w:marLeft w:val="0"/>
      <w:marRight w:val="0"/>
      <w:marTop w:val="0"/>
      <w:marBottom w:val="0"/>
      <w:divBdr>
        <w:top w:val="none" w:sz="0" w:space="0" w:color="auto"/>
        <w:left w:val="none" w:sz="0" w:space="0" w:color="auto"/>
        <w:bottom w:val="none" w:sz="0" w:space="0" w:color="auto"/>
        <w:right w:val="none" w:sz="0" w:space="0" w:color="auto"/>
      </w:divBdr>
    </w:div>
    <w:div w:id="1815104457">
      <w:bodyDiv w:val="1"/>
      <w:marLeft w:val="0"/>
      <w:marRight w:val="0"/>
      <w:marTop w:val="0"/>
      <w:marBottom w:val="0"/>
      <w:divBdr>
        <w:top w:val="none" w:sz="0" w:space="0" w:color="auto"/>
        <w:left w:val="none" w:sz="0" w:space="0" w:color="auto"/>
        <w:bottom w:val="none" w:sz="0" w:space="0" w:color="auto"/>
        <w:right w:val="none" w:sz="0" w:space="0" w:color="auto"/>
      </w:divBdr>
    </w:div>
    <w:div w:id="1815414266">
      <w:bodyDiv w:val="1"/>
      <w:marLeft w:val="0"/>
      <w:marRight w:val="0"/>
      <w:marTop w:val="0"/>
      <w:marBottom w:val="0"/>
      <w:divBdr>
        <w:top w:val="none" w:sz="0" w:space="0" w:color="auto"/>
        <w:left w:val="none" w:sz="0" w:space="0" w:color="auto"/>
        <w:bottom w:val="none" w:sz="0" w:space="0" w:color="auto"/>
        <w:right w:val="none" w:sz="0" w:space="0" w:color="auto"/>
      </w:divBdr>
    </w:div>
    <w:div w:id="1815827295">
      <w:bodyDiv w:val="1"/>
      <w:marLeft w:val="0"/>
      <w:marRight w:val="0"/>
      <w:marTop w:val="0"/>
      <w:marBottom w:val="0"/>
      <w:divBdr>
        <w:top w:val="none" w:sz="0" w:space="0" w:color="auto"/>
        <w:left w:val="none" w:sz="0" w:space="0" w:color="auto"/>
        <w:bottom w:val="none" w:sz="0" w:space="0" w:color="auto"/>
        <w:right w:val="none" w:sz="0" w:space="0" w:color="auto"/>
      </w:divBdr>
    </w:div>
    <w:div w:id="1816338526">
      <w:bodyDiv w:val="1"/>
      <w:marLeft w:val="0"/>
      <w:marRight w:val="0"/>
      <w:marTop w:val="0"/>
      <w:marBottom w:val="0"/>
      <w:divBdr>
        <w:top w:val="none" w:sz="0" w:space="0" w:color="auto"/>
        <w:left w:val="none" w:sz="0" w:space="0" w:color="auto"/>
        <w:bottom w:val="none" w:sz="0" w:space="0" w:color="auto"/>
        <w:right w:val="none" w:sz="0" w:space="0" w:color="auto"/>
      </w:divBdr>
    </w:div>
    <w:div w:id="1816412003">
      <w:bodyDiv w:val="1"/>
      <w:marLeft w:val="0"/>
      <w:marRight w:val="0"/>
      <w:marTop w:val="0"/>
      <w:marBottom w:val="0"/>
      <w:divBdr>
        <w:top w:val="none" w:sz="0" w:space="0" w:color="auto"/>
        <w:left w:val="none" w:sz="0" w:space="0" w:color="auto"/>
        <w:bottom w:val="none" w:sz="0" w:space="0" w:color="auto"/>
        <w:right w:val="none" w:sz="0" w:space="0" w:color="auto"/>
      </w:divBdr>
    </w:div>
    <w:div w:id="1818650301">
      <w:bodyDiv w:val="1"/>
      <w:marLeft w:val="0"/>
      <w:marRight w:val="0"/>
      <w:marTop w:val="0"/>
      <w:marBottom w:val="0"/>
      <w:divBdr>
        <w:top w:val="none" w:sz="0" w:space="0" w:color="auto"/>
        <w:left w:val="none" w:sz="0" w:space="0" w:color="auto"/>
        <w:bottom w:val="none" w:sz="0" w:space="0" w:color="auto"/>
        <w:right w:val="none" w:sz="0" w:space="0" w:color="auto"/>
      </w:divBdr>
    </w:div>
    <w:div w:id="1819762322">
      <w:bodyDiv w:val="1"/>
      <w:marLeft w:val="0"/>
      <w:marRight w:val="0"/>
      <w:marTop w:val="0"/>
      <w:marBottom w:val="0"/>
      <w:divBdr>
        <w:top w:val="none" w:sz="0" w:space="0" w:color="auto"/>
        <w:left w:val="none" w:sz="0" w:space="0" w:color="auto"/>
        <w:bottom w:val="none" w:sz="0" w:space="0" w:color="auto"/>
        <w:right w:val="none" w:sz="0" w:space="0" w:color="auto"/>
      </w:divBdr>
    </w:div>
    <w:div w:id="1820228853">
      <w:bodyDiv w:val="1"/>
      <w:marLeft w:val="0"/>
      <w:marRight w:val="0"/>
      <w:marTop w:val="0"/>
      <w:marBottom w:val="0"/>
      <w:divBdr>
        <w:top w:val="none" w:sz="0" w:space="0" w:color="auto"/>
        <w:left w:val="none" w:sz="0" w:space="0" w:color="auto"/>
        <w:bottom w:val="none" w:sz="0" w:space="0" w:color="auto"/>
        <w:right w:val="none" w:sz="0" w:space="0" w:color="auto"/>
      </w:divBdr>
    </w:div>
    <w:div w:id="1822187532">
      <w:bodyDiv w:val="1"/>
      <w:marLeft w:val="0"/>
      <w:marRight w:val="0"/>
      <w:marTop w:val="0"/>
      <w:marBottom w:val="0"/>
      <w:divBdr>
        <w:top w:val="none" w:sz="0" w:space="0" w:color="auto"/>
        <w:left w:val="none" w:sz="0" w:space="0" w:color="auto"/>
        <w:bottom w:val="none" w:sz="0" w:space="0" w:color="auto"/>
        <w:right w:val="none" w:sz="0" w:space="0" w:color="auto"/>
      </w:divBdr>
    </w:div>
    <w:div w:id="1822379645">
      <w:bodyDiv w:val="1"/>
      <w:marLeft w:val="0"/>
      <w:marRight w:val="0"/>
      <w:marTop w:val="0"/>
      <w:marBottom w:val="0"/>
      <w:divBdr>
        <w:top w:val="none" w:sz="0" w:space="0" w:color="auto"/>
        <w:left w:val="none" w:sz="0" w:space="0" w:color="auto"/>
        <w:bottom w:val="none" w:sz="0" w:space="0" w:color="auto"/>
        <w:right w:val="none" w:sz="0" w:space="0" w:color="auto"/>
      </w:divBdr>
    </w:div>
    <w:div w:id="1823303579">
      <w:bodyDiv w:val="1"/>
      <w:marLeft w:val="0"/>
      <w:marRight w:val="0"/>
      <w:marTop w:val="0"/>
      <w:marBottom w:val="0"/>
      <w:divBdr>
        <w:top w:val="none" w:sz="0" w:space="0" w:color="auto"/>
        <w:left w:val="none" w:sz="0" w:space="0" w:color="auto"/>
        <w:bottom w:val="none" w:sz="0" w:space="0" w:color="auto"/>
        <w:right w:val="none" w:sz="0" w:space="0" w:color="auto"/>
      </w:divBdr>
    </w:div>
    <w:div w:id="1826042507">
      <w:bodyDiv w:val="1"/>
      <w:marLeft w:val="0"/>
      <w:marRight w:val="0"/>
      <w:marTop w:val="0"/>
      <w:marBottom w:val="0"/>
      <w:divBdr>
        <w:top w:val="none" w:sz="0" w:space="0" w:color="auto"/>
        <w:left w:val="none" w:sz="0" w:space="0" w:color="auto"/>
        <w:bottom w:val="none" w:sz="0" w:space="0" w:color="auto"/>
        <w:right w:val="none" w:sz="0" w:space="0" w:color="auto"/>
      </w:divBdr>
    </w:div>
    <w:div w:id="1826311423">
      <w:bodyDiv w:val="1"/>
      <w:marLeft w:val="0"/>
      <w:marRight w:val="0"/>
      <w:marTop w:val="0"/>
      <w:marBottom w:val="0"/>
      <w:divBdr>
        <w:top w:val="none" w:sz="0" w:space="0" w:color="auto"/>
        <w:left w:val="none" w:sz="0" w:space="0" w:color="auto"/>
        <w:bottom w:val="none" w:sz="0" w:space="0" w:color="auto"/>
        <w:right w:val="none" w:sz="0" w:space="0" w:color="auto"/>
      </w:divBdr>
    </w:div>
    <w:div w:id="1827740113">
      <w:bodyDiv w:val="1"/>
      <w:marLeft w:val="0"/>
      <w:marRight w:val="0"/>
      <w:marTop w:val="0"/>
      <w:marBottom w:val="0"/>
      <w:divBdr>
        <w:top w:val="none" w:sz="0" w:space="0" w:color="auto"/>
        <w:left w:val="none" w:sz="0" w:space="0" w:color="auto"/>
        <w:bottom w:val="none" w:sz="0" w:space="0" w:color="auto"/>
        <w:right w:val="none" w:sz="0" w:space="0" w:color="auto"/>
      </w:divBdr>
    </w:div>
    <w:div w:id="1828091893">
      <w:bodyDiv w:val="1"/>
      <w:marLeft w:val="0"/>
      <w:marRight w:val="0"/>
      <w:marTop w:val="0"/>
      <w:marBottom w:val="0"/>
      <w:divBdr>
        <w:top w:val="none" w:sz="0" w:space="0" w:color="auto"/>
        <w:left w:val="none" w:sz="0" w:space="0" w:color="auto"/>
        <w:bottom w:val="none" w:sz="0" w:space="0" w:color="auto"/>
        <w:right w:val="none" w:sz="0" w:space="0" w:color="auto"/>
      </w:divBdr>
    </w:div>
    <w:div w:id="1829250966">
      <w:bodyDiv w:val="1"/>
      <w:marLeft w:val="0"/>
      <w:marRight w:val="0"/>
      <w:marTop w:val="0"/>
      <w:marBottom w:val="0"/>
      <w:divBdr>
        <w:top w:val="none" w:sz="0" w:space="0" w:color="auto"/>
        <w:left w:val="none" w:sz="0" w:space="0" w:color="auto"/>
        <w:bottom w:val="none" w:sz="0" w:space="0" w:color="auto"/>
        <w:right w:val="none" w:sz="0" w:space="0" w:color="auto"/>
      </w:divBdr>
    </w:div>
    <w:div w:id="1829981517">
      <w:bodyDiv w:val="1"/>
      <w:marLeft w:val="0"/>
      <w:marRight w:val="0"/>
      <w:marTop w:val="0"/>
      <w:marBottom w:val="0"/>
      <w:divBdr>
        <w:top w:val="none" w:sz="0" w:space="0" w:color="auto"/>
        <w:left w:val="none" w:sz="0" w:space="0" w:color="auto"/>
        <w:bottom w:val="none" w:sz="0" w:space="0" w:color="auto"/>
        <w:right w:val="none" w:sz="0" w:space="0" w:color="auto"/>
      </w:divBdr>
    </w:div>
    <w:div w:id="1830441195">
      <w:bodyDiv w:val="1"/>
      <w:marLeft w:val="0"/>
      <w:marRight w:val="0"/>
      <w:marTop w:val="0"/>
      <w:marBottom w:val="0"/>
      <w:divBdr>
        <w:top w:val="none" w:sz="0" w:space="0" w:color="auto"/>
        <w:left w:val="none" w:sz="0" w:space="0" w:color="auto"/>
        <w:bottom w:val="none" w:sz="0" w:space="0" w:color="auto"/>
        <w:right w:val="none" w:sz="0" w:space="0" w:color="auto"/>
      </w:divBdr>
    </w:div>
    <w:div w:id="1830562482">
      <w:bodyDiv w:val="1"/>
      <w:marLeft w:val="0"/>
      <w:marRight w:val="0"/>
      <w:marTop w:val="0"/>
      <w:marBottom w:val="0"/>
      <w:divBdr>
        <w:top w:val="none" w:sz="0" w:space="0" w:color="auto"/>
        <w:left w:val="none" w:sz="0" w:space="0" w:color="auto"/>
        <w:bottom w:val="none" w:sz="0" w:space="0" w:color="auto"/>
        <w:right w:val="none" w:sz="0" w:space="0" w:color="auto"/>
      </w:divBdr>
    </w:div>
    <w:div w:id="1831215031">
      <w:bodyDiv w:val="1"/>
      <w:marLeft w:val="0"/>
      <w:marRight w:val="0"/>
      <w:marTop w:val="0"/>
      <w:marBottom w:val="0"/>
      <w:divBdr>
        <w:top w:val="none" w:sz="0" w:space="0" w:color="auto"/>
        <w:left w:val="none" w:sz="0" w:space="0" w:color="auto"/>
        <w:bottom w:val="none" w:sz="0" w:space="0" w:color="auto"/>
        <w:right w:val="none" w:sz="0" w:space="0" w:color="auto"/>
      </w:divBdr>
    </w:div>
    <w:div w:id="1831289765">
      <w:bodyDiv w:val="1"/>
      <w:marLeft w:val="0"/>
      <w:marRight w:val="0"/>
      <w:marTop w:val="0"/>
      <w:marBottom w:val="0"/>
      <w:divBdr>
        <w:top w:val="none" w:sz="0" w:space="0" w:color="auto"/>
        <w:left w:val="none" w:sz="0" w:space="0" w:color="auto"/>
        <w:bottom w:val="none" w:sz="0" w:space="0" w:color="auto"/>
        <w:right w:val="none" w:sz="0" w:space="0" w:color="auto"/>
      </w:divBdr>
    </w:div>
    <w:div w:id="1831829431">
      <w:bodyDiv w:val="1"/>
      <w:marLeft w:val="0"/>
      <w:marRight w:val="0"/>
      <w:marTop w:val="0"/>
      <w:marBottom w:val="0"/>
      <w:divBdr>
        <w:top w:val="none" w:sz="0" w:space="0" w:color="auto"/>
        <w:left w:val="none" w:sz="0" w:space="0" w:color="auto"/>
        <w:bottom w:val="none" w:sz="0" w:space="0" w:color="auto"/>
        <w:right w:val="none" w:sz="0" w:space="0" w:color="auto"/>
      </w:divBdr>
    </w:div>
    <w:div w:id="1832522223">
      <w:bodyDiv w:val="1"/>
      <w:marLeft w:val="0"/>
      <w:marRight w:val="0"/>
      <w:marTop w:val="0"/>
      <w:marBottom w:val="0"/>
      <w:divBdr>
        <w:top w:val="none" w:sz="0" w:space="0" w:color="auto"/>
        <w:left w:val="none" w:sz="0" w:space="0" w:color="auto"/>
        <w:bottom w:val="none" w:sz="0" w:space="0" w:color="auto"/>
        <w:right w:val="none" w:sz="0" w:space="0" w:color="auto"/>
      </w:divBdr>
    </w:div>
    <w:div w:id="1832596223">
      <w:bodyDiv w:val="1"/>
      <w:marLeft w:val="0"/>
      <w:marRight w:val="0"/>
      <w:marTop w:val="0"/>
      <w:marBottom w:val="0"/>
      <w:divBdr>
        <w:top w:val="none" w:sz="0" w:space="0" w:color="auto"/>
        <w:left w:val="none" w:sz="0" w:space="0" w:color="auto"/>
        <w:bottom w:val="none" w:sz="0" w:space="0" w:color="auto"/>
        <w:right w:val="none" w:sz="0" w:space="0" w:color="auto"/>
      </w:divBdr>
    </w:div>
    <w:div w:id="1833911237">
      <w:bodyDiv w:val="1"/>
      <w:marLeft w:val="0"/>
      <w:marRight w:val="0"/>
      <w:marTop w:val="0"/>
      <w:marBottom w:val="0"/>
      <w:divBdr>
        <w:top w:val="none" w:sz="0" w:space="0" w:color="auto"/>
        <w:left w:val="none" w:sz="0" w:space="0" w:color="auto"/>
        <w:bottom w:val="none" w:sz="0" w:space="0" w:color="auto"/>
        <w:right w:val="none" w:sz="0" w:space="0" w:color="auto"/>
      </w:divBdr>
    </w:div>
    <w:div w:id="1834757224">
      <w:bodyDiv w:val="1"/>
      <w:marLeft w:val="0"/>
      <w:marRight w:val="0"/>
      <w:marTop w:val="0"/>
      <w:marBottom w:val="0"/>
      <w:divBdr>
        <w:top w:val="none" w:sz="0" w:space="0" w:color="auto"/>
        <w:left w:val="none" w:sz="0" w:space="0" w:color="auto"/>
        <w:bottom w:val="none" w:sz="0" w:space="0" w:color="auto"/>
        <w:right w:val="none" w:sz="0" w:space="0" w:color="auto"/>
      </w:divBdr>
    </w:div>
    <w:div w:id="1834906285">
      <w:bodyDiv w:val="1"/>
      <w:marLeft w:val="0"/>
      <w:marRight w:val="0"/>
      <w:marTop w:val="0"/>
      <w:marBottom w:val="0"/>
      <w:divBdr>
        <w:top w:val="none" w:sz="0" w:space="0" w:color="auto"/>
        <w:left w:val="none" w:sz="0" w:space="0" w:color="auto"/>
        <w:bottom w:val="none" w:sz="0" w:space="0" w:color="auto"/>
        <w:right w:val="none" w:sz="0" w:space="0" w:color="auto"/>
      </w:divBdr>
    </w:div>
    <w:div w:id="1836451823">
      <w:bodyDiv w:val="1"/>
      <w:marLeft w:val="0"/>
      <w:marRight w:val="0"/>
      <w:marTop w:val="0"/>
      <w:marBottom w:val="0"/>
      <w:divBdr>
        <w:top w:val="none" w:sz="0" w:space="0" w:color="auto"/>
        <w:left w:val="none" w:sz="0" w:space="0" w:color="auto"/>
        <w:bottom w:val="none" w:sz="0" w:space="0" w:color="auto"/>
        <w:right w:val="none" w:sz="0" w:space="0" w:color="auto"/>
      </w:divBdr>
    </w:div>
    <w:div w:id="1837257686">
      <w:bodyDiv w:val="1"/>
      <w:marLeft w:val="0"/>
      <w:marRight w:val="0"/>
      <w:marTop w:val="0"/>
      <w:marBottom w:val="0"/>
      <w:divBdr>
        <w:top w:val="none" w:sz="0" w:space="0" w:color="auto"/>
        <w:left w:val="none" w:sz="0" w:space="0" w:color="auto"/>
        <w:bottom w:val="none" w:sz="0" w:space="0" w:color="auto"/>
        <w:right w:val="none" w:sz="0" w:space="0" w:color="auto"/>
      </w:divBdr>
    </w:div>
    <w:div w:id="1837379434">
      <w:bodyDiv w:val="1"/>
      <w:marLeft w:val="0"/>
      <w:marRight w:val="0"/>
      <w:marTop w:val="0"/>
      <w:marBottom w:val="0"/>
      <w:divBdr>
        <w:top w:val="none" w:sz="0" w:space="0" w:color="auto"/>
        <w:left w:val="none" w:sz="0" w:space="0" w:color="auto"/>
        <w:bottom w:val="none" w:sz="0" w:space="0" w:color="auto"/>
        <w:right w:val="none" w:sz="0" w:space="0" w:color="auto"/>
      </w:divBdr>
    </w:div>
    <w:div w:id="1837767474">
      <w:bodyDiv w:val="1"/>
      <w:marLeft w:val="0"/>
      <w:marRight w:val="0"/>
      <w:marTop w:val="0"/>
      <w:marBottom w:val="0"/>
      <w:divBdr>
        <w:top w:val="none" w:sz="0" w:space="0" w:color="auto"/>
        <w:left w:val="none" w:sz="0" w:space="0" w:color="auto"/>
        <w:bottom w:val="none" w:sz="0" w:space="0" w:color="auto"/>
        <w:right w:val="none" w:sz="0" w:space="0" w:color="auto"/>
      </w:divBdr>
    </w:div>
    <w:div w:id="1838110395">
      <w:bodyDiv w:val="1"/>
      <w:marLeft w:val="0"/>
      <w:marRight w:val="0"/>
      <w:marTop w:val="0"/>
      <w:marBottom w:val="0"/>
      <w:divBdr>
        <w:top w:val="none" w:sz="0" w:space="0" w:color="auto"/>
        <w:left w:val="none" w:sz="0" w:space="0" w:color="auto"/>
        <w:bottom w:val="none" w:sz="0" w:space="0" w:color="auto"/>
        <w:right w:val="none" w:sz="0" w:space="0" w:color="auto"/>
      </w:divBdr>
    </w:div>
    <w:div w:id="1838303455">
      <w:bodyDiv w:val="1"/>
      <w:marLeft w:val="0"/>
      <w:marRight w:val="0"/>
      <w:marTop w:val="0"/>
      <w:marBottom w:val="0"/>
      <w:divBdr>
        <w:top w:val="none" w:sz="0" w:space="0" w:color="auto"/>
        <w:left w:val="none" w:sz="0" w:space="0" w:color="auto"/>
        <w:bottom w:val="none" w:sz="0" w:space="0" w:color="auto"/>
        <w:right w:val="none" w:sz="0" w:space="0" w:color="auto"/>
      </w:divBdr>
    </w:div>
    <w:div w:id="1838498308">
      <w:bodyDiv w:val="1"/>
      <w:marLeft w:val="0"/>
      <w:marRight w:val="0"/>
      <w:marTop w:val="0"/>
      <w:marBottom w:val="0"/>
      <w:divBdr>
        <w:top w:val="none" w:sz="0" w:space="0" w:color="auto"/>
        <w:left w:val="none" w:sz="0" w:space="0" w:color="auto"/>
        <w:bottom w:val="none" w:sz="0" w:space="0" w:color="auto"/>
        <w:right w:val="none" w:sz="0" w:space="0" w:color="auto"/>
      </w:divBdr>
    </w:div>
    <w:div w:id="1838882191">
      <w:bodyDiv w:val="1"/>
      <w:marLeft w:val="0"/>
      <w:marRight w:val="0"/>
      <w:marTop w:val="0"/>
      <w:marBottom w:val="0"/>
      <w:divBdr>
        <w:top w:val="none" w:sz="0" w:space="0" w:color="auto"/>
        <w:left w:val="none" w:sz="0" w:space="0" w:color="auto"/>
        <w:bottom w:val="none" w:sz="0" w:space="0" w:color="auto"/>
        <w:right w:val="none" w:sz="0" w:space="0" w:color="auto"/>
      </w:divBdr>
    </w:div>
    <w:div w:id="1838884822">
      <w:bodyDiv w:val="1"/>
      <w:marLeft w:val="0"/>
      <w:marRight w:val="0"/>
      <w:marTop w:val="0"/>
      <w:marBottom w:val="0"/>
      <w:divBdr>
        <w:top w:val="none" w:sz="0" w:space="0" w:color="auto"/>
        <w:left w:val="none" w:sz="0" w:space="0" w:color="auto"/>
        <w:bottom w:val="none" w:sz="0" w:space="0" w:color="auto"/>
        <w:right w:val="none" w:sz="0" w:space="0" w:color="auto"/>
      </w:divBdr>
    </w:div>
    <w:div w:id="1839030305">
      <w:bodyDiv w:val="1"/>
      <w:marLeft w:val="0"/>
      <w:marRight w:val="0"/>
      <w:marTop w:val="0"/>
      <w:marBottom w:val="0"/>
      <w:divBdr>
        <w:top w:val="none" w:sz="0" w:space="0" w:color="auto"/>
        <w:left w:val="none" w:sz="0" w:space="0" w:color="auto"/>
        <w:bottom w:val="none" w:sz="0" w:space="0" w:color="auto"/>
        <w:right w:val="none" w:sz="0" w:space="0" w:color="auto"/>
      </w:divBdr>
    </w:div>
    <w:div w:id="1839299077">
      <w:bodyDiv w:val="1"/>
      <w:marLeft w:val="0"/>
      <w:marRight w:val="0"/>
      <w:marTop w:val="0"/>
      <w:marBottom w:val="0"/>
      <w:divBdr>
        <w:top w:val="none" w:sz="0" w:space="0" w:color="auto"/>
        <w:left w:val="none" w:sz="0" w:space="0" w:color="auto"/>
        <w:bottom w:val="none" w:sz="0" w:space="0" w:color="auto"/>
        <w:right w:val="none" w:sz="0" w:space="0" w:color="auto"/>
      </w:divBdr>
    </w:div>
    <w:div w:id="1839493033">
      <w:bodyDiv w:val="1"/>
      <w:marLeft w:val="0"/>
      <w:marRight w:val="0"/>
      <w:marTop w:val="0"/>
      <w:marBottom w:val="0"/>
      <w:divBdr>
        <w:top w:val="none" w:sz="0" w:space="0" w:color="auto"/>
        <w:left w:val="none" w:sz="0" w:space="0" w:color="auto"/>
        <w:bottom w:val="none" w:sz="0" w:space="0" w:color="auto"/>
        <w:right w:val="none" w:sz="0" w:space="0" w:color="auto"/>
      </w:divBdr>
    </w:div>
    <w:div w:id="1840122184">
      <w:bodyDiv w:val="1"/>
      <w:marLeft w:val="0"/>
      <w:marRight w:val="0"/>
      <w:marTop w:val="0"/>
      <w:marBottom w:val="0"/>
      <w:divBdr>
        <w:top w:val="none" w:sz="0" w:space="0" w:color="auto"/>
        <w:left w:val="none" w:sz="0" w:space="0" w:color="auto"/>
        <w:bottom w:val="none" w:sz="0" w:space="0" w:color="auto"/>
        <w:right w:val="none" w:sz="0" w:space="0" w:color="auto"/>
      </w:divBdr>
    </w:div>
    <w:div w:id="1841699638">
      <w:bodyDiv w:val="1"/>
      <w:marLeft w:val="0"/>
      <w:marRight w:val="0"/>
      <w:marTop w:val="0"/>
      <w:marBottom w:val="0"/>
      <w:divBdr>
        <w:top w:val="none" w:sz="0" w:space="0" w:color="auto"/>
        <w:left w:val="none" w:sz="0" w:space="0" w:color="auto"/>
        <w:bottom w:val="none" w:sz="0" w:space="0" w:color="auto"/>
        <w:right w:val="none" w:sz="0" w:space="0" w:color="auto"/>
      </w:divBdr>
    </w:div>
    <w:div w:id="1842742028">
      <w:bodyDiv w:val="1"/>
      <w:marLeft w:val="0"/>
      <w:marRight w:val="0"/>
      <w:marTop w:val="0"/>
      <w:marBottom w:val="0"/>
      <w:divBdr>
        <w:top w:val="none" w:sz="0" w:space="0" w:color="auto"/>
        <w:left w:val="none" w:sz="0" w:space="0" w:color="auto"/>
        <w:bottom w:val="none" w:sz="0" w:space="0" w:color="auto"/>
        <w:right w:val="none" w:sz="0" w:space="0" w:color="auto"/>
      </w:divBdr>
    </w:div>
    <w:div w:id="1843004050">
      <w:bodyDiv w:val="1"/>
      <w:marLeft w:val="0"/>
      <w:marRight w:val="0"/>
      <w:marTop w:val="0"/>
      <w:marBottom w:val="0"/>
      <w:divBdr>
        <w:top w:val="none" w:sz="0" w:space="0" w:color="auto"/>
        <w:left w:val="none" w:sz="0" w:space="0" w:color="auto"/>
        <w:bottom w:val="none" w:sz="0" w:space="0" w:color="auto"/>
        <w:right w:val="none" w:sz="0" w:space="0" w:color="auto"/>
      </w:divBdr>
    </w:div>
    <w:div w:id="1844123561">
      <w:bodyDiv w:val="1"/>
      <w:marLeft w:val="0"/>
      <w:marRight w:val="0"/>
      <w:marTop w:val="0"/>
      <w:marBottom w:val="0"/>
      <w:divBdr>
        <w:top w:val="none" w:sz="0" w:space="0" w:color="auto"/>
        <w:left w:val="none" w:sz="0" w:space="0" w:color="auto"/>
        <w:bottom w:val="none" w:sz="0" w:space="0" w:color="auto"/>
        <w:right w:val="none" w:sz="0" w:space="0" w:color="auto"/>
      </w:divBdr>
    </w:div>
    <w:div w:id="1845897084">
      <w:bodyDiv w:val="1"/>
      <w:marLeft w:val="0"/>
      <w:marRight w:val="0"/>
      <w:marTop w:val="0"/>
      <w:marBottom w:val="0"/>
      <w:divBdr>
        <w:top w:val="none" w:sz="0" w:space="0" w:color="auto"/>
        <w:left w:val="none" w:sz="0" w:space="0" w:color="auto"/>
        <w:bottom w:val="none" w:sz="0" w:space="0" w:color="auto"/>
        <w:right w:val="none" w:sz="0" w:space="0" w:color="auto"/>
      </w:divBdr>
    </w:div>
    <w:div w:id="1846281761">
      <w:bodyDiv w:val="1"/>
      <w:marLeft w:val="0"/>
      <w:marRight w:val="0"/>
      <w:marTop w:val="0"/>
      <w:marBottom w:val="0"/>
      <w:divBdr>
        <w:top w:val="none" w:sz="0" w:space="0" w:color="auto"/>
        <w:left w:val="none" w:sz="0" w:space="0" w:color="auto"/>
        <w:bottom w:val="none" w:sz="0" w:space="0" w:color="auto"/>
        <w:right w:val="none" w:sz="0" w:space="0" w:color="auto"/>
      </w:divBdr>
    </w:div>
    <w:div w:id="1846551024">
      <w:bodyDiv w:val="1"/>
      <w:marLeft w:val="0"/>
      <w:marRight w:val="0"/>
      <w:marTop w:val="0"/>
      <w:marBottom w:val="0"/>
      <w:divBdr>
        <w:top w:val="none" w:sz="0" w:space="0" w:color="auto"/>
        <w:left w:val="none" w:sz="0" w:space="0" w:color="auto"/>
        <w:bottom w:val="none" w:sz="0" w:space="0" w:color="auto"/>
        <w:right w:val="none" w:sz="0" w:space="0" w:color="auto"/>
      </w:divBdr>
    </w:div>
    <w:div w:id="1847090238">
      <w:bodyDiv w:val="1"/>
      <w:marLeft w:val="0"/>
      <w:marRight w:val="0"/>
      <w:marTop w:val="0"/>
      <w:marBottom w:val="0"/>
      <w:divBdr>
        <w:top w:val="none" w:sz="0" w:space="0" w:color="auto"/>
        <w:left w:val="none" w:sz="0" w:space="0" w:color="auto"/>
        <w:bottom w:val="none" w:sz="0" w:space="0" w:color="auto"/>
        <w:right w:val="none" w:sz="0" w:space="0" w:color="auto"/>
      </w:divBdr>
    </w:div>
    <w:div w:id="1847481904">
      <w:bodyDiv w:val="1"/>
      <w:marLeft w:val="0"/>
      <w:marRight w:val="0"/>
      <w:marTop w:val="0"/>
      <w:marBottom w:val="0"/>
      <w:divBdr>
        <w:top w:val="none" w:sz="0" w:space="0" w:color="auto"/>
        <w:left w:val="none" w:sz="0" w:space="0" w:color="auto"/>
        <w:bottom w:val="none" w:sz="0" w:space="0" w:color="auto"/>
        <w:right w:val="none" w:sz="0" w:space="0" w:color="auto"/>
      </w:divBdr>
    </w:div>
    <w:div w:id="1847862246">
      <w:bodyDiv w:val="1"/>
      <w:marLeft w:val="0"/>
      <w:marRight w:val="0"/>
      <w:marTop w:val="0"/>
      <w:marBottom w:val="0"/>
      <w:divBdr>
        <w:top w:val="none" w:sz="0" w:space="0" w:color="auto"/>
        <w:left w:val="none" w:sz="0" w:space="0" w:color="auto"/>
        <w:bottom w:val="none" w:sz="0" w:space="0" w:color="auto"/>
        <w:right w:val="none" w:sz="0" w:space="0" w:color="auto"/>
      </w:divBdr>
    </w:div>
    <w:div w:id="1847866151">
      <w:bodyDiv w:val="1"/>
      <w:marLeft w:val="0"/>
      <w:marRight w:val="0"/>
      <w:marTop w:val="0"/>
      <w:marBottom w:val="0"/>
      <w:divBdr>
        <w:top w:val="none" w:sz="0" w:space="0" w:color="auto"/>
        <w:left w:val="none" w:sz="0" w:space="0" w:color="auto"/>
        <w:bottom w:val="none" w:sz="0" w:space="0" w:color="auto"/>
        <w:right w:val="none" w:sz="0" w:space="0" w:color="auto"/>
      </w:divBdr>
    </w:div>
    <w:div w:id="1849129815">
      <w:bodyDiv w:val="1"/>
      <w:marLeft w:val="0"/>
      <w:marRight w:val="0"/>
      <w:marTop w:val="0"/>
      <w:marBottom w:val="0"/>
      <w:divBdr>
        <w:top w:val="none" w:sz="0" w:space="0" w:color="auto"/>
        <w:left w:val="none" w:sz="0" w:space="0" w:color="auto"/>
        <w:bottom w:val="none" w:sz="0" w:space="0" w:color="auto"/>
        <w:right w:val="none" w:sz="0" w:space="0" w:color="auto"/>
      </w:divBdr>
    </w:div>
    <w:div w:id="1849177358">
      <w:bodyDiv w:val="1"/>
      <w:marLeft w:val="0"/>
      <w:marRight w:val="0"/>
      <w:marTop w:val="0"/>
      <w:marBottom w:val="0"/>
      <w:divBdr>
        <w:top w:val="none" w:sz="0" w:space="0" w:color="auto"/>
        <w:left w:val="none" w:sz="0" w:space="0" w:color="auto"/>
        <w:bottom w:val="none" w:sz="0" w:space="0" w:color="auto"/>
        <w:right w:val="none" w:sz="0" w:space="0" w:color="auto"/>
      </w:divBdr>
    </w:div>
    <w:div w:id="1849320273">
      <w:bodyDiv w:val="1"/>
      <w:marLeft w:val="0"/>
      <w:marRight w:val="0"/>
      <w:marTop w:val="0"/>
      <w:marBottom w:val="0"/>
      <w:divBdr>
        <w:top w:val="none" w:sz="0" w:space="0" w:color="auto"/>
        <w:left w:val="none" w:sz="0" w:space="0" w:color="auto"/>
        <w:bottom w:val="none" w:sz="0" w:space="0" w:color="auto"/>
        <w:right w:val="none" w:sz="0" w:space="0" w:color="auto"/>
      </w:divBdr>
    </w:div>
    <w:div w:id="1849364427">
      <w:bodyDiv w:val="1"/>
      <w:marLeft w:val="0"/>
      <w:marRight w:val="0"/>
      <w:marTop w:val="0"/>
      <w:marBottom w:val="0"/>
      <w:divBdr>
        <w:top w:val="none" w:sz="0" w:space="0" w:color="auto"/>
        <w:left w:val="none" w:sz="0" w:space="0" w:color="auto"/>
        <w:bottom w:val="none" w:sz="0" w:space="0" w:color="auto"/>
        <w:right w:val="none" w:sz="0" w:space="0" w:color="auto"/>
      </w:divBdr>
    </w:div>
    <w:div w:id="1849438848">
      <w:bodyDiv w:val="1"/>
      <w:marLeft w:val="0"/>
      <w:marRight w:val="0"/>
      <w:marTop w:val="0"/>
      <w:marBottom w:val="0"/>
      <w:divBdr>
        <w:top w:val="none" w:sz="0" w:space="0" w:color="auto"/>
        <w:left w:val="none" w:sz="0" w:space="0" w:color="auto"/>
        <w:bottom w:val="none" w:sz="0" w:space="0" w:color="auto"/>
        <w:right w:val="none" w:sz="0" w:space="0" w:color="auto"/>
      </w:divBdr>
    </w:div>
    <w:div w:id="1849714425">
      <w:bodyDiv w:val="1"/>
      <w:marLeft w:val="0"/>
      <w:marRight w:val="0"/>
      <w:marTop w:val="0"/>
      <w:marBottom w:val="0"/>
      <w:divBdr>
        <w:top w:val="none" w:sz="0" w:space="0" w:color="auto"/>
        <w:left w:val="none" w:sz="0" w:space="0" w:color="auto"/>
        <w:bottom w:val="none" w:sz="0" w:space="0" w:color="auto"/>
        <w:right w:val="none" w:sz="0" w:space="0" w:color="auto"/>
      </w:divBdr>
    </w:div>
    <w:div w:id="1851021149">
      <w:bodyDiv w:val="1"/>
      <w:marLeft w:val="0"/>
      <w:marRight w:val="0"/>
      <w:marTop w:val="0"/>
      <w:marBottom w:val="0"/>
      <w:divBdr>
        <w:top w:val="none" w:sz="0" w:space="0" w:color="auto"/>
        <w:left w:val="none" w:sz="0" w:space="0" w:color="auto"/>
        <w:bottom w:val="none" w:sz="0" w:space="0" w:color="auto"/>
        <w:right w:val="none" w:sz="0" w:space="0" w:color="auto"/>
      </w:divBdr>
    </w:div>
    <w:div w:id="1852446927">
      <w:bodyDiv w:val="1"/>
      <w:marLeft w:val="0"/>
      <w:marRight w:val="0"/>
      <w:marTop w:val="0"/>
      <w:marBottom w:val="0"/>
      <w:divBdr>
        <w:top w:val="none" w:sz="0" w:space="0" w:color="auto"/>
        <w:left w:val="none" w:sz="0" w:space="0" w:color="auto"/>
        <w:bottom w:val="none" w:sz="0" w:space="0" w:color="auto"/>
        <w:right w:val="none" w:sz="0" w:space="0" w:color="auto"/>
      </w:divBdr>
    </w:div>
    <w:div w:id="1853177240">
      <w:bodyDiv w:val="1"/>
      <w:marLeft w:val="0"/>
      <w:marRight w:val="0"/>
      <w:marTop w:val="0"/>
      <w:marBottom w:val="0"/>
      <w:divBdr>
        <w:top w:val="none" w:sz="0" w:space="0" w:color="auto"/>
        <w:left w:val="none" w:sz="0" w:space="0" w:color="auto"/>
        <w:bottom w:val="none" w:sz="0" w:space="0" w:color="auto"/>
        <w:right w:val="none" w:sz="0" w:space="0" w:color="auto"/>
      </w:divBdr>
    </w:div>
    <w:div w:id="1853300765">
      <w:bodyDiv w:val="1"/>
      <w:marLeft w:val="0"/>
      <w:marRight w:val="0"/>
      <w:marTop w:val="0"/>
      <w:marBottom w:val="0"/>
      <w:divBdr>
        <w:top w:val="none" w:sz="0" w:space="0" w:color="auto"/>
        <w:left w:val="none" w:sz="0" w:space="0" w:color="auto"/>
        <w:bottom w:val="none" w:sz="0" w:space="0" w:color="auto"/>
        <w:right w:val="none" w:sz="0" w:space="0" w:color="auto"/>
      </w:divBdr>
    </w:div>
    <w:div w:id="1853492250">
      <w:bodyDiv w:val="1"/>
      <w:marLeft w:val="0"/>
      <w:marRight w:val="0"/>
      <w:marTop w:val="0"/>
      <w:marBottom w:val="0"/>
      <w:divBdr>
        <w:top w:val="none" w:sz="0" w:space="0" w:color="auto"/>
        <w:left w:val="none" w:sz="0" w:space="0" w:color="auto"/>
        <w:bottom w:val="none" w:sz="0" w:space="0" w:color="auto"/>
        <w:right w:val="none" w:sz="0" w:space="0" w:color="auto"/>
      </w:divBdr>
    </w:div>
    <w:div w:id="1853644291">
      <w:bodyDiv w:val="1"/>
      <w:marLeft w:val="0"/>
      <w:marRight w:val="0"/>
      <w:marTop w:val="0"/>
      <w:marBottom w:val="0"/>
      <w:divBdr>
        <w:top w:val="none" w:sz="0" w:space="0" w:color="auto"/>
        <w:left w:val="none" w:sz="0" w:space="0" w:color="auto"/>
        <w:bottom w:val="none" w:sz="0" w:space="0" w:color="auto"/>
        <w:right w:val="none" w:sz="0" w:space="0" w:color="auto"/>
      </w:divBdr>
    </w:div>
    <w:div w:id="1854757935">
      <w:bodyDiv w:val="1"/>
      <w:marLeft w:val="0"/>
      <w:marRight w:val="0"/>
      <w:marTop w:val="0"/>
      <w:marBottom w:val="0"/>
      <w:divBdr>
        <w:top w:val="none" w:sz="0" w:space="0" w:color="auto"/>
        <w:left w:val="none" w:sz="0" w:space="0" w:color="auto"/>
        <w:bottom w:val="none" w:sz="0" w:space="0" w:color="auto"/>
        <w:right w:val="none" w:sz="0" w:space="0" w:color="auto"/>
      </w:divBdr>
    </w:div>
    <w:div w:id="1856113859">
      <w:bodyDiv w:val="1"/>
      <w:marLeft w:val="0"/>
      <w:marRight w:val="0"/>
      <w:marTop w:val="0"/>
      <w:marBottom w:val="0"/>
      <w:divBdr>
        <w:top w:val="none" w:sz="0" w:space="0" w:color="auto"/>
        <w:left w:val="none" w:sz="0" w:space="0" w:color="auto"/>
        <w:bottom w:val="none" w:sz="0" w:space="0" w:color="auto"/>
        <w:right w:val="none" w:sz="0" w:space="0" w:color="auto"/>
      </w:divBdr>
    </w:div>
    <w:div w:id="1856184925">
      <w:bodyDiv w:val="1"/>
      <w:marLeft w:val="0"/>
      <w:marRight w:val="0"/>
      <w:marTop w:val="0"/>
      <w:marBottom w:val="0"/>
      <w:divBdr>
        <w:top w:val="none" w:sz="0" w:space="0" w:color="auto"/>
        <w:left w:val="none" w:sz="0" w:space="0" w:color="auto"/>
        <w:bottom w:val="none" w:sz="0" w:space="0" w:color="auto"/>
        <w:right w:val="none" w:sz="0" w:space="0" w:color="auto"/>
      </w:divBdr>
    </w:div>
    <w:div w:id="1856192867">
      <w:bodyDiv w:val="1"/>
      <w:marLeft w:val="0"/>
      <w:marRight w:val="0"/>
      <w:marTop w:val="0"/>
      <w:marBottom w:val="0"/>
      <w:divBdr>
        <w:top w:val="none" w:sz="0" w:space="0" w:color="auto"/>
        <w:left w:val="none" w:sz="0" w:space="0" w:color="auto"/>
        <w:bottom w:val="none" w:sz="0" w:space="0" w:color="auto"/>
        <w:right w:val="none" w:sz="0" w:space="0" w:color="auto"/>
      </w:divBdr>
    </w:div>
    <w:div w:id="1856990501">
      <w:bodyDiv w:val="1"/>
      <w:marLeft w:val="0"/>
      <w:marRight w:val="0"/>
      <w:marTop w:val="0"/>
      <w:marBottom w:val="0"/>
      <w:divBdr>
        <w:top w:val="none" w:sz="0" w:space="0" w:color="auto"/>
        <w:left w:val="none" w:sz="0" w:space="0" w:color="auto"/>
        <w:bottom w:val="none" w:sz="0" w:space="0" w:color="auto"/>
        <w:right w:val="none" w:sz="0" w:space="0" w:color="auto"/>
      </w:divBdr>
    </w:div>
    <w:div w:id="1857033958">
      <w:bodyDiv w:val="1"/>
      <w:marLeft w:val="0"/>
      <w:marRight w:val="0"/>
      <w:marTop w:val="0"/>
      <w:marBottom w:val="0"/>
      <w:divBdr>
        <w:top w:val="none" w:sz="0" w:space="0" w:color="auto"/>
        <w:left w:val="none" w:sz="0" w:space="0" w:color="auto"/>
        <w:bottom w:val="none" w:sz="0" w:space="0" w:color="auto"/>
        <w:right w:val="none" w:sz="0" w:space="0" w:color="auto"/>
      </w:divBdr>
    </w:div>
    <w:div w:id="1857498875">
      <w:bodyDiv w:val="1"/>
      <w:marLeft w:val="0"/>
      <w:marRight w:val="0"/>
      <w:marTop w:val="0"/>
      <w:marBottom w:val="0"/>
      <w:divBdr>
        <w:top w:val="none" w:sz="0" w:space="0" w:color="auto"/>
        <w:left w:val="none" w:sz="0" w:space="0" w:color="auto"/>
        <w:bottom w:val="none" w:sz="0" w:space="0" w:color="auto"/>
        <w:right w:val="none" w:sz="0" w:space="0" w:color="auto"/>
      </w:divBdr>
    </w:div>
    <w:div w:id="1857843703">
      <w:bodyDiv w:val="1"/>
      <w:marLeft w:val="0"/>
      <w:marRight w:val="0"/>
      <w:marTop w:val="0"/>
      <w:marBottom w:val="0"/>
      <w:divBdr>
        <w:top w:val="none" w:sz="0" w:space="0" w:color="auto"/>
        <w:left w:val="none" w:sz="0" w:space="0" w:color="auto"/>
        <w:bottom w:val="none" w:sz="0" w:space="0" w:color="auto"/>
        <w:right w:val="none" w:sz="0" w:space="0" w:color="auto"/>
      </w:divBdr>
    </w:div>
    <w:div w:id="1858230405">
      <w:bodyDiv w:val="1"/>
      <w:marLeft w:val="0"/>
      <w:marRight w:val="0"/>
      <w:marTop w:val="0"/>
      <w:marBottom w:val="0"/>
      <w:divBdr>
        <w:top w:val="none" w:sz="0" w:space="0" w:color="auto"/>
        <w:left w:val="none" w:sz="0" w:space="0" w:color="auto"/>
        <w:bottom w:val="none" w:sz="0" w:space="0" w:color="auto"/>
        <w:right w:val="none" w:sz="0" w:space="0" w:color="auto"/>
      </w:divBdr>
    </w:div>
    <w:div w:id="1859152061">
      <w:bodyDiv w:val="1"/>
      <w:marLeft w:val="0"/>
      <w:marRight w:val="0"/>
      <w:marTop w:val="0"/>
      <w:marBottom w:val="0"/>
      <w:divBdr>
        <w:top w:val="none" w:sz="0" w:space="0" w:color="auto"/>
        <w:left w:val="none" w:sz="0" w:space="0" w:color="auto"/>
        <w:bottom w:val="none" w:sz="0" w:space="0" w:color="auto"/>
        <w:right w:val="none" w:sz="0" w:space="0" w:color="auto"/>
      </w:divBdr>
    </w:div>
    <w:div w:id="1859587112">
      <w:bodyDiv w:val="1"/>
      <w:marLeft w:val="0"/>
      <w:marRight w:val="0"/>
      <w:marTop w:val="0"/>
      <w:marBottom w:val="0"/>
      <w:divBdr>
        <w:top w:val="none" w:sz="0" w:space="0" w:color="auto"/>
        <w:left w:val="none" w:sz="0" w:space="0" w:color="auto"/>
        <w:bottom w:val="none" w:sz="0" w:space="0" w:color="auto"/>
        <w:right w:val="none" w:sz="0" w:space="0" w:color="auto"/>
      </w:divBdr>
    </w:div>
    <w:div w:id="1860317198">
      <w:bodyDiv w:val="1"/>
      <w:marLeft w:val="0"/>
      <w:marRight w:val="0"/>
      <w:marTop w:val="0"/>
      <w:marBottom w:val="0"/>
      <w:divBdr>
        <w:top w:val="none" w:sz="0" w:space="0" w:color="auto"/>
        <w:left w:val="none" w:sz="0" w:space="0" w:color="auto"/>
        <w:bottom w:val="none" w:sz="0" w:space="0" w:color="auto"/>
        <w:right w:val="none" w:sz="0" w:space="0" w:color="auto"/>
      </w:divBdr>
    </w:div>
    <w:div w:id="1861383848">
      <w:bodyDiv w:val="1"/>
      <w:marLeft w:val="0"/>
      <w:marRight w:val="0"/>
      <w:marTop w:val="0"/>
      <w:marBottom w:val="0"/>
      <w:divBdr>
        <w:top w:val="none" w:sz="0" w:space="0" w:color="auto"/>
        <w:left w:val="none" w:sz="0" w:space="0" w:color="auto"/>
        <w:bottom w:val="none" w:sz="0" w:space="0" w:color="auto"/>
        <w:right w:val="none" w:sz="0" w:space="0" w:color="auto"/>
      </w:divBdr>
    </w:div>
    <w:div w:id="1862891204">
      <w:bodyDiv w:val="1"/>
      <w:marLeft w:val="0"/>
      <w:marRight w:val="0"/>
      <w:marTop w:val="0"/>
      <w:marBottom w:val="0"/>
      <w:divBdr>
        <w:top w:val="none" w:sz="0" w:space="0" w:color="auto"/>
        <w:left w:val="none" w:sz="0" w:space="0" w:color="auto"/>
        <w:bottom w:val="none" w:sz="0" w:space="0" w:color="auto"/>
        <w:right w:val="none" w:sz="0" w:space="0" w:color="auto"/>
      </w:divBdr>
    </w:div>
    <w:div w:id="1864974709">
      <w:bodyDiv w:val="1"/>
      <w:marLeft w:val="0"/>
      <w:marRight w:val="0"/>
      <w:marTop w:val="0"/>
      <w:marBottom w:val="0"/>
      <w:divBdr>
        <w:top w:val="none" w:sz="0" w:space="0" w:color="auto"/>
        <w:left w:val="none" w:sz="0" w:space="0" w:color="auto"/>
        <w:bottom w:val="none" w:sz="0" w:space="0" w:color="auto"/>
        <w:right w:val="none" w:sz="0" w:space="0" w:color="auto"/>
      </w:divBdr>
    </w:div>
    <w:div w:id="1865240491">
      <w:bodyDiv w:val="1"/>
      <w:marLeft w:val="0"/>
      <w:marRight w:val="0"/>
      <w:marTop w:val="0"/>
      <w:marBottom w:val="0"/>
      <w:divBdr>
        <w:top w:val="none" w:sz="0" w:space="0" w:color="auto"/>
        <w:left w:val="none" w:sz="0" w:space="0" w:color="auto"/>
        <w:bottom w:val="none" w:sz="0" w:space="0" w:color="auto"/>
        <w:right w:val="none" w:sz="0" w:space="0" w:color="auto"/>
      </w:divBdr>
    </w:div>
    <w:div w:id="1865289067">
      <w:bodyDiv w:val="1"/>
      <w:marLeft w:val="0"/>
      <w:marRight w:val="0"/>
      <w:marTop w:val="0"/>
      <w:marBottom w:val="0"/>
      <w:divBdr>
        <w:top w:val="none" w:sz="0" w:space="0" w:color="auto"/>
        <w:left w:val="none" w:sz="0" w:space="0" w:color="auto"/>
        <w:bottom w:val="none" w:sz="0" w:space="0" w:color="auto"/>
        <w:right w:val="none" w:sz="0" w:space="0" w:color="auto"/>
      </w:divBdr>
    </w:div>
    <w:div w:id="1865559100">
      <w:bodyDiv w:val="1"/>
      <w:marLeft w:val="0"/>
      <w:marRight w:val="0"/>
      <w:marTop w:val="0"/>
      <w:marBottom w:val="0"/>
      <w:divBdr>
        <w:top w:val="none" w:sz="0" w:space="0" w:color="auto"/>
        <w:left w:val="none" w:sz="0" w:space="0" w:color="auto"/>
        <w:bottom w:val="none" w:sz="0" w:space="0" w:color="auto"/>
        <w:right w:val="none" w:sz="0" w:space="0" w:color="auto"/>
      </w:divBdr>
    </w:div>
    <w:div w:id="1865750218">
      <w:bodyDiv w:val="1"/>
      <w:marLeft w:val="0"/>
      <w:marRight w:val="0"/>
      <w:marTop w:val="0"/>
      <w:marBottom w:val="0"/>
      <w:divBdr>
        <w:top w:val="none" w:sz="0" w:space="0" w:color="auto"/>
        <w:left w:val="none" w:sz="0" w:space="0" w:color="auto"/>
        <w:bottom w:val="none" w:sz="0" w:space="0" w:color="auto"/>
        <w:right w:val="none" w:sz="0" w:space="0" w:color="auto"/>
      </w:divBdr>
    </w:div>
    <w:div w:id="1869829247">
      <w:bodyDiv w:val="1"/>
      <w:marLeft w:val="0"/>
      <w:marRight w:val="0"/>
      <w:marTop w:val="0"/>
      <w:marBottom w:val="0"/>
      <w:divBdr>
        <w:top w:val="none" w:sz="0" w:space="0" w:color="auto"/>
        <w:left w:val="none" w:sz="0" w:space="0" w:color="auto"/>
        <w:bottom w:val="none" w:sz="0" w:space="0" w:color="auto"/>
        <w:right w:val="none" w:sz="0" w:space="0" w:color="auto"/>
      </w:divBdr>
    </w:div>
    <w:div w:id="1869875606">
      <w:bodyDiv w:val="1"/>
      <w:marLeft w:val="0"/>
      <w:marRight w:val="0"/>
      <w:marTop w:val="0"/>
      <w:marBottom w:val="0"/>
      <w:divBdr>
        <w:top w:val="none" w:sz="0" w:space="0" w:color="auto"/>
        <w:left w:val="none" w:sz="0" w:space="0" w:color="auto"/>
        <w:bottom w:val="none" w:sz="0" w:space="0" w:color="auto"/>
        <w:right w:val="none" w:sz="0" w:space="0" w:color="auto"/>
      </w:divBdr>
    </w:div>
    <w:div w:id="1869946436">
      <w:bodyDiv w:val="1"/>
      <w:marLeft w:val="0"/>
      <w:marRight w:val="0"/>
      <w:marTop w:val="0"/>
      <w:marBottom w:val="0"/>
      <w:divBdr>
        <w:top w:val="none" w:sz="0" w:space="0" w:color="auto"/>
        <w:left w:val="none" w:sz="0" w:space="0" w:color="auto"/>
        <w:bottom w:val="none" w:sz="0" w:space="0" w:color="auto"/>
        <w:right w:val="none" w:sz="0" w:space="0" w:color="auto"/>
      </w:divBdr>
    </w:div>
    <w:div w:id="1870530422">
      <w:bodyDiv w:val="1"/>
      <w:marLeft w:val="0"/>
      <w:marRight w:val="0"/>
      <w:marTop w:val="0"/>
      <w:marBottom w:val="0"/>
      <w:divBdr>
        <w:top w:val="none" w:sz="0" w:space="0" w:color="auto"/>
        <w:left w:val="none" w:sz="0" w:space="0" w:color="auto"/>
        <w:bottom w:val="none" w:sz="0" w:space="0" w:color="auto"/>
        <w:right w:val="none" w:sz="0" w:space="0" w:color="auto"/>
      </w:divBdr>
    </w:div>
    <w:div w:id="1870878356">
      <w:bodyDiv w:val="1"/>
      <w:marLeft w:val="0"/>
      <w:marRight w:val="0"/>
      <w:marTop w:val="0"/>
      <w:marBottom w:val="0"/>
      <w:divBdr>
        <w:top w:val="none" w:sz="0" w:space="0" w:color="auto"/>
        <w:left w:val="none" w:sz="0" w:space="0" w:color="auto"/>
        <w:bottom w:val="none" w:sz="0" w:space="0" w:color="auto"/>
        <w:right w:val="none" w:sz="0" w:space="0" w:color="auto"/>
      </w:divBdr>
    </w:div>
    <w:div w:id="1872916559">
      <w:bodyDiv w:val="1"/>
      <w:marLeft w:val="0"/>
      <w:marRight w:val="0"/>
      <w:marTop w:val="0"/>
      <w:marBottom w:val="0"/>
      <w:divBdr>
        <w:top w:val="none" w:sz="0" w:space="0" w:color="auto"/>
        <w:left w:val="none" w:sz="0" w:space="0" w:color="auto"/>
        <w:bottom w:val="none" w:sz="0" w:space="0" w:color="auto"/>
        <w:right w:val="none" w:sz="0" w:space="0" w:color="auto"/>
      </w:divBdr>
    </w:div>
    <w:div w:id="1873612107">
      <w:bodyDiv w:val="1"/>
      <w:marLeft w:val="0"/>
      <w:marRight w:val="0"/>
      <w:marTop w:val="0"/>
      <w:marBottom w:val="0"/>
      <w:divBdr>
        <w:top w:val="none" w:sz="0" w:space="0" w:color="auto"/>
        <w:left w:val="none" w:sz="0" w:space="0" w:color="auto"/>
        <w:bottom w:val="none" w:sz="0" w:space="0" w:color="auto"/>
        <w:right w:val="none" w:sz="0" w:space="0" w:color="auto"/>
      </w:divBdr>
    </w:div>
    <w:div w:id="1873692054">
      <w:bodyDiv w:val="1"/>
      <w:marLeft w:val="0"/>
      <w:marRight w:val="0"/>
      <w:marTop w:val="0"/>
      <w:marBottom w:val="0"/>
      <w:divBdr>
        <w:top w:val="none" w:sz="0" w:space="0" w:color="auto"/>
        <w:left w:val="none" w:sz="0" w:space="0" w:color="auto"/>
        <w:bottom w:val="none" w:sz="0" w:space="0" w:color="auto"/>
        <w:right w:val="none" w:sz="0" w:space="0" w:color="auto"/>
      </w:divBdr>
    </w:div>
    <w:div w:id="1873957331">
      <w:bodyDiv w:val="1"/>
      <w:marLeft w:val="0"/>
      <w:marRight w:val="0"/>
      <w:marTop w:val="0"/>
      <w:marBottom w:val="0"/>
      <w:divBdr>
        <w:top w:val="none" w:sz="0" w:space="0" w:color="auto"/>
        <w:left w:val="none" w:sz="0" w:space="0" w:color="auto"/>
        <w:bottom w:val="none" w:sz="0" w:space="0" w:color="auto"/>
        <w:right w:val="none" w:sz="0" w:space="0" w:color="auto"/>
      </w:divBdr>
    </w:div>
    <w:div w:id="1874145876">
      <w:bodyDiv w:val="1"/>
      <w:marLeft w:val="0"/>
      <w:marRight w:val="0"/>
      <w:marTop w:val="0"/>
      <w:marBottom w:val="0"/>
      <w:divBdr>
        <w:top w:val="none" w:sz="0" w:space="0" w:color="auto"/>
        <w:left w:val="none" w:sz="0" w:space="0" w:color="auto"/>
        <w:bottom w:val="none" w:sz="0" w:space="0" w:color="auto"/>
        <w:right w:val="none" w:sz="0" w:space="0" w:color="auto"/>
      </w:divBdr>
    </w:div>
    <w:div w:id="1874149114">
      <w:bodyDiv w:val="1"/>
      <w:marLeft w:val="0"/>
      <w:marRight w:val="0"/>
      <w:marTop w:val="0"/>
      <w:marBottom w:val="0"/>
      <w:divBdr>
        <w:top w:val="none" w:sz="0" w:space="0" w:color="auto"/>
        <w:left w:val="none" w:sz="0" w:space="0" w:color="auto"/>
        <w:bottom w:val="none" w:sz="0" w:space="0" w:color="auto"/>
        <w:right w:val="none" w:sz="0" w:space="0" w:color="auto"/>
      </w:divBdr>
    </w:div>
    <w:div w:id="1874731602">
      <w:bodyDiv w:val="1"/>
      <w:marLeft w:val="0"/>
      <w:marRight w:val="0"/>
      <w:marTop w:val="0"/>
      <w:marBottom w:val="0"/>
      <w:divBdr>
        <w:top w:val="none" w:sz="0" w:space="0" w:color="auto"/>
        <w:left w:val="none" w:sz="0" w:space="0" w:color="auto"/>
        <w:bottom w:val="none" w:sz="0" w:space="0" w:color="auto"/>
        <w:right w:val="none" w:sz="0" w:space="0" w:color="auto"/>
      </w:divBdr>
    </w:div>
    <w:div w:id="1875117303">
      <w:bodyDiv w:val="1"/>
      <w:marLeft w:val="0"/>
      <w:marRight w:val="0"/>
      <w:marTop w:val="0"/>
      <w:marBottom w:val="0"/>
      <w:divBdr>
        <w:top w:val="none" w:sz="0" w:space="0" w:color="auto"/>
        <w:left w:val="none" w:sz="0" w:space="0" w:color="auto"/>
        <w:bottom w:val="none" w:sz="0" w:space="0" w:color="auto"/>
        <w:right w:val="none" w:sz="0" w:space="0" w:color="auto"/>
      </w:divBdr>
    </w:div>
    <w:div w:id="1876891202">
      <w:bodyDiv w:val="1"/>
      <w:marLeft w:val="0"/>
      <w:marRight w:val="0"/>
      <w:marTop w:val="0"/>
      <w:marBottom w:val="0"/>
      <w:divBdr>
        <w:top w:val="none" w:sz="0" w:space="0" w:color="auto"/>
        <w:left w:val="none" w:sz="0" w:space="0" w:color="auto"/>
        <w:bottom w:val="none" w:sz="0" w:space="0" w:color="auto"/>
        <w:right w:val="none" w:sz="0" w:space="0" w:color="auto"/>
      </w:divBdr>
    </w:div>
    <w:div w:id="1877618300">
      <w:bodyDiv w:val="1"/>
      <w:marLeft w:val="0"/>
      <w:marRight w:val="0"/>
      <w:marTop w:val="0"/>
      <w:marBottom w:val="0"/>
      <w:divBdr>
        <w:top w:val="none" w:sz="0" w:space="0" w:color="auto"/>
        <w:left w:val="none" w:sz="0" w:space="0" w:color="auto"/>
        <w:bottom w:val="none" w:sz="0" w:space="0" w:color="auto"/>
        <w:right w:val="none" w:sz="0" w:space="0" w:color="auto"/>
      </w:divBdr>
    </w:div>
    <w:div w:id="1877624205">
      <w:bodyDiv w:val="1"/>
      <w:marLeft w:val="0"/>
      <w:marRight w:val="0"/>
      <w:marTop w:val="0"/>
      <w:marBottom w:val="0"/>
      <w:divBdr>
        <w:top w:val="none" w:sz="0" w:space="0" w:color="auto"/>
        <w:left w:val="none" w:sz="0" w:space="0" w:color="auto"/>
        <w:bottom w:val="none" w:sz="0" w:space="0" w:color="auto"/>
        <w:right w:val="none" w:sz="0" w:space="0" w:color="auto"/>
      </w:divBdr>
    </w:div>
    <w:div w:id="1877887225">
      <w:bodyDiv w:val="1"/>
      <w:marLeft w:val="0"/>
      <w:marRight w:val="0"/>
      <w:marTop w:val="0"/>
      <w:marBottom w:val="0"/>
      <w:divBdr>
        <w:top w:val="none" w:sz="0" w:space="0" w:color="auto"/>
        <w:left w:val="none" w:sz="0" w:space="0" w:color="auto"/>
        <w:bottom w:val="none" w:sz="0" w:space="0" w:color="auto"/>
        <w:right w:val="none" w:sz="0" w:space="0" w:color="auto"/>
      </w:divBdr>
    </w:div>
    <w:div w:id="1878540796">
      <w:bodyDiv w:val="1"/>
      <w:marLeft w:val="0"/>
      <w:marRight w:val="0"/>
      <w:marTop w:val="0"/>
      <w:marBottom w:val="0"/>
      <w:divBdr>
        <w:top w:val="none" w:sz="0" w:space="0" w:color="auto"/>
        <w:left w:val="none" w:sz="0" w:space="0" w:color="auto"/>
        <w:bottom w:val="none" w:sz="0" w:space="0" w:color="auto"/>
        <w:right w:val="none" w:sz="0" w:space="0" w:color="auto"/>
      </w:divBdr>
    </w:div>
    <w:div w:id="1878590626">
      <w:bodyDiv w:val="1"/>
      <w:marLeft w:val="0"/>
      <w:marRight w:val="0"/>
      <w:marTop w:val="0"/>
      <w:marBottom w:val="0"/>
      <w:divBdr>
        <w:top w:val="none" w:sz="0" w:space="0" w:color="auto"/>
        <w:left w:val="none" w:sz="0" w:space="0" w:color="auto"/>
        <w:bottom w:val="none" w:sz="0" w:space="0" w:color="auto"/>
        <w:right w:val="none" w:sz="0" w:space="0" w:color="auto"/>
      </w:divBdr>
    </w:div>
    <w:div w:id="1879387296">
      <w:bodyDiv w:val="1"/>
      <w:marLeft w:val="0"/>
      <w:marRight w:val="0"/>
      <w:marTop w:val="0"/>
      <w:marBottom w:val="0"/>
      <w:divBdr>
        <w:top w:val="none" w:sz="0" w:space="0" w:color="auto"/>
        <w:left w:val="none" w:sz="0" w:space="0" w:color="auto"/>
        <w:bottom w:val="none" w:sz="0" w:space="0" w:color="auto"/>
        <w:right w:val="none" w:sz="0" w:space="0" w:color="auto"/>
      </w:divBdr>
    </w:div>
    <w:div w:id="1879732034">
      <w:bodyDiv w:val="1"/>
      <w:marLeft w:val="0"/>
      <w:marRight w:val="0"/>
      <w:marTop w:val="0"/>
      <w:marBottom w:val="0"/>
      <w:divBdr>
        <w:top w:val="none" w:sz="0" w:space="0" w:color="auto"/>
        <w:left w:val="none" w:sz="0" w:space="0" w:color="auto"/>
        <w:bottom w:val="none" w:sz="0" w:space="0" w:color="auto"/>
        <w:right w:val="none" w:sz="0" w:space="0" w:color="auto"/>
      </w:divBdr>
    </w:div>
    <w:div w:id="1880555832">
      <w:bodyDiv w:val="1"/>
      <w:marLeft w:val="0"/>
      <w:marRight w:val="0"/>
      <w:marTop w:val="0"/>
      <w:marBottom w:val="0"/>
      <w:divBdr>
        <w:top w:val="none" w:sz="0" w:space="0" w:color="auto"/>
        <w:left w:val="none" w:sz="0" w:space="0" w:color="auto"/>
        <w:bottom w:val="none" w:sz="0" w:space="0" w:color="auto"/>
        <w:right w:val="none" w:sz="0" w:space="0" w:color="auto"/>
      </w:divBdr>
    </w:div>
    <w:div w:id="1880896228">
      <w:bodyDiv w:val="1"/>
      <w:marLeft w:val="0"/>
      <w:marRight w:val="0"/>
      <w:marTop w:val="0"/>
      <w:marBottom w:val="0"/>
      <w:divBdr>
        <w:top w:val="none" w:sz="0" w:space="0" w:color="auto"/>
        <w:left w:val="none" w:sz="0" w:space="0" w:color="auto"/>
        <w:bottom w:val="none" w:sz="0" w:space="0" w:color="auto"/>
        <w:right w:val="none" w:sz="0" w:space="0" w:color="auto"/>
      </w:divBdr>
    </w:div>
    <w:div w:id="1881092860">
      <w:bodyDiv w:val="1"/>
      <w:marLeft w:val="0"/>
      <w:marRight w:val="0"/>
      <w:marTop w:val="0"/>
      <w:marBottom w:val="0"/>
      <w:divBdr>
        <w:top w:val="none" w:sz="0" w:space="0" w:color="auto"/>
        <w:left w:val="none" w:sz="0" w:space="0" w:color="auto"/>
        <w:bottom w:val="none" w:sz="0" w:space="0" w:color="auto"/>
        <w:right w:val="none" w:sz="0" w:space="0" w:color="auto"/>
      </w:divBdr>
    </w:div>
    <w:div w:id="1882399925">
      <w:bodyDiv w:val="1"/>
      <w:marLeft w:val="0"/>
      <w:marRight w:val="0"/>
      <w:marTop w:val="0"/>
      <w:marBottom w:val="0"/>
      <w:divBdr>
        <w:top w:val="none" w:sz="0" w:space="0" w:color="auto"/>
        <w:left w:val="none" w:sz="0" w:space="0" w:color="auto"/>
        <w:bottom w:val="none" w:sz="0" w:space="0" w:color="auto"/>
        <w:right w:val="none" w:sz="0" w:space="0" w:color="auto"/>
      </w:divBdr>
    </w:div>
    <w:div w:id="1882589755">
      <w:bodyDiv w:val="1"/>
      <w:marLeft w:val="0"/>
      <w:marRight w:val="0"/>
      <w:marTop w:val="0"/>
      <w:marBottom w:val="0"/>
      <w:divBdr>
        <w:top w:val="none" w:sz="0" w:space="0" w:color="auto"/>
        <w:left w:val="none" w:sz="0" w:space="0" w:color="auto"/>
        <w:bottom w:val="none" w:sz="0" w:space="0" w:color="auto"/>
        <w:right w:val="none" w:sz="0" w:space="0" w:color="auto"/>
      </w:divBdr>
    </w:div>
    <w:div w:id="1882672766">
      <w:bodyDiv w:val="1"/>
      <w:marLeft w:val="0"/>
      <w:marRight w:val="0"/>
      <w:marTop w:val="0"/>
      <w:marBottom w:val="0"/>
      <w:divBdr>
        <w:top w:val="none" w:sz="0" w:space="0" w:color="auto"/>
        <w:left w:val="none" w:sz="0" w:space="0" w:color="auto"/>
        <w:bottom w:val="none" w:sz="0" w:space="0" w:color="auto"/>
        <w:right w:val="none" w:sz="0" w:space="0" w:color="auto"/>
      </w:divBdr>
    </w:div>
    <w:div w:id="1883128171">
      <w:bodyDiv w:val="1"/>
      <w:marLeft w:val="0"/>
      <w:marRight w:val="0"/>
      <w:marTop w:val="0"/>
      <w:marBottom w:val="0"/>
      <w:divBdr>
        <w:top w:val="none" w:sz="0" w:space="0" w:color="auto"/>
        <w:left w:val="none" w:sz="0" w:space="0" w:color="auto"/>
        <w:bottom w:val="none" w:sz="0" w:space="0" w:color="auto"/>
        <w:right w:val="none" w:sz="0" w:space="0" w:color="auto"/>
      </w:divBdr>
    </w:div>
    <w:div w:id="1883637762">
      <w:bodyDiv w:val="1"/>
      <w:marLeft w:val="0"/>
      <w:marRight w:val="0"/>
      <w:marTop w:val="0"/>
      <w:marBottom w:val="0"/>
      <w:divBdr>
        <w:top w:val="none" w:sz="0" w:space="0" w:color="auto"/>
        <w:left w:val="none" w:sz="0" w:space="0" w:color="auto"/>
        <w:bottom w:val="none" w:sz="0" w:space="0" w:color="auto"/>
        <w:right w:val="none" w:sz="0" w:space="0" w:color="auto"/>
      </w:divBdr>
    </w:div>
    <w:div w:id="1886061220">
      <w:bodyDiv w:val="1"/>
      <w:marLeft w:val="0"/>
      <w:marRight w:val="0"/>
      <w:marTop w:val="0"/>
      <w:marBottom w:val="0"/>
      <w:divBdr>
        <w:top w:val="none" w:sz="0" w:space="0" w:color="auto"/>
        <w:left w:val="none" w:sz="0" w:space="0" w:color="auto"/>
        <w:bottom w:val="none" w:sz="0" w:space="0" w:color="auto"/>
        <w:right w:val="none" w:sz="0" w:space="0" w:color="auto"/>
      </w:divBdr>
    </w:div>
    <w:div w:id="1886403999">
      <w:bodyDiv w:val="1"/>
      <w:marLeft w:val="0"/>
      <w:marRight w:val="0"/>
      <w:marTop w:val="0"/>
      <w:marBottom w:val="0"/>
      <w:divBdr>
        <w:top w:val="none" w:sz="0" w:space="0" w:color="auto"/>
        <w:left w:val="none" w:sz="0" w:space="0" w:color="auto"/>
        <w:bottom w:val="none" w:sz="0" w:space="0" w:color="auto"/>
        <w:right w:val="none" w:sz="0" w:space="0" w:color="auto"/>
      </w:divBdr>
    </w:div>
    <w:div w:id="1888446885">
      <w:bodyDiv w:val="1"/>
      <w:marLeft w:val="0"/>
      <w:marRight w:val="0"/>
      <w:marTop w:val="0"/>
      <w:marBottom w:val="0"/>
      <w:divBdr>
        <w:top w:val="none" w:sz="0" w:space="0" w:color="auto"/>
        <w:left w:val="none" w:sz="0" w:space="0" w:color="auto"/>
        <w:bottom w:val="none" w:sz="0" w:space="0" w:color="auto"/>
        <w:right w:val="none" w:sz="0" w:space="0" w:color="auto"/>
      </w:divBdr>
    </w:div>
    <w:div w:id="1890146822">
      <w:bodyDiv w:val="1"/>
      <w:marLeft w:val="0"/>
      <w:marRight w:val="0"/>
      <w:marTop w:val="0"/>
      <w:marBottom w:val="0"/>
      <w:divBdr>
        <w:top w:val="none" w:sz="0" w:space="0" w:color="auto"/>
        <w:left w:val="none" w:sz="0" w:space="0" w:color="auto"/>
        <w:bottom w:val="none" w:sz="0" w:space="0" w:color="auto"/>
        <w:right w:val="none" w:sz="0" w:space="0" w:color="auto"/>
      </w:divBdr>
    </w:div>
    <w:div w:id="1891114200">
      <w:bodyDiv w:val="1"/>
      <w:marLeft w:val="0"/>
      <w:marRight w:val="0"/>
      <w:marTop w:val="0"/>
      <w:marBottom w:val="0"/>
      <w:divBdr>
        <w:top w:val="none" w:sz="0" w:space="0" w:color="auto"/>
        <w:left w:val="none" w:sz="0" w:space="0" w:color="auto"/>
        <w:bottom w:val="none" w:sz="0" w:space="0" w:color="auto"/>
        <w:right w:val="none" w:sz="0" w:space="0" w:color="auto"/>
      </w:divBdr>
    </w:div>
    <w:div w:id="1891382996">
      <w:bodyDiv w:val="1"/>
      <w:marLeft w:val="0"/>
      <w:marRight w:val="0"/>
      <w:marTop w:val="0"/>
      <w:marBottom w:val="0"/>
      <w:divBdr>
        <w:top w:val="none" w:sz="0" w:space="0" w:color="auto"/>
        <w:left w:val="none" w:sz="0" w:space="0" w:color="auto"/>
        <w:bottom w:val="none" w:sz="0" w:space="0" w:color="auto"/>
        <w:right w:val="none" w:sz="0" w:space="0" w:color="auto"/>
      </w:divBdr>
    </w:div>
    <w:div w:id="1891458386">
      <w:bodyDiv w:val="1"/>
      <w:marLeft w:val="0"/>
      <w:marRight w:val="0"/>
      <w:marTop w:val="0"/>
      <w:marBottom w:val="0"/>
      <w:divBdr>
        <w:top w:val="none" w:sz="0" w:space="0" w:color="auto"/>
        <w:left w:val="none" w:sz="0" w:space="0" w:color="auto"/>
        <w:bottom w:val="none" w:sz="0" w:space="0" w:color="auto"/>
        <w:right w:val="none" w:sz="0" w:space="0" w:color="auto"/>
      </w:divBdr>
    </w:div>
    <w:div w:id="1891769650">
      <w:bodyDiv w:val="1"/>
      <w:marLeft w:val="0"/>
      <w:marRight w:val="0"/>
      <w:marTop w:val="0"/>
      <w:marBottom w:val="0"/>
      <w:divBdr>
        <w:top w:val="none" w:sz="0" w:space="0" w:color="auto"/>
        <w:left w:val="none" w:sz="0" w:space="0" w:color="auto"/>
        <w:bottom w:val="none" w:sz="0" w:space="0" w:color="auto"/>
        <w:right w:val="none" w:sz="0" w:space="0" w:color="auto"/>
      </w:divBdr>
    </w:div>
    <w:div w:id="1892687602">
      <w:bodyDiv w:val="1"/>
      <w:marLeft w:val="0"/>
      <w:marRight w:val="0"/>
      <w:marTop w:val="0"/>
      <w:marBottom w:val="0"/>
      <w:divBdr>
        <w:top w:val="none" w:sz="0" w:space="0" w:color="auto"/>
        <w:left w:val="none" w:sz="0" w:space="0" w:color="auto"/>
        <w:bottom w:val="none" w:sz="0" w:space="0" w:color="auto"/>
        <w:right w:val="none" w:sz="0" w:space="0" w:color="auto"/>
      </w:divBdr>
    </w:div>
    <w:div w:id="1893036423">
      <w:bodyDiv w:val="1"/>
      <w:marLeft w:val="0"/>
      <w:marRight w:val="0"/>
      <w:marTop w:val="0"/>
      <w:marBottom w:val="0"/>
      <w:divBdr>
        <w:top w:val="none" w:sz="0" w:space="0" w:color="auto"/>
        <w:left w:val="none" w:sz="0" w:space="0" w:color="auto"/>
        <w:bottom w:val="none" w:sz="0" w:space="0" w:color="auto"/>
        <w:right w:val="none" w:sz="0" w:space="0" w:color="auto"/>
      </w:divBdr>
    </w:div>
    <w:div w:id="1893270494">
      <w:bodyDiv w:val="1"/>
      <w:marLeft w:val="0"/>
      <w:marRight w:val="0"/>
      <w:marTop w:val="0"/>
      <w:marBottom w:val="0"/>
      <w:divBdr>
        <w:top w:val="none" w:sz="0" w:space="0" w:color="auto"/>
        <w:left w:val="none" w:sz="0" w:space="0" w:color="auto"/>
        <w:bottom w:val="none" w:sz="0" w:space="0" w:color="auto"/>
        <w:right w:val="none" w:sz="0" w:space="0" w:color="auto"/>
      </w:divBdr>
    </w:div>
    <w:div w:id="1893686734">
      <w:bodyDiv w:val="1"/>
      <w:marLeft w:val="0"/>
      <w:marRight w:val="0"/>
      <w:marTop w:val="0"/>
      <w:marBottom w:val="0"/>
      <w:divBdr>
        <w:top w:val="none" w:sz="0" w:space="0" w:color="auto"/>
        <w:left w:val="none" w:sz="0" w:space="0" w:color="auto"/>
        <w:bottom w:val="none" w:sz="0" w:space="0" w:color="auto"/>
        <w:right w:val="none" w:sz="0" w:space="0" w:color="auto"/>
      </w:divBdr>
    </w:div>
    <w:div w:id="1897545184">
      <w:bodyDiv w:val="1"/>
      <w:marLeft w:val="0"/>
      <w:marRight w:val="0"/>
      <w:marTop w:val="0"/>
      <w:marBottom w:val="0"/>
      <w:divBdr>
        <w:top w:val="none" w:sz="0" w:space="0" w:color="auto"/>
        <w:left w:val="none" w:sz="0" w:space="0" w:color="auto"/>
        <w:bottom w:val="none" w:sz="0" w:space="0" w:color="auto"/>
        <w:right w:val="none" w:sz="0" w:space="0" w:color="auto"/>
      </w:divBdr>
    </w:div>
    <w:div w:id="1897663310">
      <w:bodyDiv w:val="1"/>
      <w:marLeft w:val="0"/>
      <w:marRight w:val="0"/>
      <w:marTop w:val="0"/>
      <w:marBottom w:val="0"/>
      <w:divBdr>
        <w:top w:val="none" w:sz="0" w:space="0" w:color="auto"/>
        <w:left w:val="none" w:sz="0" w:space="0" w:color="auto"/>
        <w:bottom w:val="none" w:sz="0" w:space="0" w:color="auto"/>
        <w:right w:val="none" w:sz="0" w:space="0" w:color="auto"/>
      </w:divBdr>
    </w:div>
    <w:div w:id="1898665725">
      <w:bodyDiv w:val="1"/>
      <w:marLeft w:val="0"/>
      <w:marRight w:val="0"/>
      <w:marTop w:val="0"/>
      <w:marBottom w:val="0"/>
      <w:divBdr>
        <w:top w:val="none" w:sz="0" w:space="0" w:color="auto"/>
        <w:left w:val="none" w:sz="0" w:space="0" w:color="auto"/>
        <w:bottom w:val="none" w:sz="0" w:space="0" w:color="auto"/>
        <w:right w:val="none" w:sz="0" w:space="0" w:color="auto"/>
      </w:divBdr>
    </w:div>
    <w:div w:id="1898785134">
      <w:bodyDiv w:val="1"/>
      <w:marLeft w:val="0"/>
      <w:marRight w:val="0"/>
      <w:marTop w:val="0"/>
      <w:marBottom w:val="0"/>
      <w:divBdr>
        <w:top w:val="none" w:sz="0" w:space="0" w:color="auto"/>
        <w:left w:val="none" w:sz="0" w:space="0" w:color="auto"/>
        <w:bottom w:val="none" w:sz="0" w:space="0" w:color="auto"/>
        <w:right w:val="none" w:sz="0" w:space="0" w:color="auto"/>
      </w:divBdr>
    </w:div>
    <w:div w:id="1899124633">
      <w:bodyDiv w:val="1"/>
      <w:marLeft w:val="0"/>
      <w:marRight w:val="0"/>
      <w:marTop w:val="0"/>
      <w:marBottom w:val="0"/>
      <w:divBdr>
        <w:top w:val="none" w:sz="0" w:space="0" w:color="auto"/>
        <w:left w:val="none" w:sz="0" w:space="0" w:color="auto"/>
        <w:bottom w:val="none" w:sz="0" w:space="0" w:color="auto"/>
        <w:right w:val="none" w:sz="0" w:space="0" w:color="auto"/>
      </w:divBdr>
    </w:div>
    <w:div w:id="1900747361">
      <w:bodyDiv w:val="1"/>
      <w:marLeft w:val="0"/>
      <w:marRight w:val="0"/>
      <w:marTop w:val="0"/>
      <w:marBottom w:val="0"/>
      <w:divBdr>
        <w:top w:val="none" w:sz="0" w:space="0" w:color="auto"/>
        <w:left w:val="none" w:sz="0" w:space="0" w:color="auto"/>
        <w:bottom w:val="none" w:sz="0" w:space="0" w:color="auto"/>
        <w:right w:val="none" w:sz="0" w:space="0" w:color="auto"/>
      </w:divBdr>
    </w:div>
    <w:div w:id="1901479117">
      <w:bodyDiv w:val="1"/>
      <w:marLeft w:val="0"/>
      <w:marRight w:val="0"/>
      <w:marTop w:val="0"/>
      <w:marBottom w:val="0"/>
      <w:divBdr>
        <w:top w:val="none" w:sz="0" w:space="0" w:color="auto"/>
        <w:left w:val="none" w:sz="0" w:space="0" w:color="auto"/>
        <w:bottom w:val="none" w:sz="0" w:space="0" w:color="auto"/>
        <w:right w:val="none" w:sz="0" w:space="0" w:color="auto"/>
      </w:divBdr>
    </w:div>
    <w:div w:id="1901745919">
      <w:bodyDiv w:val="1"/>
      <w:marLeft w:val="0"/>
      <w:marRight w:val="0"/>
      <w:marTop w:val="0"/>
      <w:marBottom w:val="0"/>
      <w:divBdr>
        <w:top w:val="none" w:sz="0" w:space="0" w:color="auto"/>
        <w:left w:val="none" w:sz="0" w:space="0" w:color="auto"/>
        <w:bottom w:val="none" w:sz="0" w:space="0" w:color="auto"/>
        <w:right w:val="none" w:sz="0" w:space="0" w:color="auto"/>
      </w:divBdr>
    </w:div>
    <w:div w:id="1901863313">
      <w:bodyDiv w:val="1"/>
      <w:marLeft w:val="0"/>
      <w:marRight w:val="0"/>
      <w:marTop w:val="0"/>
      <w:marBottom w:val="0"/>
      <w:divBdr>
        <w:top w:val="none" w:sz="0" w:space="0" w:color="auto"/>
        <w:left w:val="none" w:sz="0" w:space="0" w:color="auto"/>
        <w:bottom w:val="none" w:sz="0" w:space="0" w:color="auto"/>
        <w:right w:val="none" w:sz="0" w:space="0" w:color="auto"/>
      </w:divBdr>
    </w:div>
    <w:div w:id="1902668851">
      <w:bodyDiv w:val="1"/>
      <w:marLeft w:val="0"/>
      <w:marRight w:val="0"/>
      <w:marTop w:val="0"/>
      <w:marBottom w:val="0"/>
      <w:divBdr>
        <w:top w:val="none" w:sz="0" w:space="0" w:color="auto"/>
        <w:left w:val="none" w:sz="0" w:space="0" w:color="auto"/>
        <w:bottom w:val="none" w:sz="0" w:space="0" w:color="auto"/>
        <w:right w:val="none" w:sz="0" w:space="0" w:color="auto"/>
      </w:divBdr>
    </w:div>
    <w:div w:id="1902785527">
      <w:bodyDiv w:val="1"/>
      <w:marLeft w:val="0"/>
      <w:marRight w:val="0"/>
      <w:marTop w:val="0"/>
      <w:marBottom w:val="0"/>
      <w:divBdr>
        <w:top w:val="none" w:sz="0" w:space="0" w:color="auto"/>
        <w:left w:val="none" w:sz="0" w:space="0" w:color="auto"/>
        <w:bottom w:val="none" w:sz="0" w:space="0" w:color="auto"/>
        <w:right w:val="none" w:sz="0" w:space="0" w:color="auto"/>
      </w:divBdr>
    </w:div>
    <w:div w:id="1903442625">
      <w:bodyDiv w:val="1"/>
      <w:marLeft w:val="0"/>
      <w:marRight w:val="0"/>
      <w:marTop w:val="0"/>
      <w:marBottom w:val="0"/>
      <w:divBdr>
        <w:top w:val="none" w:sz="0" w:space="0" w:color="auto"/>
        <w:left w:val="none" w:sz="0" w:space="0" w:color="auto"/>
        <w:bottom w:val="none" w:sz="0" w:space="0" w:color="auto"/>
        <w:right w:val="none" w:sz="0" w:space="0" w:color="auto"/>
      </w:divBdr>
    </w:div>
    <w:div w:id="1903758489">
      <w:bodyDiv w:val="1"/>
      <w:marLeft w:val="0"/>
      <w:marRight w:val="0"/>
      <w:marTop w:val="0"/>
      <w:marBottom w:val="0"/>
      <w:divBdr>
        <w:top w:val="none" w:sz="0" w:space="0" w:color="auto"/>
        <w:left w:val="none" w:sz="0" w:space="0" w:color="auto"/>
        <w:bottom w:val="none" w:sz="0" w:space="0" w:color="auto"/>
        <w:right w:val="none" w:sz="0" w:space="0" w:color="auto"/>
      </w:divBdr>
    </w:div>
    <w:div w:id="1905598104">
      <w:bodyDiv w:val="1"/>
      <w:marLeft w:val="0"/>
      <w:marRight w:val="0"/>
      <w:marTop w:val="0"/>
      <w:marBottom w:val="0"/>
      <w:divBdr>
        <w:top w:val="none" w:sz="0" w:space="0" w:color="auto"/>
        <w:left w:val="none" w:sz="0" w:space="0" w:color="auto"/>
        <w:bottom w:val="none" w:sz="0" w:space="0" w:color="auto"/>
        <w:right w:val="none" w:sz="0" w:space="0" w:color="auto"/>
      </w:divBdr>
    </w:div>
    <w:div w:id="1906211909">
      <w:bodyDiv w:val="1"/>
      <w:marLeft w:val="0"/>
      <w:marRight w:val="0"/>
      <w:marTop w:val="0"/>
      <w:marBottom w:val="0"/>
      <w:divBdr>
        <w:top w:val="none" w:sz="0" w:space="0" w:color="auto"/>
        <w:left w:val="none" w:sz="0" w:space="0" w:color="auto"/>
        <w:bottom w:val="none" w:sz="0" w:space="0" w:color="auto"/>
        <w:right w:val="none" w:sz="0" w:space="0" w:color="auto"/>
      </w:divBdr>
    </w:div>
    <w:div w:id="1906452683">
      <w:bodyDiv w:val="1"/>
      <w:marLeft w:val="0"/>
      <w:marRight w:val="0"/>
      <w:marTop w:val="0"/>
      <w:marBottom w:val="0"/>
      <w:divBdr>
        <w:top w:val="none" w:sz="0" w:space="0" w:color="auto"/>
        <w:left w:val="none" w:sz="0" w:space="0" w:color="auto"/>
        <w:bottom w:val="none" w:sz="0" w:space="0" w:color="auto"/>
        <w:right w:val="none" w:sz="0" w:space="0" w:color="auto"/>
      </w:divBdr>
    </w:div>
    <w:div w:id="1906719866">
      <w:bodyDiv w:val="1"/>
      <w:marLeft w:val="0"/>
      <w:marRight w:val="0"/>
      <w:marTop w:val="0"/>
      <w:marBottom w:val="0"/>
      <w:divBdr>
        <w:top w:val="none" w:sz="0" w:space="0" w:color="auto"/>
        <w:left w:val="none" w:sz="0" w:space="0" w:color="auto"/>
        <w:bottom w:val="none" w:sz="0" w:space="0" w:color="auto"/>
        <w:right w:val="none" w:sz="0" w:space="0" w:color="auto"/>
      </w:divBdr>
    </w:div>
    <w:div w:id="1907177341">
      <w:bodyDiv w:val="1"/>
      <w:marLeft w:val="0"/>
      <w:marRight w:val="0"/>
      <w:marTop w:val="0"/>
      <w:marBottom w:val="0"/>
      <w:divBdr>
        <w:top w:val="none" w:sz="0" w:space="0" w:color="auto"/>
        <w:left w:val="none" w:sz="0" w:space="0" w:color="auto"/>
        <w:bottom w:val="none" w:sz="0" w:space="0" w:color="auto"/>
        <w:right w:val="none" w:sz="0" w:space="0" w:color="auto"/>
      </w:divBdr>
    </w:div>
    <w:div w:id="1908497413">
      <w:bodyDiv w:val="1"/>
      <w:marLeft w:val="0"/>
      <w:marRight w:val="0"/>
      <w:marTop w:val="0"/>
      <w:marBottom w:val="0"/>
      <w:divBdr>
        <w:top w:val="none" w:sz="0" w:space="0" w:color="auto"/>
        <w:left w:val="none" w:sz="0" w:space="0" w:color="auto"/>
        <w:bottom w:val="none" w:sz="0" w:space="0" w:color="auto"/>
        <w:right w:val="none" w:sz="0" w:space="0" w:color="auto"/>
      </w:divBdr>
    </w:div>
    <w:div w:id="1910335935">
      <w:bodyDiv w:val="1"/>
      <w:marLeft w:val="0"/>
      <w:marRight w:val="0"/>
      <w:marTop w:val="0"/>
      <w:marBottom w:val="0"/>
      <w:divBdr>
        <w:top w:val="none" w:sz="0" w:space="0" w:color="auto"/>
        <w:left w:val="none" w:sz="0" w:space="0" w:color="auto"/>
        <w:bottom w:val="none" w:sz="0" w:space="0" w:color="auto"/>
        <w:right w:val="none" w:sz="0" w:space="0" w:color="auto"/>
      </w:divBdr>
    </w:div>
    <w:div w:id="1913926019">
      <w:bodyDiv w:val="1"/>
      <w:marLeft w:val="0"/>
      <w:marRight w:val="0"/>
      <w:marTop w:val="0"/>
      <w:marBottom w:val="0"/>
      <w:divBdr>
        <w:top w:val="none" w:sz="0" w:space="0" w:color="auto"/>
        <w:left w:val="none" w:sz="0" w:space="0" w:color="auto"/>
        <w:bottom w:val="none" w:sz="0" w:space="0" w:color="auto"/>
        <w:right w:val="none" w:sz="0" w:space="0" w:color="auto"/>
      </w:divBdr>
    </w:div>
    <w:div w:id="1914194308">
      <w:bodyDiv w:val="1"/>
      <w:marLeft w:val="0"/>
      <w:marRight w:val="0"/>
      <w:marTop w:val="0"/>
      <w:marBottom w:val="0"/>
      <w:divBdr>
        <w:top w:val="none" w:sz="0" w:space="0" w:color="auto"/>
        <w:left w:val="none" w:sz="0" w:space="0" w:color="auto"/>
        <w:bottom w:val="none" w:sz="0" w:space="0" w:color="auto"/>
        <w:right w:val="none" w:sz="0" w:space="0" w:color="auto"/>
      </w:divBdr>
    </w:div>
    <w:div w:id="1914730519">
      <w:bodyDiv w:val="1"/>
      <w:marLeft w:val="0"/>
      <w:marRight w:val="0"/>
      <w:marTop w:val="0"/>
      <w:marBottom w:val="0"/>
      <w:divBdr>
        <w:top w:val="none" w:sz="0" w:space="0" w:color="auto"/>
        <w:left w:val="none" w:sz="0" w:space="0" w:color="auto"/>
        <w:bottom w:val="none" w:sz="0" w:space="0" w:color="auto"/>
        <w:right w:val="none" w:sz="0" w:space="0" w:color="auto"/>
      </w:divBdr>
    </w:div>
    <w:div w:id="1916743720">
      <w:bodyDiv w:val="1"/>
      <w:marLeft w:val="0"/>
      <w:marRight w:val="0"/>
      <w:marTop w:val="0"/>
      <w:marBottom w:val="0"/>
      <w:divBdr>
        <w:top w:val="none" w:sz="0" w:space="0" w:color="auto"/>
        <w:left w:val="none" w:sz="0" w:space="0" w:color="auto"/>
        <w:bottom w:val="none" w:sz="0" w:space="0" w:color="auto"/>
        <w:right w:val="none" w:sz="0" w:space="0" w:color="auto"/>
      </w:divBdr>
    </w:div>
    <w:div w:id="1917742849">
      <w:bodyDiv w:val="1"/>
      <w:marLeft w:val="0"/>
      <w:marRight w:val="0"/>
      <w:marTop w:val="0"/>
      <w:marBottom w:val="0"/>
      <w:divBdr>
        <w:top w:val="none" w:sz="0" w:space="0" w:color="auto"/>
        <w:left w:val="none" w:sz="0" w:space="0" w:color="auto"/>
        <w:bottom w:val="none" w:sz="0" w:space="0" w:color="auto"/>
        <w:right w:val="none" w:sz="0" w:space="0" w:color="auto"/>
      </w:divBdr>
    </w:div>
    <w:div w:id="1917858804">
      <w:bodyDiv w:val="1"/>
      <w:marLeft w:val="0"/>
      <w:marRight w:val="0"/>
      <w:marTop w:val="0"/>
      <w:marBottom w:val="0"/>
      <w:divBdr>
        <w:top w:val="none" w:sz="0" w:space="0" w:color="auto"/>
        <w:left w:val="none" w:sz="0" w:space="0" w:color="auto"/>
        <w:bottom w:val="none" w:sz="0" w:space="0" w:color="auto"/>
        <w:right w:val="none" w:sz="0" w:space="0" w:color="auto"/>
      </w:divBdr>
    </w:div>
    <w:div w:id="1918057347">
      <w:bodyDiv w:val="1"/>
      <w:marLeft w:val="0"/>
      <w:marRight w:val="0"/>
      <w:marTop w:val="0"/>
      <w:marBottom w:val="0"/>
      <w:divBdr>
        <w:top w:val="none" w:sz="0" w:space="0" w:color="auto"/>
        <w:left w:val="none" w:sz="0" w:space="0" w:color="auto"/>
        <w:bottom w:val="none" w:sz="0" w:space="0" w:color="auto"/>
        <w:right w:val="none" w:sz="0" w:space="0" w:color="auto"/>
      </w:divBdr>
    </w:div>
    <w:div w:id="1918705922">
      <w:bodyDiv w:val="1"/>
      <w:marLeft w:val="0"/>
      <w:marRight w:val="0"/>
      <w:marTop w:val="0"/>
      <w:marBottom w:val="0"/>
      <w:divBdr>
        <w:top w:val="none" w:sz="0" w:space="0" w:color="auto"/>
        <w:left w:val="none" w:sz="0" w:space="0" w:color="auto"/>
        <w:bottom w:val="none" w:sz="0" w:space="0" w:color="auto"/>
        <w:right w:val="none" w:sz="0" w:space="0" w:color="auto"/>
      </w:divBdr>
    </w:div>
    <w:div w:id="1918906335">
      <w:bodyDiv w:val="1"/>
      <w:marLeft w:val="0"/>
      <w:marRight w:val="0"/>
      <w:marTop w:val="0"/>
      <w:marBottom w:val="0"/>
      <w:divBdr>
        <w:top w:val="none" w:sz="0" w:space="0" w:color="auto"/>
        <w:left w:val="none" w:sz="0" w:space="0" w:color="auto"/>
        <w:bottom w:val="none" w:sz="0" w:space="0" w:color="auto"/>
        <w:right w:val="none" w:sz="0" w:space="0" w:color="auto"/>
      </w:divBdr>
    </w:div>
    <w:div w:id="1920167404">
      <w:bodyDiv w:val="1"/>
      <w:marLeft w:val="0"/>
      <w:marRight w:val="0"/>
      <w:marTop w:val="0"/>
      <w:marBottom w:val="0"/>
      <w:divBdr>
        <w:top w:val="none" w:sz="0" w:space="0" w:color="auto"/>
        <w:left w:val="none" w:sz="0" w:space="0" w:color="auto"/>
        <w:bottom w:val="none" w:sz="0" w:space="0" w:color="auto"/>
        <w:right w:val="none" w:sz="0" w:space="0" w:color="auto"/>
      </w:divBdr>
    </w:div>
    <w:div w:id="1921526860">
      <w:bodyDiv w:val="1"/>
      <w:marLeft w:val="0"/>
      <w:marRight w:val="0"/>
      <w:marTop w:val="0"/>
      <w:marBottom w:val="0"/>
      <w:divBdr>
        <w:top w:val="none" w:sz="0" w:space="0" w:color="auto"/>
        <w:left w:val="none" w:sz="0" w:space="0" w:color="auto"/>
        <w:bottom w:val="none" w:sz="0" w:space="0" w:color="auto"/>
        <w:right w:val="none" w:sz="0" w:space="0" w:color="auto"/>
      </w:divBdr>
    </w:div>
    <w:div w:id="1921982834">
      <w:bodyDiv w:val="1"/>
      <w:marLeft w:val="0"/>
      <w:marRight w:val="0"/>
      <w:marTop w:val="0"/>
      <w:marBottom w:val="0"/>
      <w:divBdr>
        <w:top w:val="none" w:sz="0" w:space="0" w:color="auto"/>
        <w:left w:val="none" w:sz="0" w:space="0" w:color="auto"/>
        <w:bottom w:val="none" w:sz="0" w:space="0" w:color="auto"/>
        <w:right w:val="none" w:sz="0" w:space="0" w:color="auto"/>
      </w:divBdr>
    </w:div>
    <w:div w:id="1922712583">
      <w:bodyDiv w:val="1"/>
      <w:marLeft w:val="0"/>
      <w:marRight w:val="0"/>
      <w:marTop w:val="0"/>
      <w:marBottom w:val="0"/>
      <w:divBdr>
        <w:top w:val="none" w:sz="0" w:space="0" w:color="auto"/>
        <w:left w:val="none" w:sz="0" w:space="0" w:color="auto"/>
        <w:bottom w:val="none" w:sz="0" w:space="0" w:color="auto"/>
        <w:right w:val="none" w:sz="0" w:space="0" w:color="auto"/>
      </w:divBdr>
    </w:div>
    <w:div w:id="1922905683">
      <w:bodyDiv w:val="1"/>
      <w:marLeft w:val="0"/>
      <w:marRight w:val="0"/>
      <w:marTop w:val="0"/>
      <w:marBottom w:val="0"/>
      <w:divBdr>
        <w:top w:val="none" w:sz="0" w:space="0" w:color="auto"/>
        <w:left w:val="none" w:sz="0" w:space="0" w:color="auto"/>
        <w:bottom w:val="none" w:sz="0" w:space="0" w:color="auto"/>
        <w:right w:val="none" w:sz="0" w:space="0" w:color="auto"/>
      </w:divBdr>
    </w:div>
    <w:div w:id="1923248678">
      <w:bodyDiv w:val="1"/>
      <w:marLeft w:val="0"/>
      <w:marRight w:val="0"/>
      <w:marTop w:val="0"/>
      <w:marBottom w:val="0"/>
      <w:divBdr>
        <w:top w:val="none" w:sz="0" w:space="0" w:color="auto"/>
        <w:left w:val="none" w:sz="0" w:space="0" w:color="auto"/>
        <w:bottom w:val="none" w:sz="0" w:space="0" w:color="auto"/>
        <w:right w:val="none" w:sz="0" w:space="0" w:color="auto"/>
      </w:divBdr>
    </w:div>
    <w:div w:id="1923634862">
      <w:bodyDiv w:val="1"/>
      <w:marLeft w:val="0"/>
      <w:marRight w:val="0"/>
      <w:marTop w:val="0"/>
      <w:marBottom w:val="0"/>
      <w:divBdr>
        <w:top w:val="none" w:sz="0" w:space="0" w:color="auto"/>
        <w:left w:val="none" w:sz="0" w:space="0" w:color="auto"/>
        <w:bottom w:val="none" w:sz="0" w:space="0" w:color="auto"/>
        <w:right w:val="none" w:sz="0" w:space="0" w:color="auto"/>
      </w:divBdr>
    </w:div>
    <w:div w:id="1924097994">
      <w:bodyDiv w:val="1"/>
      <w:marLeft w:val="0"/>
      <w:marRight w:val="0"/>
      <w:marTop w:val="0"/>
      <w:marBottom w:val="0"/>
      <w:divBdr>
        <w:top w:val="none" w:sz="0" w:space="0" w:color="auto"/>
        <w:left w:val="none" w:sz="0" w:space="0" w:color="auto"/>
        <w:bottom w:val="none" w:sz="0" w:space="0" w:color="auto"/>
        <w:right w:val="none" w:sz="0" w:space="0" w:color="auto"/>
      </w:divBdr>
    </w:div>
    <w:div w:id="1925605883">
      <w:bodyDiv w:val="1"/>
      <w:marLeft w:val="0"/>
      <w:marRight w:val="0"/>
      <w:marTop w:val="0"/>
      <w:marBottom w:val="0"/>
      <w:divBdr>
        <w:top w:val="none" w:sz="0" w:space="0" w:color="auto"/>
        <w:left w:val="none" w:sz="0" w:space="0" w:color="auto"/>
        <w:bottom w:val="none" w:sz="0" w:space="0" w:color="auto"/>
        <w:right w:val="none" w:sz="0" w:space="0" w:color="auto"/>
      </w:divBdr>
    </w:div>
    <w:div w:id="1926916431">
      <w:bodyDiv w:val="1"/>
      <w:marLeft w:val="0"/>
      <w:marRight w:val="0"/>
      <w:marTop w:val="0"/>
      <w:marBottom w:val="0"/>
      <w:divBdr>
        <w:top w:val="none" w:sz="0" w:space="0" w:color="auto"/>
        <w:left w:val="none" w:sz="0" w:space="0" w:color="auto"/>
        <w:bottom w:val="none" w:sz="0" w:space="0" w:color="auto"/>
        <w:right w:val="none" w:sz="0" w:space="0" w:color="auto"/>
      </w:divBdr>
    </w:div>
    <w:div w:id="1927106653">
      <w:bodyDiv w:val="1"/>
      <w:marLeft w:val="0"/>
      <w:marRight w:val="0"/>
      <w:marTop w:val="0"/>
      <w:marBottom w:val="0"/>
      <w:divBdr>
        <w:top w:val="none" w:sz="0" w:space="0" w:color="auto"/>
        <w:left w:val="none" w:sz="0" w:space="0" w:color="auto"/>
        <w:bottom w:val="none" w:sz="0" w:space="0" w:color="auto"/>
        <w:right w:val="none" w:sz="0" w:space="0" w:color="auto"/>
      </w:divBdr>
    </w:div>
    <w:div w:id="1927230362">
      <w:bodyDiv w:val="1"/>
      <w:marLeft w:val="0"/>
      <w:marRight w:val="0"/>
      <w:marTop w:val="0"/>
      <w:marBottom w:val="0"/>
      <w:divBdr>
        <w:top w:val="none" w:sz="0" w:space="0" w:color="auto"/>
        <w:left w:val="none" w:sz="0" w:space="0" w:color="auto"/>
        <w:bottom w:val="none" w:sz="0" w:space="0" w:color="auto"/>
        <w:right w:val="none" w:sz="0" w:space="0" w:color="auto"/>
      </w:divBdr>
    </w:div>
    <w:div w:id="1927423203">
      <w:bodyDiv w:val="1"/>
      <w:marLeft w:val="0"/>
      <w:marRight w:val="0"/>
      <w:marTop w:val="0"/>
      <w:marBottom w:val="0"/>
      <w:divBdr>
        <w:top w:val="none" w:sz="0" w:space="0" w:color="auto"/>
        <w:left w:val="none" w:sz="0" w:space="0" w:color="auto"/>
        <w:bottom w:val="none" w:sz="0" w:space="0" w:color="auto"/>
        <w:right w:val="none" w:sz="0" w:space="0" w:color="auto"/>
      </w:divBdr>
    </w:div>
    <w:div w:id="1928267028">
      <w:bodyDiv w:val="1"/>
      <w:marLeft w:val="0"/>
      <w:marRight w:val="0"/>
      <w:marTop w:val="0"/>
      <w:marBottom w:val="0"/>
      <w:divBdr>
        <w:top w:val="none" w:sz="0" w:space="0" w:color="auto"/>
        <w:left w:val="none" w:sz="0" w:space="0" w:color="auto"/>
        <w:bottom w:val="none" w:sz="0" w:space="0" w:color="auto"/>
        <w:right w:val="none" w:sz="0" w:space="0" w:color="auto"/>
      </w:divBdr>
    </w:div>
    <w:div w:id="1929119182">
      <w:bodyDiv w:val="1"/>
      <w:marLeft w:val="0"/>
      <w:marRight w:val="0"/>
      <w:marTop w:val="0"/>
      <w:marBottom w:val="0"/>
      <w:divBdr>
        <w:top w:val="none" w:sz="0" w:space="0" w:color="auto"/>
        <w:left w:val="none" w:sz="0" w:space="0" w:color="auto"/>
        <w:bottom w:val="none" w:sz="0" w:space="0" w:color="auto"/>
        <w:right w:val="none" w:sz="0" w:space="0" w:color="auto"/>
      </w:divBdr>
    </w:div>
    <w:div w:id="1929267078">
      <w:bodyDiv w:val="1"/>
      <w:marLeft w:val="0"/>
      <w:marRight w:val="0"/>
      <w:marTop w:val="0"/>
      <w:marBottom w:val="0"/>
      <w:divBdr>
        <w:top w:val="none" w:sz="0" w:space="0" w:color="auto"/>
        <w:left w:val="none" w:sz="0" w:space="0" w:color="auto"/>
        <w:bottom w:val="none" w:sz="0" w:space="0" w:color="auto"/>
        <w:right w:val="none" w:sz="0" w:space="0" w:color="auto"/>
      </w:divBdr>
    </w:div>
    <w:div w:id="1930113787">
      <w:bodyDiv w:val="1"/>
      <w:marLeft w:val="0"/>
      <w:marRight w:val="0"/>
      <w:marTop w:val="0"/>
      <w:marBottom w:val="0"/>
      <w:divBdr>
        <w:top w:val="none" w:sz="0" w:space="0" w:color="auto"/>
        <w:left w:val="none" w:sz="0" w:space="0" w:color="auto"/>
        <w:bottom w:val="none" w:sz="0" w:space="0" w:color="auto"/>
        <w:right w:val="none" w:sz="0" w:space="0" w:color="auto"/>
      </w:divBdr>
    </w:div>
    <w:div w:id="1930893016">
      <w:bodyDiv w:val="1"/>
      <w:marLeft w:val="0"/>
      <w:marRight w:val="0"/>
      <w:marTop w:val="0"/>
      <w:marBottom w:val="0"/>
      <w:divBdr>
        <w:top w:val="none" w:sz="0" w:space="0" w:color="auto"/>
        <w:left w:val="none" w:sz="0" w:space="0" w:color="auto"/>
        <w:bottom w:val="none" w:sz="0" w:space="0" w:color="auto"/>
        <w:right w:val="none" w:sz="0" w:space="0" w:color="auto"/>
      </w:divBdr>
    </w:div>
    <w:div w:id="1931354218">
      <w:bodyDiv w:val="1"/>
      <w:marLeft w:val="0"/>
      <w:marRight w:val="0"/>
      <w:marTop w:val="0"/>
      <w:marBottom w:val="0"/>
      <w:divBdr>
        <w:top w:val="none" w:sz="0" w:space="0" w:color="auto"/>
        <w:left w:val="none" w:sz="0" w:space="0" w:color="auto"/>
        <w:bottom w:val="none" w:sz="0" w:space="0" w:color="auto"/>
        <w:right w:val="none" w:sz="0" w:space="0" w:color="auto"/>
      </w:divBdr>
    </w:div>
    <w:div w:id="1931429268">
      <w:bodyDiv w:val="1"/>
      <w:marLeft w:val="0"/>
      <w:marRight w:val="0"/>
      <w:marTop w:val="0"/>
      <w:marBottom w:val="0"/>
      <w:divBdr>
        <w:top w:val="none" w:sz="0" w:space="0" w:color="auto"/>
        <w:left w:val="none" w:sz="0" w:space="0" w:color="auto"/>
        <w:bottom w:val="none" w:sz="0" w:space="0" w:color="auto"/>
        <w:right w:val="none" w:sz="0" w:space="0" w:color="auto"/>
      </w:divBdr>
    </w:div>
    <w:div w:id="1932006292">
      <w:bodyDiv w:val="1"/>
      <w:marLeft w:val="0"/>
      <w:marRight w:val="0"/>
      <w:marTop w:val="0"/>
      <w:marBottom w:val="0"/>
      <w:divBdr>
        <w:top w:val="none" w:sz="0" w:space="0" w:color="auto"/>
        <w:left w:val="none" w:sz="0" w:space="0" w:color="auto"/>
        <w:bottom w:val="none" w:sz="0" w:space="0" w:color="auto"/>
        <w:right w:val="none" w:sz="0" w:space="0" w:color="auto"/>
      </w:divBdr>
    </w:div>
    <w:div w:id="1932077873">
      <w:bodyDiv w:val="1"/>
      <w:marLeft w:val="0"/>
      <w:marRight w:val="0"/>
      <w:marTop w:val="0"/>
      <w:marBottom w:val="0"/>
      <w:divBdr>
        <w:top w:val="none" w:sz="0" w:space="0" w:color="auto"/>
        <w:left w:val="none" w:sz="0" w:space="0" w:color="auto"/>
        <w:bottom w:val="none" w:sz="0" w:space="0" w:color="auto"/>
        <w:right w:val="none" w:sz="0" w:space="0" w:color="auto"/>
      </w:divBdr>
    </w:div>
    <w:div w:id="1933317572">
      <w:bodyDiv w:val="1"/>
      <w:marLeft w:val="0"/>
      <w:marRight w:val="0"/>
      <w:marTop w:val="0"/>
      <w:marBottom w:val="0"/>
      <w:divBdr>
        <w:top w:val="none" w:sz="0" w:space="0" w:color="auto"/>
        <w:left w:val="none" w:sz="0" w:space="0" w:color="auto"/>
        <w:bottom w:val="none" w:sz="0" w:space="0" w:color="auto"/>
        <w:right w:val="none" w:sz="0" w:space="0" w:color="auto"/>
      </w:divBdr>
    </w:div>
    <w:div w:id="1933736043">
      <w:bodyDiv w:val="1"/>
      <w:marLeft w:val="0"/>
      <w:marRight w:val="0"/>
      <w:marTop w:val="0"/>
      <w:marBottom w:val="0"/>
      <w:divBdr>
        <w:top w:val="none" w:sz="0" w:space="0" w:color="auto"/>
        <w:left w:val="none" w:sz="0" w:space="0" w:color="auto"/>
        <w:bottom w:val="none" w:sz="0" w:space="0" w:color="auto"/>
        <w:right w:val="none" w:sz="0" w:space="0" w:color="auto"/>
      </w:divBdr>
    </w:div>
    <w:div w:id="1934704942">
      <w:bodyDiv w:val="1"/>
      <w:marLeft w:val="0"/>
      <w:marRight w:val="0"/>
      <w:marTop w:val="0"/>
      <w:marBottom w:val="0"/>
      <w:divBdr>
        <w:top w:val="none" w:sz="0" w:space="0" w:color="auto"/>
        <w:left w:val="none" w:sz="0" w:space="0" w:color="auto"/>
        <w:bottom w:val="none" w:sz="0" w:space="0" w:color="auto"/>
        <w:right w:val="none" w:sz="0" w:space="0" w:color="auto"/>
      </w:divBdr>
    </w:div>
    <w:div w:id="1935623447">
      <w:bodyDiv w:val="1"/>
      <w:marLeft w:val="0"/>
      <w:marRight w:val="0"/>
      <w:marTop w:val="0"/>
      <w:marBottom w:val="0"/>
      <w:divBdr>
        <w:top w:val="none" w:sz="0" w:space="0" w:color="auto"/>
        <w:left w:val="none" w:sz="0" w:space="0" w:color="auto"/>
        <w:bottom w:val="none" w:sz="0" w:space="0" w:color="auto"/>
        <w:right w:val="none" w:sz="0" w:space="0" w:color="auto"/>
      </w:divBdr>
    </w:div>
    <w:div w:id="1935820091">
      <w:bodyDiv w:val="1"/>
      <w:marLeft w:val="0"/>
      <w:marRight w:val="0"/>
      <w:marTop w:val="0"/>
      <w:marBottom w:val="0"/>
      <w:divBdr>
        <w:top w:val="none" w:sz="0" w:space="0" w:color="auto"/>
        <w:left w:val="none" w:sz="0" w:space="0" w:color="auto"/>
        <w:bottom w:val="none" w:sz="0" w:space="0" w:color="auto"/>
        <w:right w:val="none" w:sz="0" w:space="0" w:color="auto"/>
      </w:divBdr>
    </w:div>
    <w:div w:id="1939556023">
      <w:bodyDiv w:val="1"/>
      <w:marLeft w:val="0"/>
      <w:marRight w:val="0"/>
      <w:marTop w:val="0"/>
      <w:marBottom w:val="0"/>
      <w:divBdr>
        <w:top w:val="none" w:sz="0" w:space="0" w:color="auto"/>
        <w:left w:val="none" w:sz="0" w:space="0" w:color="auto"/>
        <w:bottom w:val="none" w:sz="0" w:space="0" w:color="auto"/>
        <w:right w:val="none" w:sz="0" w:space="0" w:color="auto"/>
      </w:divBdr>
    </w:div>
    <w:div w:id="1939943164">
      <w:bodyDiv w:val="1"/>
      <w:marLeft w:val="0"/>
      <w:marRight w:val="0"/>
      <w:marTop w:val="0"/>
      <w:marBottom w:val="0"/>
      <w:divBdr>
        <w:top w:val="none" w:sz="0" w:space="0" w:color="auto"/>
        <w:left w:val="none" w:sz="0" w:space="0" w:color="auto"/>
        <w:bottom w:val="none" w:sz="0" w:space="0" w:color="auto"/>
        <w:right w:val="none" w:sz="0" w:space="0" w:color="auto"/>
      </w:divBdr>
    </w:div>
    <w:div w:id="1940410056">
      <w:bodyDiv w:val="1"/>
      <w:marLeft w:val="0"/>
      <w:marRight w:val="0"/>
      <w:marTop w:val="0"/>
      <w:marBottom w:val="0"/>
      <w:divBdr>
        <w:top w:val="none" w:sz="0" w:space="0" w:color="auto"/>
        <w:left w:val="none" w:sz="0" w:space="0" w:color="auto"/>
        <w:bottom w:val="none" w:sz="0" w:space="0" w:color="auto"/>
        <w:right w:val="none" w:sz="0" w:space="0" w:color="auto"/>
      </w:divBdr>
    </w:div>
    <w:div w:id="1940943366">
      <w:bodyDiv w:val="1"/>
      <w:marLeft w:val="0"/>
      <w:marRight w:val="0"/>
      <w:marTop w:val="0"/>
      <w:marBottom w:val="0"/>
      <w:divBdr>
        <w:top w:val="none" w:sz="0" w:space="0" w:color="auto"/>
        <w:left w:val="none" w:sz="0" w:space="0" w:color="auto"/>
        <w:bottom w:val="none" w:sz="0" w:space="0" w:color="auto"/>
        <w:right w:val="none" w:sz="0" w:space="0" w:color="auto"/>
      </w:divBdr>
    </w:div>
    <w:div w:id="1941983017">
      <w:bodyDiv w:val="1"/>
      <w:marLeft w:val="0"/>
      <w:marRight w:val="0"/>
      <w:marTop w:val="0"/>
      <w:marBottom w:val="0"/>
      <w:divBdr>
        <w:top w:val="none" w:sz="0" w:space="0" w:color="auto"/>
        <w:left w:val="none" w:sz="0" w:space="0" w:color="auto"/>
        <w:bottom w:val="none" w:sz="0" w:space="0" w:color="auto"/>
        <w:right w:val="none" w:sz="0" w:space="0" w:color="auto"/>
      </w:divBdr>
    </w:div>
    <w:div w:id="1943300729">
      <w:bodyDiv w:val="1"/>
      <w:marLeft w:val="0"/>
      <w:marRight w:val="0"/>
      <w:marTop w:val="0"/>
      <w:marBottom w:val="0"/>
      <w:divBdr>
        <w:top w:val="none" w:sz="0" w:space="0" w:color="auto"/>
        <w:left w:val="none" w:sz="0" w:space="0" w:color="auto"/>
        <w:bottom w:val="none" w:sz="0" w:space="0" w:color="auto"/>
        <w:right w:val="none" w:sz="0" w:space="0" w:color="auto"/>
      </w:divBdr>
    </w:div>
    <w:div w:id="1943495013">
      <w:bodyDiv w:val="1"/>
      <w:marLeft w:val="0"/>
      <w:marRight w:val="0"/>
      <w:marTop w:val="0"/>
      <w:marBottom w:val="0"/>
      <w:divBdr>
        <w:top w:val="none" w:sz="0" w:space="0" w:color="auto"/>
        <w:left w:val="none" w:sz="0" w:space="0" w:color="auto"/>
        <w:bottom w:val="none" w:sz="0" w:space="0" w:color="auto"/>
        <w:right w:val="none" w:sz="0" w:space="0" w:color="auto"/>
      </w:divBdr>
    </w:div>
    <w:div w:id="1943686210">
      <w:bodyDiv w:val="1"/>
      <w:marLeft w:val="0"/>
      <w:marRight w:val="0"/>
      <w:marTop w:val="0"/>
      <w:marBottom w:val="0"/>
      <w:divBdr>
        <w:top w:val="none" w:sz="0" w:space="0" w:color="auto"/>
        <w:left w:val="none" w:sz="0" w:space="0" w:color="auto"/>
        <w:bottom w:val="none" w:sz="0" w:space="0" w:color="auto"/>
        <w:right w:val="none" w:sz="0" w:space="0" w:color="auto"/>
      </w:divBdr>
    </w:div>
    <w:div w:id="1943950563">
      <w:bodyDiv w:val="1"/>
      <w:marLeft w:val="0"/>
      <w:marRight w:val="0"/>
      <w:marTop w:val="0"/>
      <w:marBottom w:val="0"/>
      <w:divBdr>
        <w:top w:val="none" w:sz="0" w:space="0" w:color="auto"/>
        <w:left w:val="none" w:sz="0" w:space="0" w:color="auto"/>
        <w:bottom w:val="none" w:sz="0" w:space="0" w:color="auto"/>
        <w:right w:val="none" w:sz="0" w:space="0" w:color="auto"/>
      </w:divBdr>
    </w:div>
    <w:div w:id="1944416348">
      <w:bodyDiv w:val="1"/>
      <w:marLeft w:val="0"/>
      <w:marRight w:val="0"/>
      <w:marTop w:val="0"/>
      <w:marBottom w:val="0"/>
      <w:divBdr>
        <w:top w:val="none" w:sz="0" w:space="0" w:color="auto"/>
        <w:left w:val="none" w:sz="0" w:space="0" w:color="auto"/>
        <w:bottom w:val="none" w:sz="0" w:space="0" w:color="auto"/>
        <w:right w:val="none" w:sz="0" w:space="0" w:color="auto"/>
      </w:divBdr>
    </w:div>
    <w:div w:id="1944679078">
      <w:bodyDiv w:val="1"/>
      <w:marLeft w:val="0"/>
      <w:marRight w:val="0"/>
      <w:marTop w:val="0"/>
      <w:marBottom w:val="0"/>
      <w:divBdr>
        <w:top w:val="none" w:sz="0" w:space="0" w:color="auto"/>
        <w:left w:val="none" w:sz="0" w:space="0" w:color="auto"/>
        <w:bottom w:val="none" w:sz="0" w:space="0" w:color="auto"/>
        <w:right w:val="none" w:sz="0" w:space="0" w:color="auto"/>
      </w:divBdr>
    </w:div>
    <w:div w:id="1944723694">
      <w:bodyDiv w:val="1"/>
      <w:marLeft w:val="0"/>
      <w:marRight w:val="0"/>
      <w:marTop w:val="0"/>
      <w:marBottom w:val="0"/>
      <w:divBdr>
        <w:top w:val="none" w:sz="0" w:space="0" w:color="auto"/>
        <w:left w:val="none" w:sz="0" w:space="0" w:color="auto"/>
        <w:bottom w:val="none" w:sz="0" w:space="0" w:color="auto"/>
        <w:right w:val="none" w:sz="0" w:space="0" w:color="auto"/>
      </w:divBdr>
    </w:div>
    <w:div w:id="1944797901">
      <w:bodyDiv w:val="1"/>
      <w:marLeft w:val="0"/>
      <w:marRight w:val="0"/>
      <w:marTop w:val="0"/>
      <w:marBottom w:val="0"/>
      <w:divBdr>
        <w:top w:val="none" w:sz="0" w:space="0" w:color="auto"/>
        <w:left w:val="none" w:sz="0" w:space="0" w:color="auto"/>
        <w:bottom w:val="none" w:sz="0" w:space="0" w:color="auto"/>
        <w:right w:val="none" w:sz="0" w:space="0" w:color="auto"/>
      </w:divBdr>
    </w:div>
    <w:div w:id="1945376749">
      <w:bodyDiv w:val="1"/>
      <w:marLeft w:val="0"/>
      <w:marRight w:val="0"/>
      <w:marTop w:val="0"/>
      <w:marBottom w:val="0"/>
      <w:divBdr>
        <w:top w:val="none" w:sz="0" w:space="0" w:color="auto"/>
        <w:left w:val="none" w:sz="0" w:space="0" w:color="auto"/>
        <w:bottom w:val="none" w:sz="0" w:space="0" w:color="auto"/>
        <w:right w:val="none" w:sz="0" w:space="0" w:color="auto"/>
      </w:divBdr>
    </w:div>
    <w:div w:id="1945652223">
      <w:bodyDiv w:val="1"/>
      <w:marLeft w:val="0"/>
      <w:marRight w:val="0"/>
      <w:marTop w:val="0"/>
      <w:marBottom w:val="0"/>
      <w:divBdr>
        <w:top w:val="none" w:sz="0" w:space="0" w:color="auto"/>
        <w:left w:val="none" w:sz="0" w:space="0" w:color="auto"/>
        <w:bottom w:val="none" w:sz="0" w:space="0" w:color="auto"/>
        <w:right w:val="none" w:sz="0" w:space="0" w:color="auto"/>
      </w:divBdr>
    </w:div>
    <w:div w:id="1945840553">
      <w:bodyDiv w:val="1"/>
      <w:marLeft w:val="0"/>
      <w:marRight w:val="0"/>
      <w:marTop w:val="0"/>
      <w:marBottom w:val="0"/>
      <w:divBdr>
        <w:top w:val="none" w:sz="0" w:space="0" w:color="auto"/>
        <w:left w:val="none" w:sz="0" w:space="0" w:color="auto"/>
        <w:bottom w:val="none" w:sz="0" w:space="0" w:color="auto"/>
        <w:right w:val="none" w:sz="0" w:space="0" w:color="auto"/>
      </w:divBdr>
    </w:div>
    <w:div w:id="1946039511">
      <w:bodyDiv w:val="1"/>
      <w:marLeft w:val="0"/>
      <w:marRight w:val="0"/>
      <w:marTop w:val="0"/>
      <w:marBottom w:val="0"/>
      <w:divBdr>
        <w:top w:val="none" w:sz="0" w:space="0" w:color="auto"/>
        <w:left w:val="none" w:sz="0" w:space="0" w:color="auto"/>
        <w:bottom w:val="none" w:sz="0" w:space="0" w:color="auto"/>
        <w:right w:val="none" w:sz="0" w:space="0" w:color="auto"/>
      </w:divBdr>
    </w:div>
    <w:div w:id="1947884689">
      <w:bodyDiv w:val="1"/>
      <w:marLeft w:val="0"/>
      <w:marRight w:val="0"/>
      <w:marTop w:val="0"/>
      <w:marBottom w:val="0"/>
      <w:divBdr>
        <w:top w:val="none" w:sz="0" w:space="0" w:color="auto"/>
        <w:left w:val="none" w:sz="0" w:space="0" w:color="auto"/>
        <w:bottom w:val="none" w:sz="0" w:space="0" w:color="auto"/>
        <w:right w:val="none" w:sz="0" w:space="0" w:color="auto"/>
      </w:divBdr>
    </w:div>
    <w:div w:id="1948152569">
      <w:bodyDiv w:val="1"/>
      <w:marLeft w:val="0"/>
      <w:marRight w:val="0"/>
      <w:marTop w:val="0"/>
      <w:marBottom w:val="0"/>
      <w:divBdr>
        <w:top w:val="none" w:sz="0" w:space="0" w:color="auto"/>
        <w:left w:val="none" w:sz="0" w:space="0" w:color="auto"/>
        <w:bottom w:val="none" w:sz="0" w:space="0" w:color="auto"/>
        <w:right w:val="none" w:sz="0" w:space="0" w:color="auto"/>
      </w:divBdr>
    </w:div>
    <w:div w:id="1948732448">
      <w:bodyDiv w:val="1"/>
      <w:marLeft w:val="0"/>
      <w:marRight w:val="0"/>
      <w:marTop w:val="0"/>
      <w:marBottom w:val="0"/>
      <w:divBdr>
        <w:top w:val="none" w:sz="0" w:space="0" w:color="auto"/>
        <w:left w:val="none" w:sz="0" w:space="0" w:color="auto"/>
        <w:bottom w:val="none" w:sz="0" w:space="0" w:color="auto"/>
        <w:right w:val="none" w:sz="0" w:space="0" w:color="auto"/>
      </w:divBdr>
    </w:div>
    <w:div w:id="1949117610">
      <w:bodyDiv w:val="1"/>
      <w:marLeft w:val="0"/>
      <w:marRight w:val="0"/>
      <w:marTop w:val="0"/>
      <w:marBottom w:val="0"/>
      <w:divBdr>
        <w:top w:val="none" w:sz="0" w:space="0" w:color="auto"/>
        <w:left w:val="none" w:sz="0" w:space="0" w:color="auto"/>
        <w:bottom w:val="none" w:sz="0" w:space="0" w:color="auto"/>
        <w:right w:val="none" w:sz="0" w:space="0" w:color="auto"/>
      </w:divBdr>
    </w:div>
    <w:div w:id="1949313990">
      <w:bodyDiv w:val="1"/>
      <w:marLeft w:val="0"/>
      <w:marRight w:val="0"/>
      <w:marTop w:val="0"/>
      <w:marBottom w:val="0"/>
      <w:divBdr>
        <w:top w:val="none" w:sz="0" w:space="0" w:color="auto"/>
        <w:left w:val="none" w:sz="0" w:space="0" w:color="auto"/>
        <w:bottom w:val="none" w:sz="0" w:space="0" w:color="auto"/>
        <w:right w:val="none" w:sz="0" w:space="0" w:color="auto"/>
      </w:divBdr>
    </w:div>
    <w:div w:id="1950307048">
      <w:bodyDiv w:val="1"/>
      <w:marLeft w:val="0"/>
      <w:marRight w:val="0"/>
      <w:marTop w:val="0"/>
      <w:marBottom w:val="0"/>
      <w:divBdr>
        <w:top w:val="none" w:sz="0" w:space="0" w:color="auto"/>
        <w:left w:val="none" w:sz="0" w:space="0" w:color="auto"/>
        <w:bottom w:val="none" w:sz="0" w:space="0" w:color="auto"/>
        <w:right w:val="none" w:sz="0" w:space="0" w:color="auto"/>
      </w:divBdr>
    </w:div>
    <w:div w:id="1952203147">
      <w:bodyDiv w:val="1"/>
      <w:marLeft w:val="0"/>
      <w:marRight w:val="0"/>
      <w:marTop w:val="0"/>
      <w:marBottom w:val="0"/>
      <w:divBdr>
        <w:top w:val="none" w:sz="0" w:space="0" w:color="auto"/>
        <w:left w:val="none" w:sz="0" w:space="0" w:color="auto"/>
        <w:bottom w:val="none" w:sz="0" w:space="0" w:color="auto"/>
        <w:right w:val="none" w:sz="0" w:space="0" w:color="auto"/>
      </w:divBdr>
    </w:div>
    <w:div w:id="1953628687">
      <w:bodyDiv w:val="1"/>
      <w:marLeft w:val="0"/>
      <w:marRight w:val="0"/>
      <w:marTop w:val="0"/>
      <w:marBottom w:val="0"/>
      <w:divBdr>
        <w:top w:val="none" w:sz="0" w:space="0" w:color="auto"/>
        <w:left w:val="none" w:sz="0" w:space="0" w:color="auto"/>
        <w:bottom w:val="none" w:sz="0" w:space="0" w:color="auto"/>
        <w:right w:val="none" w:sz="0" w:space="0" w:color="auto"/>
      </w:divBdr>
    </w:div>
    <w:div w:id="1953973348">
      <w:bodyDiv w:val="1"/>
      <w:marLeft w:val="0"/>
      <w:marRight w:val="0"/>
      <w:marTop w:val="0"/>
      <w:marBottom w:val="0"/>
      <w:divBdr>
        <w:top w:val="none" w:sz="0" w:space="0" w:color="auto"/>
        <w:left w:val="none" w:sz="0" w:space="0" w:color="auto"/>
        <w:bottom w:val="none" w:sz="0" w:space="0" w:color="auto"/>
        <w:right w:val="none" w:sz="0" w:space="0" w:color="auto"/>
      </w:divBdr>
    </w:div>
    <w:div w:id="1954241528">
      <w:bodyDiv w:val="1"/>
      <w:marLeft w:val="0"/>
      <w:marRight w:val="0"/>
      <w:marTop w:val="0"/>
      <w:marBottom w:val="0"/>
      <w:divBdr>
        <w:top w:val="none" w:sz="0" w:space="0" w:color="auto"/>
        <w:left w:val="none" w:sz="0" w:space="0" w:color="auto"/>
        <w:bottom w:val="none" w:sz="0" w:space="0" w:color="auto"/>
        <w:right w:val="none" w:sz="0" w:space="0" w:color="auto"/>
      </w:divBdr>
    </w:div>
    <w:div w:id="1954941402">
      <w:bodyDiv w:val="1"/>
      <w:marLeft w:val="0"/>
      <w:marRight w:val="0"/>
      <w:marTop w:val="0"/>
      <w:marBottom w:val="0"/>
      <w:divBdr>
        <w:top w:val="none" w:sz="0" w:space="0" w:color="auto"/>
        <w:left w:val="none" w:sz="0" w:space="0" w:color="auto"/>
        <w:bottom w:val="none" w:sz="0" w:space="0" w:color="auto"/>
        <w:right w:val="none" w:sz="0" w:space="0" w:color="auto"/>
      </w:divBdr>
    </w:div>
    <w:div w:id="1956716865">
      <w:bodyDiv w:val="1"/>
      <w:marLeft w:val="0"/>
      <w:marRight w:val="0"/>
      <w:marTop w:val="0"/>
      <w:marBottom w:val="0"/>
      <w:divBdr>
        <w:top w:val="none" w:sz="0" w:space="0" w:color="auto"/>
        <w:left w:val="none" w:sz="0" w:space="0" w:color="auto"/>
        <w:bottom w:val="none" w:sz="0" w:space="0" w:color="auto"/>
        <w:right w:val="none" w:sz="0" w:space="0" w:color="auto"/>
      </w:divBdr>
    </w:div>
    <w:div w:id="1956865265">
      <w:bodyDiv w:val="1"/>
      <w:marLeft w:val="0"/>
      <w:marRight w:val="0"/>
      <w:marTop w:val="0"/>
      <w:marBottom w:val="0"/>
      <w:divBdr>
        <w:top w:val="none" w:sz="0" w:space="0" w:color="auto"/>
        <w:left w:val="none" w:sz="0" w:space="0" w:color="auto"/>
        <w:bottom w:val="none" w:sz="0" w:space="0" w:color="auto"/>
        <w:right w:val="none" w:sz="0" w:space="0" w:color="auto"/>
      </w:divBdr>
    </w:div>
    <w:div w:id="1957255024">
      <w:bodyDiv w:val="1"/>
      <w:marLeft w:val="0"/>
      <w:marRight w:val="0"/>
      <w:marTop w:val="0"/>
      <w:marBottom w:val="0"/>
      <w:divBdr>
        <w:top w:val="none" w:sz="0" w:space="0" w:color="auto"/>
        <w:left w:val="none" w:sz="0" w:space="0" w:color="auto"/>
        <w:bottom w:val="none" w:sz="0" w:space="0" w:color="auto"/>
        <w:right w:val="none" w:sz="0" w:space="0" w:color="auto"/>
      </w:divBdr>
    </w:div>
    <w:div w:id="1957443671">
      <w:bodyDiv w:val="1"/>
      <w:marLeft w:val="0"/>
      <w:marRight w:val="0"/>
      <w:marTop w:val="0"/>
      <w:marBottom w:val="0"/>
      <w:divBdr>
        <w:top w:val="none" w:sz="0" w:space="0" w:color="auto"/>
        <w:left w:val="none" w:sz="0" w:space="0" w:color="auto"/>
        <w:bottom w:val="none" w:sz="0" w:space="0" w:color="auto"/>
        <w:right w:val="none" w:sz="0" w:space="0" w:color="auto"/>
      </w:divBdr>
    </w:div>
    <w:div w:id="1957785821">
      <w:bodyDiv w:val="1"/>
      <w:marLeft w:val="0"/>
      <w:marRight w:val="0"/>
      <w:marTop w:val="0"/>
      <w:marBottom w:val="0"/>
      <w:divBdr>
        <w:top w:val="none" w:sz="0" w:space="0" w:color="auto"/>
        <w:left w:val="none" w:sz="0" w:space="0" w:color="auto"/>
        <w:bottom w:val="none" w:sz="0" w:space="0" w:color="auto"/>
        <w:right w:val="none" w:sz="0" w:space="0" w:color="auto"/>
      </w:divBdr>
    </w:div>
    <w:div w:id="1958678937">
      <w:bodyDiv w:val="1"/>
      <w:marLeft w:val="0"/>
      <w:marRight w:val="0"/>
      <w:marTop w:val="0"/>
      <w:marBottom w:val="0"/>
      <w:divBdr>
        <w:top w:val="none" w:sz="0" w:space="0" w:color="auto"/>
        <w:left w:val="none" w:sz="0" w:space="0" w:color="auto"/>
        <w:bottom w:val="none" w:sz="0" w:space="0" w:color="auto"/>
        <w:right w:val="none" w:sz="0" w:space="0" w:color="auto"/>
      </w:divBdr>
    </w:div>
    <w:div w:id="1959527248">
      <w:bodyDiv w:val="1"/>
      <w:marLeft w:val="0"/>
      <w:marRight w:val="0"/>
      <w:marTop w:val="0"/>
      <w:marBottom w:val="0"/>
      <w:divBdr>
        <w:top w:val="none" w:sz="0" w:space="0" w:color="auto"/>
        <w:left w:val="none" w:sz="0" w:space="0" w:color="auto"/>
        <w:bottom w:val="none" w:sz="0" w:space="0" w:color="auto"/>
        <w:right w:val="none" w:sz="0" w:space="0" w:color="auto"/>
      </w:divBdr>
    </w:div>
    <w:div w:id="1959876363">
      <w:bodyDiv w:val="1"/>
      <w:marLeft w:val="0"/>
      <w:marRight w:val="0"/>
      <w:marTop w:val="0"/>
      <w:marBottom w:val="0"/>
      <w:divBdr>
        <w:top w:val="none" w:sz="0" w:space="0" w:color="auto"/>
        <w:left w:val="none" w:sz="0" w:space="0" w:color="auto"/>
        <w:bottom w:val="none" w:sz="0" w:space="0" w:color="auto"/>
        <w:right w:val="none" w:sz="0" w:space="0" w:color="auto"/>
      </w:divBdr>
    </w:div>
    <w:div w:id="1960408900">
      <w:bodyDiv w:val="1"/>
      <w:marLeft w:val="0"/>
      <w:marRight w:val="0"/>
      <w:marTop w:val="0"/>
      <w:marBottom w:val="0"/>
      <w:divBdr>
        <w:top w:val="none" w:sz="0" w:space="0" w:color="auto"/>
        <w:left w:val="none" w:sz="0" w:space="0" w:color="auto"/>
        <w:bottom w:val="none" w:sz="0" w:space="0" w:color="auto"/>
        <w:right w:val="none" w:sz="0" w:space="0" w:color="auto"/>
      </w:divBdr>
    </w:div>
    <w:div w:id="1961060155">
      <w:bodyDiv w:val="1"/>
      <w:marLeft w:val="0"/>
      <w:marRight w:val="0"/>
      <w:marTop w:val="0"/>
      <w:marBottom w:val="0"/>
      <w:divBdr>
        <w:top w:val="none" w:sz="0" w:space="0" w:color="auto"/>
        <w:left w:val="none" w:sz="0" w:space="0" w:color="auto"/>
        <w:bottom w:val="none" w:sz="0" w:space="0" w:color="auto"/>
        <w:right w:val="none" w:sz="0" w:space="0" w:color="auto"/>
      </w:divBdr>
    </w:div>
    <w:div w:id="1961298907">
      <w:bodyDiv w:val="1"/>
      <w:marLeft w:val="0"/>
      <w:marRight w:val="0"/>
      <w:marTop w:val="0"/>
      <w:marBottom w:val="0"/>
      <w:divBdr>
        <w:top w:val="none" w:sz="0" w:space="0" w:color="auto"/>
        <w:left w:val="none" w:sz="0" w:space="0" w:color="auto"/>
        <w:bottom w:val="none" w:sz="0" w:space="0" w:color="auto"/>
        <w:right w:val="none" w:sz="0" w:space="0" w:color="auto"/>
      </w:divBdr>
    </w:div>
    <w:div w:id="1961836136">
      <w:bodyDiv w:val="1"/>
      <w:marLeft w:val="0"/>
      <w:marRight w:val="0"/>
      <w:marTop w:val="0"/>
      <w:marBottom w:val="0"/>
      <w:divBdr>
        <w:top w:val="none" w:sz="0" w:space="0" w:color="auto"/>
        <w:left w:val="none" w:sz="0" w:space="0" w:color="auto"/>
        <w:bottom w:val="none" w:sz="0" w:space="0" w:color="auto"/>
        <w:right w:val="none" w:sz="0" w:space="0" w:color="auto"/>
      </w:divBdr>
    </w:div>
    <w:div w:id="1963001767">
      <w:bodyDiv w:val="1"/>
      <w:marLeft w:val="0"/>
      <w:marRight w:val="0"/>
      <w:marTop w:val="0"/>
      <w:marBottom w:val="0"/>
      <w:divBdr>
        <w:top w:val="none" w:sz="0" w:space="0" w:color="auto"/>
        <w:left w:val="none" w:sz="0" w:space="0" w:color="auto"/>
        <w:bottom w:val="none" w:sz="0" w:space="0" w:color="auto"/>
        <w:right w:val="none" w:sz="0" w:space="0" w:color="auto"/>
      </w:divBdr>
    </w:div>
    <w:div w:id="1963228270">
      <w:bodyDiv w:val="1"/>
      <w:marLeft w:val="0"/>
      <w:marRight w:val="0"/>
      <w:marTop w:val="0"/>
      <w:marBottom w:val="0"/>
      <w:divBdr>
        <w:top w:val="none" w:sz="0" w:space="0" w:color="auto"/>
        <w:left w:val="none" w:sz="0" w:space="0" w:color="auto"/>
        <w:bottom w:val="none" w:sz="0" w:space="0" w:color="auto"/>
        <w:right w:val="none" w:sz="0" w:space="0" w:color="auto"/>
      </w:divBdr>
    </w:div>
    <w:div w:id="1963345466">
      <w:bodyDiv w:val="1"/>
      <w:marLeft w:val="0"/>
      <w:marRight w:val="0"/>
      <w:marTop w:val="0"/>
      <w:marBottom w:val="0"/>
      <w:divBdr>
        <w:top w:val="none" w:sz="0" w:space="0" w:color="auto"/>
        <w:left w:val="none" w:sz="0" w:space="0" w:color="auto"/>
        <w:bottom w:val="none" w:sz="0" w:space="0" w:color="auto"/>
        <w:right w:val="none" w:sz="0" w:space="0" w:color="auto"/>
      </w:divBdr>
    </w:div>
    <w:div w:id="1963346395">
      <w:bodyDiv w:val="1"/>
      <w:marLeft w:val="0"/>
      <w:marRight w:val="0"/>
      <w:marTop w:val="0"/>
      <w:marBottom w:val="0"/>
      <w:divBdr>
        <w:top w:val="none" w:sz="0" w:space="0" w:color="auto"/>
        <w:left w:val="none" w:sz="0" w:space="0" w:color="auto"/>
        <w:bottom w:val="none" w:sz="0" w:space="0" w:color="auto"/>
        <w:right w:val="none" w:sz="0" w:space="0" w:color="auto"/>
      </w:divBdr>
    </w:div>
    <w:div w:id="1964194635">
      <w:bodyDiv w:val="1"/>
      <w:marLeft w:val="0"/>
      <w:marRight w:val="0"/>
      <w:marTop w:val="0"/>
      <w:marBottom w:val="0"/>
      <w:divBdr>
        <w:top w:val="none" w:sz="0" w:space="0" w:color="auto"/>
        <w:left w:val="none" w:sz="0" w:space="0" w:color="auto"/>
        <w:bottom w:val="none" w:sz="0" w:space="0" w:color="auto"/>
        <w:right w:val="none" w:sz="0" w:space="0" w:color="auto"/>
      </w:divBdr>
    </w:div>
    <w:div w:id="1965767992">
      <w:bodyDiv w:val="1"/>
      <w:marLeft w:val="0"/>
      <w:marRight w:val="0"/>
      <w:marTop w:val="0"/>
      <w:marBottom w:val="0"/>
      <w:divBdr>
        <w:top w:val="none" w:sz="0" w:space="0" w:color="auto"/>
        <w:left w:val="none" w:sz="0" w:space="0" w:color="auto"/>
        <w:bottom w:val="none" w:sz="0" w:space="0" w:color="auto"/>
        <w:right w:val="none" w:sz="0" w:space="0" w:color="auto"/>
      </w:divBdr>
    </w:div>
    <w:div w:id="1966736892">
      <w:bodyDiv w:val="1"/>
      <w:marLeft w:val="0"/>
      <w:marRight w:val="0"/>
      <w:marTop w:val="0"/>
      <w:marBottom w:val="0"/>
      <w:divBdr>
        <w:top w:val="none" w:sz="0" w:space="0" w:color="auto"/>
        <w:left w:val="none" w:sz="0" w:space="0" w:color="auto"/>
        <w:bottom w:val="none" w:sz="0" w:space="0" w:color="auto"/>
        <w:right w:val="none" w:sz="0" w:space="0" w:color="auto"/>
      </w:divBdr>
    </w:div>
    <w:div w:id="1966814813">
      <w:bodyDiv w:val="1"/>
      <w:marLeft w:val="0"/>
      <w:marRight w:val="0"/>
      <w:marTop w:val="0"/>
      <w:marBottom w:val="0"/>
      <w:divBdr>
        <w:top w:val="none" w:sz="0" w:space="0" w:color="auto"/>
        <w:left w:val="none" w:sz="0" w:space="0" w:color="auto"/>
        <w:bottom w:val="none" w:sz="0" w:space="0" w:color="auto"/>
        <w:right w:val="none" w:sz="0" w:space="0" w:color="auto"/>
      </w:divBdr>
    </w:div>
    <w:div w:id="1966885009">
      <w:bodyDiv w:val="1"/>
      <w:marLeft w:val="0"/>
      <w:marRight w:val="0"/>
      <w:marTop w:val="0"/>
      <w:marBottom w:val="0"/>
      <w:divBdr>
        <w:top w:val="none" w:sz="0" w:space="0" w:color="auto"/>
        <w:left w:val="none" w:sz="0" w:space="0" w:color="auto"/>
        <w:bottom w:val="none" w:sz="0" w:space="0" w:color="auto"/>
        <w:right w:val="none" w:sz="0" w:space="0" w:color="auto"/>
      </w:divBdr>
    </w:div>
    <w:div w:id="1967465295">
      <w:bodyDiv w:val="1"/>
      <w:marLeft w:val="0"/>
      <w:marRight w:val="0"/>
      <w:marTop w:val="0"/>
      <w:marBottom w:val="0"/>
      <w:divBdr>
        <w:top w:val="none" w:sz="0" w:space="0" w:color="auto"/>
        <w:left w:val="none" w:sz="0" w:space="0" w:color="auto"/>
        <w:bottom w:val="none" w:sz="0" w:space="0" w:color="auto"/>
        <w:right w:val="none" w:sz="0" w:space="0" w:color="auto"/>
      </w:divBdr>
    </w:div>
    <w:div w:id="1968199353">
      <w:bodyDiv w:val="1"/>
      <w:marLeft w:val="0"/>
      <w:marRight w:val="0"/>
      <w:marTop w:val="0"/>
      <w:marBottom w:val="0"/>
      <w:divBdr>
        <w:top w:val="none" w:sz="0" w:space="0" w:color="auto"/>
        <w:left w:val="none" w:sz="0" w:space="0" w:color="auto"/>
        <w:bottom w:val="none" w:sz="0" w:space="0" w:color="auto"/>
        <w:right w:val="none" w:sz="0" w:space="0" w:color="auto"/>
      </w:divBdr>
    </w:div>
    <w:div w:id="1969703146">
      <w:bodyDiv w:val="1"/>
      <w:marLeft w:val="0"/>
      <w:marRight w:val="0"/>
      <w:marTop w:val="0"/>
      <w:marBottom w:val="0"/>
      <w:divBdr>
        <w:top w:val="none" w:sz="0" w:space="0" w:color="auto"/>
        <w:left w:val="none" w:sz="0" w:space="0" w:color="auto"/>
        <w:bottom w:val="none" w:sz="0" w:space="0" w:color="auto"/>
        <w:right w:val="none" w:sz="0" w:space="0" w:color="auto"/>
      </w:divBdr>
    </w:div>
    <w:div w:id="1970624498">
      <w:bodyDiv w:val="1"/>
      <w:marLeft w:val="0"/>
      <w:marRight w:val="0"/>
      <w:marTop w:val="0"/>
      <w:marBottom w:val="0"/>
      <w:divBdr>
        <w:top w:val="none" w:sz="0" w:space="0" w:color="auto"/>
        <w:left w:val="none" w:sz="0" w:space="0" w:color="auto"/>
        <w:bottom w:val="none" w:sz="0" w:space="0" w:color="auto"/>
        <w:right w:val="none" w:sz="0" w:space="0" w:color="auto"/>
      </w:divBdr>
    </w:div>
    <w:div w:id="1970939256">
      <w:bodyDiv w:val="1"/>
      <w:marLeft w:val="0"/>
      <w:marRight w:val="0"/>
      <w:marTop w:val="0"/>
      <w:marBottom w:val="0"/>
      <w:divBdr>
        <w:top w:val="none" w:sz="0" w:space="0" w:color="auto"/>
        <w:left w:val="none" w:sz="0" w:space="0" w:color="auto"/>
        <w:bottom w:val="none" w:sz="0" w:space="0" w:color="auto"/>
        <w:right w:val="none" w:sz="0" w:space="0" w:color="auto"/>
      </w:divBdr>
    </w:div>
    <w:div w:id="1971201953">
      <w:bodyDiv w:val="1"/>
      <w:marLeft w:val="0"/>
      <w:marRight w:val="0"/>
      <w:marTop w:val="0"/>
      <w:marBottom w:val="0"/>
      <w:divBdr>
        <w:top w:val="none" w:sz="0" w:space="0" w:color="auto"/>
        <w:left w:val="none" w:sz="0" w:space="0" w:color="auto"/>
        <w:bottom w:val="none" w:sz="0" w:space="0" w:color="auto"/>
        <w:right w:val="none" w:sz="0" w:space="0" w:color="auto"/>
      </w:divBdr>
    </w:div>
    <w:div w:id="1971671024">
      <w:bodyDiv w:val="1"/>
      <w:marLeft w:val="0"/>
      <w:marRight w:val="0"/>
      <w:marTop w:val="0"/>
      <w:marBottom w:val="0"/>
      <w:divBdr>
        <w:top w:val="none" w:sz="0" w:space="0" w:color="auto"/>
        <w:left w:val="none" w:sz="0" w:space="0" w:color="auto"/>
        <w:bottom w:val="none" w:sz="0" w:space="0" w:color="auto"/>
        <w:right w:val="none" w:sz="0" w:space="0" w:color="auto"/>
      </w:divBdr>
    </w:div>
    <w:div w:id="1972661642">
      <w:bodyDiv w:val="1"/>
      <w:marLeft w:val="0"/>
      <w:marRight w:val="0"/>
      <w:marTop w:val="0"/>
      <w:marBottom w:val="0"/>
      <w:divBdr>
        <w:top w:val="none" w:sz="0" w:space="0" w:color="auto"/>
        <w:left w:val="none" w:sz="0" w:space="0" w:color="auto"/>
        <w:bottom w:val="none" w:sz="0" w:space="0" w:color="auto"/>
        <w:right w:val="none" w:sz="0" w:space="0" w:color="auto"/>
      </w:divBdr>
    </w:div>
    <w:div w:id="1973289630">
      <w:bodyDiv w:val="1"/>
      <w:marLeft w:val="0"/>
      <w:marRight w:val="0"/>
      <w:marTop w:val="0"/>
      <w:marBottom w:val="0"/>
      <w:divBdr>
        <w:top w:val="none" w:sz="0" w:space="0" w:color="auto"/>
        <w:left w:val="none" w:sz="0" w:space="0" w:color="auto"/>
        <w:bottom w:val="none" w:sz="0" w:space="0" w:color="auto"/>
        <w:right w:val="none" w:sz="0" w:space="0" w:color="auto"/>
      </w:divBdr>
    </w:div>
    <w:div w:id="1973706147">
      <w:bodyDiv w:val="1"/>
      <w:marLeft w:val="0"/>
      <w:marRight w:val="0"/>
      <w:marTop w:val="0"/>
      <w:marBottom w:val="0"/>
      <w:divBdr>
        <w:top w:val="none" w:sz="0" w:space="0" w:color="auto"/>
        <w:left w:val="none" w:sz="0" w:space="0" w:color="auto"/>
        <w:bottom w:val="none" w:sz="0" w:space="0" w:color="auto"/>
        <w:right w:val="none" w:sz="0" w:space="0" w:color="auto"/>
      </w:divBdr>
    </w:div>
    <w:div w:id="1974292571">
      <w:bodyDiv w:val="1"/>
      <w:marLeft w:val="0"/>
      <w:marRight w:val="0"/>
      <w:marTop w:val="0"/>
      <w:marBottom w:val="0"/>
      <w:divBdr>
        <w:top w:val="none" w:sz="0" w:space="0" w:color="auto"/>
        <w:left w:val="none" w:sz="0" w:space="0" w:color="auto"/>
        <w:bottom w:val="none" w:sz="0" w:space="0" w:color="auto"/>
        <w:right w:val="none" w:sz="0" w:space="0" w:color="auto"/>
      </w:divBdr>
    </w:div>
    <w:div w:id="1975059278">
      <w:bodyDiv w:val="1"/>
      <w:marLeft w:val="0"/>
      <w:marRight w:val="0"/>
      <w:marTop w:val="0"/>
      <w:marBottom w:val="0"/>
      <w:divBdr>
        <w:top w:val="none" w:sz="0" w:space="0" w:color="auto"/>
        <w:left w:val="none" w:sz="0" w:space="0" w:color="auto"/>
        <w:bottom w:val="none" w:sz="0" w:space="0" w:color="auto"/>
        <w:right w:val="none" w:sz="0" w:space="0" w:color="auto"/>
      </w:divBdr>
    </w:div>
    <w:div w:id="1977055998">
      <w:bodyDiv w:val="1"/>
      <w:marLeft w:val="0"/>
      <w:marRight w:val="0"/>
      <w:marTop w:val="0"/>
      <w:marBottom w:val="0"/>
      <w:divBdr>
        <w:top w:val="none" w:sz="0" w:space="0" w:color="auto"/>
        <w:left w:val="none" w:sz="0" w:space="0" w:color="auto"/>
        <w:bottom w:val="none" w:sz="0" w:space="0" w:color="auto"/>
        <w:right w:val="none" w:sz="0" w:space="0" w:color="auto"/>
      </w:divBdr>
    </w:div>
    <w:div w:id="1978340318">
      <w:bodyDiv w:val="1"/>
      <w:marLeft w:val="0"/>
      <w:marRight w:val="0"/>
      <w:marTop w:val="0"/>
      <w:marBottom w:val="0"/>
      <w:divBdr>
        <w:top w:val="none" w:sz="0" w:space="0" w:color="auto"/>
        <w:left w:val="none" w:sz="0" w:space="0" w:color="auto"/>
        <w:bottom w:val="none" w:sz="0" w:space="0" w:color="auto"/>
        <w:right w:val="none" w:sz="0" w:space="0" w:color="auto"/>
      </w:divBdr>
    </w:div>
    <w:div w:id="1978340385">
      <w:bodyDiv w:val="1"/>
      <w:marLeft w:val="0"/>
      <w:marRight w:val="0"/>
      <w:marTop w:val="0"/>
      <w:marBottom w:val="0"/>
      <w:divBdr>
        <w:top w:val="none" w:sz="0" w:space="0" w:color="auto"/>
        <w:left w:val="none" w:sz="0" w:space="0" w:color="auto"/>
        <w:bottom w:val="none" w:sz="0" w:space="0" w:color="auto"/>
        <w:right w:val="none" w:sz="0" w:space="0" w:color="auto"/>
      </w:divBdr>
    </w:div>
    <w:div w:id="1978533923">
      <w:bodyDiv w:val="1"/>
      <w:marLeft w:val="0"/>
      <w:marRight w:val="0"/>
      <w:marTop w:val="0"/>
      <w:marBottom w:val="0"/>
      <w:divBdr>
        <w:top w:val="none" w:sz="0" w:space="0" w:color="auto"/>
        <w:left w:val="none" w:sz="0" w:space="0" w:color="auto"/>
        <w:bottom w:val="none" w:sz="0" w:space="0" w:color="auto"/>
        <w:right w:val="none" w:sz="0" w:space="0" w:color="auto"/>
      </w:divBdr>
    </w:div>
    <w:div w:id="1978759040">
      <w:bodyDiv w:val="1"/>
      <w:marLeft w:val="0"/>
      <w:marRight w:val="0"/>
      <w:marTop w:val="0"/>
      <w:marBottom w:val="0"/>
      <w:divBdr>
        <w:top w:val="none" w:sz="0" w:space="0" w:color="auto"/>
        <w:left w:val="none" w:sz="0" w:space="0" w:color="auto"/>
        <w:bottom w:val="none" w:sz="0" w:space="0" w:color="auto"/>
        <w:right w:val="none" w:sz="0" w:space="0" w:color="auto"/>
      </w:divBdr>
    </w:div>
    <w:div w:id="1978952429">
      <w:bodyDiv w:val="1"/>
      <w:marLeft w:val="0"/>
      <w:marRight w:val="0"/>
      <w:marTop w:val="0"/>
      <w:marBottom w:val="0"/>
      <w:divBdr>
        <w:top w:val="none" w:sz="0" w:space="0" w:color="auto"/>
        <w:left w:val="none" w:sz="0" w:space="0" w:color="auto"/>
        <w:bottom w:val="none" w:sz="0" w:space="0" w:color="auto"/>
        <w:right w:val="none" w:sz="0" w:space="0" w:color="auto"/>
      </w:divBdr>
    </w:div>
    <w:div w:id="1978992362">
      <w:bodyDiv w:val="1"/>
      <w:marLeft w:val="0"/>
      <w:marRight w:val="0"/>
      <w:marTop w:val="0"/>
      <w:marBottom w:val="0"/>
      <w:divBdr>
        <w:top w:val="none" w:sz="0" w:space="0" w:color="auto"/>
        <w:left w:val="none" w:sz="0" w:space="0" w:color="auto"/>
        <w:bottom w:val="none" w:sz="0" w:space="0" w:color="auto"/>
        <w:right w:val="none" w:sz="0" w:space="0" w:color="auto"/>
      </w:divBdr>
    </w:div>
    <w:div w:id="1979069367">
      <w:bodyDiv w:val="1"/>
      <w:marLeft w:val="0"/>
      <w:marRight w:val="0"/>
      <w:marTop w:val="0"/>
      <w:marBottom w:val="0"/>
      <w:divBdr>
        <w:top w:val="none" w:sz="0" w:space="0" w:color="auto"/>
        <w:left w:val="none" w:sz="0" w:space="0" w:color="auto"/>
        <w:bottom w:val="none" w:sz="0" w:space="0" w:color="auto"/>
        <w:right w:val="none" w:sz="0" w:space="0" w:color="auto"/>
      </w:divBdr>
    </w:div>
    <w:div w:id="1979140296">
      <w:bodyDiv w:val="1"/>
      <w:marLeft w:val="0"/>
      <w:marRight w:val="0"/>
      <w:marTop w:val="0"/>
      <w:marBottom w:val="0"/>
      <w:divBdr>
        <w:top w:val="none" w:sz="0" w:space="0" w:color="auto"/>
        <w:left w:val="none" w:sz="0" w:space="0" w:color="auto"/>
        <w:bottom w:val="none" w:sz="0" w:space="0" w:color="auto"/>
        <w:right w:val="none" w:sz="0" w:space="0" w:color="auto"/>
      </w:divBdr>
    </w:div>
    <w:div w:id="1979384255">
      <w:bodyDiv w:val="1"/>
      <w:marLeft w:val="0"/>
      <w:marRight w:val="0"/>
      <w:marTop w:val="0"/>
      <w:marBottom w:val="0"/>
      <w:divBdr>
        <w:top w:val="none" w:sz="0" w:space="0" w:color="auto"/>
        <w:left w:val="none" w:sz="0" w:space="0" w:color="auto"/>
        <w:bottom w:val="none" w:sz="0" w:space="0" w:color="auto"/>
        <w:right w:val="none" w:sz="0" w:space="0" w:color="auto"/>
      </w:divBdr>
    </w:div>
    <w:div w:id="1979409038">
      <w:bodyDiv w:val="1"/>
      <w:marLeft w:val="0"/>
      <w:marRight w:val="0"/>
      <w:marTop w:val="0"/>
      <w:marBottom w:val="0"/>
      <w:divBdr>
        <w:top w:val="none" w:sz="0" w:space="0" w:color="auto"/>
        <w:left w:val="none" w:sz="0" w:space="0" w:color="auto"/>
        <w:bottom w:val="none" w:sz="0" w:space="0" w:color="auto"/>
        <w:right w:val="none" w:sz="0" w:space="0" w:color="auto"/>
      </w:divBdr>
    </w:div>
    <w:div w:id="1980841293">
      <w:bodyDiv w:val="1"/>
      <w:marLeft w:val="0"/>
      <w:marRight w:val="0"/>
      <w:marTop w:val="0"/>
      <w:marBottom w:val="0"/>
      <w:divBdr>
        <w:top w:val="none" w:sz="0" w:space="0" w:color="auto"/>
        <w:left w:val="none" w:sz="0" w:space="0" w:color="auto"/>
        <w:bottom w:val="none" w:sz="0" w:space="0" w:color="auto"/>
        <w:right w:val="none" w:sz="0" w:space="0" w:color="auto"/>
      </w:divBdr>
    </w:div>
    <w:div w:id="1981374120">
      <w:bodyDiv w:val="1"/>
      <w:marLeft w:val="0"/>
      <w:marRight w:val="0"/>
      <w:marTop w:val="0"/>
      <w:marBottom w:val="0"/>
      <w:divBdr>
        <w:top w:val="none" w:sz="0" w:space="0" w:color="auto"/>
        <w:left w:val="none" w:sz="0" w:space="0" w:color="auto"/>
        <w:bottom w:val="none" w:sz="0" w:space="0" w:color="auto"/>
        <w:right w:val="none" w:sz="0" w:space="0" w:color="auto"/>
      </w:divBdr>
    </w:div>
    <w:div w:id="1982148299">
      <w:bodyDiv w:val="1"/>
      <w:marLeft w:val="0"/>
      <w:marRight w:val="0"/>
      <w:marTop w:val="0"/>
      <w:marBottom w:val="0"/>
      <w:divBdr>
        <w:top w:val="none" w:sz="0" w:space="0" w:color="auto"/>
        <w:left w:val="none" w:sz="0" w:space="0" w:color="auto"/>
        <w:bottom w:val="none" w:sz="0" w:space="0" w:color="auto"/>
        <w:right w:val="none" w:sz="0" w:space="0" w:color="auto"/>
      </w:divBdr>
    </w:div>
    <w:div w:id="1984579706">
      <w:bodyDiv w:val="1"/>
      <w:marLeft w:val="0"/>
      <w:marRight w:val="0"/>
      <w:marTop w:val="0"/>
      <w:marBottom w:val="0"/>
      <w:divBdr>
        <w:top w:val="none" w:sz="0" w:space="0" w:color="auto"/>
        <w:left w:val="none" w:sz="0" w:space="0" w:color="auto"/>
        <w:bottom w:val="none" w:sz="0" w:space="0" w:color="auto"/>
        <w:right w:val="none" w:sz="0" w:space="0" w:color="auto"/>
      </w:divBdr>
    </w:div>
    <w:div w:id="1984699449">
      <w:bodyDiv w:val="1"/>
      <w:marLeft w:val="0"/>
      <w:marRight w:val="0"/>
      <w:marTop w:val="0"/>
      <w:marBottom w:val="0"/>
      <w:divBdr>
        <w:top w:val="none" w:sz="0" w:space="0" w:color="auto"/>
        <w:left w:val="none" w:sz="0" w:space="0" w:color="auto"/>
        <w:bottom w:val="none" w:sz="0" w:space="0" w:color="auto"/>
        <w:right w:val="none" w:sz="0" w:space="0" w:color="auto"/>
      </w:divBdr>
    </w:div>
    <w:div w:id="1986622214">
      <w:bodyDiv w:val="1"/>
      <w:marLeft w:val="0"/>
      <w:marRight w:val="0"/>
      <w:marTop w:val="0"/>
      <w:marBottom w:val="0"/>
      <w:divBdr>
        <w:top w:val="none" w:sz="0" w:space="0" w:color="auto"/>
        <w:left w:val="none" w:sz="0" w:space="0" w:color="auto"/>
        <w:bottom w:val="none" w:sz="0" w:space="0" w:color="auto"/>
        <w:right w:val="none" w:sz="0" w:space="0" w:color="auto"/>
      </w:divBdr>
    </w:div>
    <w:div w:id="1987777268">
      <w:bodyDiv w:val="1"/>
      <w:marLeft w:val="0"/>
      <w:marRight w:val="0"/>
      <w:marTop w:val="0"/>
      <w:marBottom w:val="0"/>
      <w:divBdr>
        <w:top w:val="none" w:sz="0" w:space="0" w:color="auto"/>
        <w:left w:val="none" w:sz="0" w:space="0" w:color="auto"/>
        <w:bottom w:val="none" w:sz="0" w:space="0" w:color="auto"/>
        <w:right w:val="none" w:sz="0" w:space="0" w:color="auto"/>
      </w:divBdr>
    </w:div>
    <w:div w:id="1987970902">
      <w:bodyDiv w:val="1"/>
      <w:marLeft w:val="0"/>
      <w:marRight w:val="0"/>
      <w:marTop w:val="0"/>
      <w:marBottom w:val="0"/>
      <w:divBdr>
        <w:top w:val="none" w:sz="0" w:space="0" w:color="auto"/>
        <w:left w:val="none" w:sz="0" w:space="0" w:color="auto"/>
        <w:bottom w:val="none" w:sz="0" w:space="0" w:color="auto"/>
        <w:right w:val="none" w:sz="0" w:space="0" w:color="auto"/>
      </w:divBdr>
    </w:div>
    <w:div w:id="1987973427">
      <w:bodyDiv w:val="1"/>
      <w:marLeft w:val="0"/>
      <w:marRight w:val="0"/>
      <w:marTop w:val="0"/>
      <w:marBottom w:val="0"/>
      <w:divBdr>
        <w:top w:val="none" w:sz="0" w:space="0" w:color="auto"/>
        <w:left w:val="none" w:sz="0" w:space="0" w:color="auto"/>
        <w:bottom w:val="none" w:sz="0" w:space="0" w:color="auto"/>
        <w:right w:val="none" w:sz="0" w:space="0" w:color="auto"/>
      </w:divBdr>
    </w:div>
    <w:div w:id="1988973734">
      <w:bodyDiv w:val="1"/>
      <w:marLeft w:val="0"/>
      <w:marRight w:val="0"/>
      <w:marTop w:val="0"/>
      <w:marBottom w:val="0"/>
      <w:divBdr>
        <w:top w:val="none" w:sz="0" w:space="0" w:color="auto"/>
        <w:left w:val="none" w:sz="0" w:space="0" w:color="auto"/>
        <w:bottom w:val="none" w:sz="0" w:space="0" w:color="auto"/>
        <w:right w:val="none" w:sz="0" w:space="0" w:color="auto"/>
      </w:divBdr>
    </w:div>
    <w:div w:id="1989245821">
      <w:bodyDiv w:val="1"/>
      <w:marLeft w:val="0"/>
      <w:marRight w:val="0"/>
      <w:marTop w:val="0"/>
      <w:marBottom w:val="0"/>
      <w:divBdr>
        <w:top w:val="none" w:sz="0" w:space="0" w:color="auto"/>
        <w:left w:val="none" w:sz="0" w:space="0" w:color="auto"/>
        <w:bottom w:val="none" w:sz="0" w:space="0" w:color="auto"/>
        <w:right w:val="none" w:sz="0" w:space="0" w:color="auto"/>
      </w:divBdr>
    </w:div>
    <w:div w:id="1989505450">
      <w:bodyDiv w:val="1"/>
      <w:marLeft w:val="0"/>
      <w:marRight w:val="0"/>
      <w:marTop w:val="0"/>
      <w:marBottom w:val="0"/>
      <w:divBdr>
        <w:top w:val="none" w:sz="0" w:space="0" w:color="auto"/>
        <w:left w:val="none" w:sz="0" w:space="0" w:color="auto"/>
        <w:bottom w:val="none" w:sz="0" w:space="0" w:color="auto"/>
        <w:right w:val="none" w:sz="0" w:space="0" w:color="auto"/>
      </w:divBdr>
    </w:div>
    <w:div w:id="1989935200">
      <w:bodyDiv w:val="1"/>
      <w:marLeft w:val="0"/>
      <w:marRight w:val="0"/>
      <w:marTop w:val="0"/>
      <w:marBottom w:val="0"/>
      <w:divBdr>
        <w:top w:val="none" w:sz="0" w:space="0" w:color="auto"/>
        <w:left w:val="none" w:sz="0" w:space="0" w:color="auto"/>
        <w:bottom w:val="none" w:sz="0" w:space="0" w:color="auto"/>
        <w:right w:val="none" w:sz="0" w:space="0" w:color="auto"/>
      </w:divBdr>
    </w:div>
    <w:div w:id="1990091946">
      <w:bodyDiv w:val="1"/>
      <w:marLeft w:val="0"/>
      <w:marRight w:val="0"/>
      <w:marTop w:val="0"/>
      <w:marBottom w:val="0"/>
      <w:divBdr>
        <w:top w:val="none" w:sz="0" w:space="0" w:color="auto"/>
        <w:left w:val="none" w:sz="0" w:space="0" w:color="auto"/>
        <w:bottom w:val="none" w:sz="0" w:space="0" w:color="auto"/>
        <w:right w:val="none" w:sz="0" w:space="0" w:color="auto"/>
      </w:divBdr>
    </w:div>
    <w:div w:id="1990935342">
      <w:bodyDiv w:val="1"/>
      <w:marLeft w:val="0"/>
      <w:marRight w:val="0"/>
      <w:marTop w:val="0"/>
      <w:marBottom w:val="0"/>
      <w:divBdr>
        <w:top w:val="none" w:sz="0" w:space="0" w:color="auto"/>
        <w:left w:val="none" w:sz="0" w:space="0" w:color="auto"/>
        <w:bottom w:val="none" w:sz="0" w:space="0" w:color="auto"/>
        <w:right w:val="none" w:sz="0" w:space="0" w:color="auto"/>
      </w:divBdr>
    </w:div>
    <w:div w:id="1992170998">
      <w:bodyDiv w:val="1"/>
      <w:marLeft w:val="0"/>
      <w:marRight w:val="0"/>
      <w:marTop w:val="0"/>
      <w:marBottom w:val="0"/>
      <w:divBdr>
        <w:top w:val="none" w:sz="0" w:space="0" w:color="auto"/>
        <w:left w:val="none" w:sz="0" w:space="0" w:color="auto"/>
        <w:bottom w:val="none" w:sz="0" w:space="0" w:color="auto"/>
        <w:right w:val="none" w:sz="0" w:space="0" w:color="auto"/>
      </w:divBdr>
    </w:div>
    <w:div w:id="1992245339">
      <w:bodyDiv w:val="1"/>
      <w:marLeft w:val="0"/>
      <w:marRight w:val="0"/>
      <w:marTop w:val="0"/>
      <w:marBottom w:val="0"/>
      <w:divBdr>
        <w:top w:val="none" w:sz="0" w:space="0" w:color="auto"/>
        <w:left w:val="none" w:sz="0" w:space="0" w:color="auto"/>
        <w:bottom w:val="none" w:sz="0" w:space="0" w:color="auto"/>
        <w:right w:val="none" w:sz="0" w:space="0" w:color="auto"/>
      </w:divBdr>
    </w:div>
    <w:div w:id="1994064791">
      <w:bodyDiv w:val="1"/>
      <w:marLeft w:val="0"/>
      <w:marRight w:val="0"/>
      <w:marTop w:val="0"/>
      <w:marBottom w:val="0"/>
      <w:divBdr>
        <w:top w:val="none" w:sz="0" w:space="0" w:color="auto"/>
        <w:left w:val="none" w:sz="0" w:space="0" w:color="auto"/>
        <w:bottom w:val="none" w:sz="0" w:space="0" w:color="auto"/>
        <w:right w:val="none" w:sz="0" w:space="0" w:color="auto"/>
      </w:divBdr>
    </w:div>
    <w:div w:id="1994604179">
      <w:bodyDiv w:val="1"/>
      <w:marLeft w:val="0"/>
      <w:marRight w:val="0"/>
      <w:marTop w:val="0"/>
      <w:marBottom w:val="0"/>
      <w:divBdr>
        <w:top w:val="none" w:sz="0" w:space="0" w:color="auto"/>
        <w:left w:val="none" w:sz="0" w:space="0" w:color="auto"/>
        <w:bottom w:val="none" w:sz="0" w:space="0" w:color="auto"/>
        <w:right w:val="none" w:sz="0" w:space="0" w:color="auto"/>
      </w:divBdr>
    </w:div>
    <w:div w:id="1996251988">
      <w:bodyDiv w:val="1"/>
      <w:marLeft w:val="0"/>
      <w:marRight w:val="0"/>
      <w:marTop w:val="0"/>
      <w:marBottom w:val="0"/>
      <w:divBdr>
        <w:top w:val="none" w:sz="0" w:space="0" w:color="auto"/>
        <w:left w:val="none" w:sz="0" w:space="0" w:color="auto"/>
        <w:bottom w:val="none" w:sz="0" w:space="0" w:color="auto"/>
        <w:right w:val="none" w:sz="0" w:space="0" w:color="auto"/>
      </w:divBdr>
    </w:div>
    <w:div w:id="1996450674">
      <w:bodyDiv w:val="1"/>
      <w:marLeft w:val="0"/>
      <w:marRight w:val="0"/>
      <w:marTop w:val="0"/>
      <w:marBottom w:val="0"/>
      <w:divBdr>
        <w:top w:val="none" w:sz="0" w:space="0" w:color="auto"/>
        <w:left w:val="none" w:sz="0" w:space="0" w:color="auto"/>
        <w:bottom w:val="none" w:sz="0" w:space="0" w:color="auto"/>
        <w:right w:val="none" w:sz="0" w:space="0" w:color="auto"/>
      </w:divBdr>
    </w:div>
    <w:div w:id="1996568324">
      <w:bodyDiv w:val="1"/>
      <w:marLeft w:val="0"/>
      <w:marRight w:val="0"/>
      <w:marTop w:val="0"/>
      <w:marBottom w:val="0"/>
      <w:divBdr>
        <w:top w:val="none" w:sz="0" w:space="0" w:color="auto"/>
        <w:left w:val="none" w:sz="0" w:space="0" w:color="auto"/>
        <w:bottom w:val="none" w:sz="0" w:space="0" w:color="auto"/>
        <w:right w:val="none" w:sz="0" w:space="0" w:color="auto"/>
      </w:divBdr>
    </w:div>
    <w:div w:id="1996569604">
      <w:bodyDiv w:val="1"/>
      <w:marLeft w:val="0"/>
      <w:marRight w:val="0"/>
      <w:marTop w:val="0"/>
      <w:marBottom w:val="0"/>
      <w:divBdr>
        <w:top w:val="none" w:sz="0" w:space="0" w:color="auto"/>
        <w:left w:val="none" w:sz="0" w:space="0" w:color="auto"/>
        <w:bottom w:val="none" w:sz="0" w:space="0" w:color="auto"/>
        <w:right w:val="none" w:sz="0" w:space="0" w:color="auto"/>
      </w:divBdr>
    </w:div>
    <w:div w:id="1996716957">
      <w:bodyDiv w:val="1"/>
      <w:marLeft w:val="0"/>
      <w:marRight w:val="0"/>
      <w:marTop w:val="0"/>
      <w:marBottom w:val="0"/>
      <w:divBdr>
        <w:top w:val="none" w:sz="0" w:space="0" w:color="auto"/>
        <w:left w:val="none" w:sz="0" w:space="0" w:color="auto"/>
        <w:bottom w:val="none" w:sz="0" w:space="0" w:color="auto"/>
        <w:right w:val="none" w:sz="0" w:space="0" w:color="auto"/>
      </w:divBdr>
    </w:div>
    <w:div w:id="1996954400">
      <w:bodyDiv w:val="1"/>
      <w:marLeft w:val="0"/>
      <w:marRight w:val="0"/>
      <w:marTop w:val="0"/>
      <w:marBottom w:val="0"/>
      <w:divBdr>
        <w:top w:val="none" w:sz="0" w:space="0" w:color="auto"/>
        <w:left w:val="none" w:sz="0" w:space="0" w:color="auto"/>
        <w:bottom w:val="none" w:sz="0" w:space="0" w:color="auto"/>
        <w:right w:val="none" w:sz="0" w:space="0" w:color="auto"/>
      </w:divBdr>
    </w:div>
    <w:div w:id="1997345021">
      <w:bodyDiv w:val="1"/>
      <w:marLeft w:val="0"/>
      <w:marRight w:val="0"/>
      <w:marTop w:val="0"/>
      <w:marBottom w:val="0"/>
      <w:divBdr>
        <w:top w:val="none" w:sz="0" w:space="0" w:color="auto"/>
        <w:left w:val="none" w:sz="0" w:space="0" w:color="auto"/>
        <w:bottom w:val="none" w:sz="0" w:space="0" w:color="auto"/>
        <w:right w:val="none" w:sz="0" w:space="0" w:color="auto"/>
      </w:divBdr>
    </w:div>
    <w:div w:id="1997562377">
      <w:bodyDiv w:val="1"/>
      <w:marLeft w:val="0"/>
      <w:marRight w:val="0"/>
      <w:marTop w:val="0"/>
      <w:marBottom w:val="0"/>
      <w:divBdr>
        <w:top w:val="none" w:sz="0" w:space="0" w:color="auto"/>
        <w:left w:val="none" w:sz="0" w:space="0" w:color="auto"/>
        <w:bottom w:val="none" w:sz="0" w:space="0" w:color="auto"/>
        <w:right w:val="none" w:sz="0" w:space="0" w:color="auto"/>
      </w:divBdr>
    </w:div>
    <w:div w:id="1997874395">
      <w:bodyDiv w:val="1"/>
      <w:marLeft w:val="0"/>
      <w:marRight w:val="0"/>
      <w:marTop w:val="0"/>
      <w:marBottom w:val="0"/>
      <w:divBdr>
        <w:top w:val="none" w:sz="0" w:space="0" w:color="auto"/>
        <w:left w:val="none" w:sz="0" w:space="0" w:color="auto"/>
        <w:bottom w:val="none" w:sz="0" w:space="0" w:color="auto"/>
        <w:right w:val="none" w:sz="0" w:space="0" w:color="auto"/>
      </w:divBdr>
    </w:div>
    <w:div w:id="2000382267">
      <w:bodyDiv w:val="1"/>
      <w:marLeft w:val="0"/>
      <w:marRight w:val="0"/>
      <w:marTop w:val="0"/>
      <w:marBottom w:val="0"/>
      <w:divBdr>
        <w:top w:val="none" w:sz="0" w:space="0" w:color="auto"/>
        <w:left w:val="none" w:sz="0" w:space="0" w:color="auto"/>
        <w:bottom w:val="none" w:sz="0" w:space="0" w:color="auto"/>
        <w:right w:val="none" w:sz="0" w:space="0" w:color="auto"/>
      </w:divBdr>
    </w:div>
    <w:div w:id="2000888552">
      <w:bodyDiv w:val="1"/>
      <w:marLeft w:val="0"/>
      <w:marRight w:val="0"/>
      <w:marTop w:val="0"/>
      <w:marBottom w:val="0"/>
      <w:divBdr>
        <w:top w:val="none" w:sz="0" w:space="0" w:color="auto"/>
        <w:left w:val="none" w:sz="0" w:space="0" w:color="auto"/>
        <w:bottom w:val="none" w:sz="0" w:space="0" w:color="auto"/>
        <w:right w:val="none" w:sz="0" w:space="0" w:color="auto"/>
      </w:divBdr>
    </w:div>
    <w:div w:id="2003969566">
      <w:bodyDiv w:val="1"/>
      <w:marLeft w:val="0"/>
      <w:marRight w:val="0"/>
      <w:marTop w:val="0"/>
      <w:marBottom w:val="0"/>
      <w:divBdr>
        <w:top w:val="none" w:sz="0" w:space="0" w:color="auto"/>
        <w:left w:val="none" w:sz="0" w:space="0" w:color="auto"/>
        <w:bottom w:val="none" w:sz="0" w:space="0" w:color="auto"/>
        <w:right w:val="none" w:sz="0" w:space="0" w:color="auto"/>
      </w:divBdr>
    </w:div>
    <w:div w:id="2004118960">
      <w:bodyDiv w:val="1"/>
      <w:marLeft w:val="0"/>
      <w:marRight w:val="0"/>
      <w:marTop w:val="0"/>
      <w:marBottom w:val="0"/>
      <w:divBdr>
        <w:top w:val="none" w:sz="0" w:space="0" w:color="auto"/>
        <w:left w:val="none" w:sz="0" w:space="0" w:color="auto"/>
        <w:bottom w:val="none" w:sz="0" w:space="0" w:color="auto"/>
        <w:right w:val="none" w:sz="0" w:space="0" w:color="auto"/>
      </w:divBdr>
    </w:div>
    <w:div w:id="2004501275">
      <w:bodyDiv w:val="1"/>
      <w:marLeft w:val="0"/>
      <w:marRight w:val="0"/>
      <w:marTop w:val="0"/>
      <w:marBottom w:val="0"/>
      <w:divBdr>
        <w:top w:val="none" w:sz="0" w:space="0" w:color="auto"/>
        <w:left w:val="none" w:sz="0" w:space="0" w:color="auto"/>
        <w:bottom w:val="none" w:sz="0" w:space="0" w:color="auto"/>
        <w:right w:val="none" w:sz="0" w:space="0" w:color="auto"/>
      </w:divBdr>
    </w:div>
    <w:div w:id="2005432791">
      <w:bodyDiv w:val="1"/>
      <w:marLeft w:val="0"/>
      <w:marRight w:val="0"/>
      <w:marTop w:val="0"/>
      <w:marBottom w:val="0"/>
      <w:divBdr>
        <w:top w:val="none" w:sz="0" w:space="0" w:color="auto"/>
        <w:left w:val="none" w:sz="0" w:space="0" w:color="auto"/>
        <w:bottom w:val="none" w:sz="0" w:space="0" w:color="auto"/>
        <w:right w:val="none" w:sz="0" w:space="0" w:color="auto"/>
      </w:divBdr>
    </w:div>
    <w:div w:id="2005547788">
      <w:bodyDiv w:val="1"/>
      <w:marLeft w:val="0"/>
      <w:marRight w:val="0"/>
      <w:marTop w:val="0"/>
      <w:marBottom w:val="0"/>
      <w:divBdr>
        <w:top w:val="none" w:sz="0" w:space="0" w:color="auto"/>
        <w:left w:val="none" w:sz="0" w:space="0" w:color="auto"/>
        <w:bottom w:val="none" w:sz="0" w:space="0" w:color="auto"/>
        <w:right w:val="none" w:sz="0" w:space="0" w:color="auto"/>
      </w:divBdr>
    </w:div>
    <w:div w:id="2005936163">
      <w:bodyDiv w:val="1"/>
      <w:marLeft w:val="0"/>
      <w:marRight w:val="0"/>
      <w:marTop w:val="0"/>
      <w:marBottom w:val="0"/>
      <w:divBdr>
        <w:top w:val="none" w:sz="0" w:space="0" w:color="auto"/>
        <w:left w:val="none" w:sz="0" w:space="0" w:color="auto"/>
        <w:bottom w:val="none" w:sz="0" w:space="0" w:color="auto"/>
        <w:right w:val="none" w:sz="0" w:space="0" w:color="auto"/>
      </w:divBdr>
    </w:div>
    <w:div w:id="2006084652">
      <w:bodyDiv w:val="1"/>
      <w:marLeft w:val="0"/>
      <w:marRight w:val="0"/>
      <w:marTop w:val="0"/>
      <w:marBottom w:val="0"/>
      <w:divBdr>
        <w:top w:val="none" w:sz="0" w:space="0" w:color="auto"/>
        <w:left w:val="none" w:sz="0" w:space="0" w:color="auto"/>
        <w:bottom w:val="none" w:sz="0" w:space="0" w:color="auto"/>
        <w:right w:val="none" w:sz="0" w:space="0" w:color="auto"/>
      </w:divBdr>
    </w:div>
    <w:div w:id="2006398664">
      <w:bodyDiv w:val="1"/>
      <w:marLeft w:val="0"/>
      <w:marRight w:val="0"/>
      <w:marTop w:val="0"/>
      <w:marBottom w:val="0"/>
      <w:divBdr>
        <w:top w:val="none" w:sz="0" w:space="0" w:color="auto"/>
        <w:left w:val="none" w:sz="0" w:space="0" w:color="auto"/>
        <w:bottom w:val="none" w:sz="0" w:space="0" w:color="auto"/>
        <w:right w:val="none" w:sz="0" w:space="0" w:color="auto"/>
      </w:divBdr>
    </w:div>
    <w:div w:id="2007784543">
      <w:bodyDiv w:val="1"/>
      <w:marLeft w:val="0"/>
      <w:marRight w:val="0"/>
      <w:marTop w:val="0"/>
      <w:marBottom w:val="0"/>
      <w:divBdr>
        <w:top w:val="none" w:sz="0" w:space="0" w:color="auto"/>
        <w:left w:val="none" w:sz="0" w:space="0" w:color="auto"/>
        <w:bottom w:val="none" w:sz="0" w:space="0" w:color="auto"/>
        <w:right w:val="none" w:sz="0" w:space="0" w:color="auto"/>
      </w:divBdr>
    </w:div>
    <w:div w:id="2008434727">
      <w:bodyDiv w:val="1"/>
      <w:marLeft w:val="0"/>
      <w:marRight w:val="0"/>
      <w:marTop w:val="0"/>
      <w:marBottom w:val="0"/>
      <w:divBdr>
        <w:top w:val="none" w:sz="0" w:space="0" w:color="auto"/>
        <w:left w:val="none" w:sz="0" w:space="0" w:color="auto"/>
        <w:bottom w:val="none" w:sz="0" w:space="0" w:color="auto"/>
        <w:right w:val="none" w:sz="0" w:space="0" w:color="auto"/>
      </w:divBdr>
    </w:div>
    <w:div w:id="2008633712">
      <w:bodyDiv w:val="1"/>
      <w:marLeft w:val="0"/>
      <w:marRight w:val="0"/>
      <w:marTop w:val="0"/>
      <w:marBottom w:val="0"/>
      <w:divBdr>
        <w:top w:val="none" w:sz="0" w:space="0" w:color="auto"/>
        <w:left w:val="none" w:sz="0" w:space="0" w:color="auto"/>
        <w:bottom w:val="none" w:sz="0" w:space="0" w:color="auto"/>
        <w:right w:val="none" w:sz="0" w:space="0" w:color="auto"/>
      </w:divBdr>
    </w:div>
    <w:div w:id="2008826472">
      <w:bodyDiv w:val="1"/>
      <w:marLeft w:val="0"/>
      <w:marRight w:val="0"/>
      <w:marTop w:val="0"/>
      <w:marBottom w:val="0"/>
      <w:divBdr>
        <w:top w:val="none" w:sz="0" w:space="0" w:color="auto"/>
        <w:left w:val="none" w:sz="0" w:space="0" w:color="auto"/>
        <w:bottom w:val="none" w:sz="0" w:space="0" w:color="auto"/>
        <w:right w:val="none" w:sz="0" w:space="0" w:color="auto"/>
      </w:divBdr>
    </w:div>
    <w:div w:id="2008941392">
      <w:bodyDiv w:val="1"/>
      <w:marLeft w:val="0"/>
      <w:marRight w:val="0"/>
      <w:marTop w:val="0"/>
      <w:marBottom w:val="0"/>
      <w:divBdr>
        <w:top w:val="none" w:sz="0" w:space="0" w:color="auto"/>
        <w:left w:val="none" w:sz="0" w:space="0" w:color="auto"/>
        <w:bottom w:val="none" w:sz="0" w:space="0" w:color="auto"/>
        <w:right w:val="none" w:sz="0" w:space="0" w:color="auto"/>
      </w:divBdr>
    </w:div>
    <w:div w:id="2009746427">
      <w:bodyDiv w:val="1"/>
      <w:marLeft w:val="0"/>
      <w:marRight w:val="0"/>
      <w:marTop w:val="0"/>
      <w:marBottom w:val="0"/>
      <w:divBdr>
        <w:top w:val="none" w:sz="0" w:space="0" w:color="auto"/>
        <w:left w:val="none" w:sz="0" w:space="0" w:color="auto"/>
        <w:bottom w:val="none" w:sz="0" w:space="0" w:color="auto"/>
        <w:right w:val="none" w:sz="0" w:space="0" w:color="auto"/>
      </w:divBdr>
    </w:div>
    <w:div w:id="2009945262">
      <w:bodyDiv w:val="1"/>
      <w:marLeft w:val="0"/>
      <w:marRight w:val="0"/>
      <w:marTop w:val="0"/>
      <w:marBottom w:val="0"/>
      <w:divBdr>
        <w:top w:val="none" w:sz="0" w:space="0" w:color="auto"/>
        <w:left w:val="none" w:sz="0" w:space="0" w:color="auto"/>
        <w:bottom w:val="none" w:sz="0" w:space="0" w:color="auto"/>
        <w:right w:val="none" w:sz="0" w:space="0" w:color="auto"/>
      </w:divBdr>
    </w:div>
    <w:div w:id="2010594860">
      <w:bodyDiv w:val="1"/>
      <w:marLeft w:val="0"/>
      <w:marRight w:val="0"/>
      <w:marTop w:val="0"/>
      <w:marBottom w:val="0"/>
      <w:divBdr>
        <w:top w:val="none" w:sz="0" w:space="0" w:color="auto"/>
        <w:left w:val="none" w:sz="0" w:space="0" w:color="auto"/>
        <w:bottom w:val="none" w:sz="0" w:space="0" w:color="auto"/>
        <w:right w:val="none" w:sz="0" w:space="0" w:color="auto"/>
      </w:divBdr>
    </w:div>
    <w:div w:id="2011832193">
      <w:bodyDiv w:val="1"/>
      <w:marLeft w:val="0"/>
      <w:marRight w:val="0"/>
      <w:marTop w:val="0"/>
      <w:marBottom w:val="0"/>
      <w:divBdr>
        <w:top w:val="none" w:sz="0" w:space="0" w:color="auto"/>
        <w:left w:val="none" w:sz="0" w:space="0" w:color="auto"/>
        <w:bottom w:val="none" w:sz="0" w:space="0" w:color="auto"/>
        <w:right w:val="none" w:sz="0" w:space="0" w:color="auto"/>
      </w:divBdr>
    </w:div>
    <w:div w:id="2012637532">
      <w:bodyDiv w:val="1"/>
      <w:marLeft w:val="0"/>
      <w:marRight w:val="0"/>
      <w:marTop w:val="0"/>
      <w:marBottom w:val="0"/>
      <w:divBdr>
        <w:top w:val="none" w:sz="0" w:space="0" w:color="auto"/>
        <w:left w:val="none" w:sz="0" w:space="0" w:color="auto"/>
        <w:bottom w:val="none" w:sz="0" w:space="0" w:color="auto"/>
        <w:right w:val="none" w:sz="0" w:space="0" w:color="auto"/>
      </w:divBdr>
    </w:div>
    <w:div w:id="2013027495">
      <w:bodyDiv w:val="1"/>
      <w:marLeft w:val="0"/>
      <w:marRight w:val="0"/>
      <w:marTop w:val="0"/>
      <w:marBottom w:val="0"/>
      <w:divBdr>
        <w:top w:val="none" w:sz="0" w:space="0" w:color="auto"/>
        <w:left w:val="none" w:sz="0" w:space="0" w:color="auto"/>
        <w:bottom w:val="none" w:sz="0" w:space="0" w:color="auto"/>
        <w:right w:val="none" w:sz="0" w:space="0" w:color="auto"/>
      </w:divBdr>
    </w:div>
    <w:div w:id="2014604011">
      <w:bodyDiv w:val="1"/>
      <w:marLeft w:val="0"/>
      <w:marRight w:val="0"/>
      <w:marTop w:val="0"/>
      <w:marBottom w:val="0"/>
      <w:divBdr>
        <w:top w:val="none" w:sz="0" w:space="0" w:color="auto"/>
        <w:left w:val="none" w:sz="0" w:space="0" w:color="auto"/>
        <w:bottom w:val="none" w:sz="0" w:space="0" w:color="auto"/>
        <w:right w:val="none" w:sz="0" w:space="0" w:color="auto"/>
      </w:divBdr>
    </w:div>
    <w:div w:id="2014794186">
      <w:bodyDiv w:val="1"/>
      <w:marLeft w:val="0"/>
      <w:marRight w:val="0"/>
      <w:marTop w:val="0"/>
      <w:marBottom w:val="0"/>
      <w:divBdr>
        <w:top w:val="none" w:sz="0" w:space="0" w:color="auto"/>
        <w:left w:val="none" w:sz="0" w:space="0" w:color="auto"/>
        <w:bottom w:val="none" w:sz="0" w:space="0" w:color="auto"/>
        <w:right w:val="none" w:sz="0" w:space="0" w:color="auto"/>
      </w:divBdr>
    </w:div>
    <w:div w:id="2016107381">
      <w:bodyDiv w:val="1"/>
      <w:marLeft w:val="0"/>
      <w:marRight w:val="0"/>
      <w:marTop w:val="0"/>
      <w:marBottom w:val="0"/>
      <w:divBdr>
        <w:top w:val="none" w:sz="0" w:space="0" w:color="auto"/>
        <w:left w:val="none" w:sz="0" w:space="0" w:color="auto"/>
        <w:bottom w:val="none" w:sz="0" w:space="0" w:color="auto"/>
        <w:right w:val="none" w:sz="0" w:space="0" w:color="auto"/>
      </w:divBdr>
    </w:div>
    <w:div w:id="2017264176">
      <w:bodyDiv w:val="1"/>
      <w:marLeft w:val="0"/>
      <w:marRight w:val="0"/>
      <w:marTop w:val="0"/>
      <w:marBottom w:val="0"/>
      <w:divBdr>
        <w:top w:val="none" w:sz="0" w:space="0" w:color="auto"/>
        <w:left w:val="none" w:sz="0" w:space="0" w:color="auto"/>
        <w:bottom w:val="none" w:sz="0" w:space="0" w:color="auto"/>
        <w:right w:val="none" w:sz="0" w:space="0" w:color="auto"/>
      </w:divBdr>
    </w:div>
    <w:div w:id="2018000304">
      <w:bodyDiv w:val="1"/>
      <w:marLeft w:val="0"/>
      <w:marRight w:val="0"/>
      <w:marTop w:val="0"/>
      <w:marBottom w:val="0"/>
      <w:divBdr>
        <w:top w:val="none" w:sz="0" w:space="0" w:color="auto"/>
        <w:left w:val="none" w:sz="0" w:space="0" w:color="auto"/>
        <w:bottom w:val="none" w:sz="0" w:space="0" w:color="auto"/>
        <w:right w:val="none" w:sz="0" w:space="0" w:color="auto"/>
      </w:divBdr>
    </w:div>
    <w:div w:id="2018650754">
      <w:bodyDiv w:val="1"/>
      <w:marLeft w:val="0"/>
      <w:marRight w:val="0"/>
      <w:marTop w:val="0"/>
      <w:marBottom w:val="0"/>
      <w:divBdr>
        <w:top w:val="none" w:sz="0" w:space="0" w:color="auto"/>
        <w:left w:val="none" w:sz="0" w:space="0" w:color="auto"/>
        <w:bottom w:val="none" w:sz="0" w:space="0" w:color="auto"/>
        <w:right w:val="none" w:sz="0" w:space="0" w:color="auto"/>
      </w:divBdr>
    </w:div>
    <w:div w:id="2018774840">
      <w:bodyDiv w:val="1"/>
      <w:marLeft w:val="0"/>
      <w:marRight w:val="0"/>
      <w:marTop w:val="0"/>
      <w:marBottom w:val="0"/>
      <w:divBdr>
        <w:top w:val="none" w:sz="0" w:space="0" w:color="auto"/>
        <w:left w:val="none" w:sz="0" w:space="0" w:color="auto"/>
        <w:bottom w:val="none" w:sz="0" w:space="0" w:color="auto"/>
        <w:right w:val="none" w:sz="0" w:space="0" w:color="auto"/>
      </w:divBdr>
    </w:div>
    <w:div w:id="2019307334">
      <w:bodyDiv w:val="1"/>
      <w:marLeft w:val="0"/>
      <w:marRight w:val="0"/>
      <w:marTop w:val="0"/>
      <w:marBottom w:val="0"/>
      <w:divBdr>
        <w:top w:val="none" w:sz="0" w:space="0" w:color="auto"/>
        <w:left w:val="none" w:sz="0" w:space="0" w:color="auto"/>
        <w:bottom w:val="none" w:sz="0" w:space="0" w:color="auto"/>
        <w:right w:val="none" w:sz="0" w:space="0" w:color="auto"/>
      </w:divBdr>
    </w:div>
    <w:div w:id="2019844253">
      <w:bodyDiv w:val="1"/>
      <w:marLeft w:val="0"/>
      <w:marRight w:val="0"/>
      <w:marTop w:val="0"/>
      <w:marBottom w:val="0"/>
      <w:divBdr>
        <w:top w:val="none" w:sz="0" w:space="0" w:color="auto"/>
        <w:left w:val="none" w:sz="0" w:space="0" w:color="auto"/>
        <w:bottom w:val="none" w:sz="0" w:space="0" w:color="auto"/>
        <w:right w:val="none" w:sz="0" w:space="0" w:color="auto"/>
      </w:divBdr>
    </w:div>
    <w:div w:id="2020503828">
      <w:bodyDiv w:val="1"/>
      <w:marLeft w:val="0"/>
      <w:marRight w:val="0"/>
      <w:marTop w:val="0"/>
      <w:marBottom w:val="0"/>
      <w:divBdr>
        <w:top w:val="none" w:sz="0" w:space="0" w:color="auto"/>
        <w:left w:val="none" w:sz="0" w:space="0" w:color="auto"/>
        <w:bottom w:val="none" w:sz="0" w:space="0" w:color="auto"/>
        <w:right w:val="none" w:sz="0" w:space="0" w:color="auto"/>
      </w:divBdr>
    </w:div>
    <w:div w:id="2020696051">
      <w:bodyDiv w:val="1"/>
      <w:marLeft w:val="0"/>
      <w:marRight w:val="0"/>
      <w:marTop w:val="0"/>
      <w:marBottom w:val="0"/>
      <w:divBdr>
        <w:top w:val="none" w:sz="0" w:space="0" w:color="auto"/>
        <w:left w:val="none" w:sz="0" w:space="0" w:color="auto"/>
        <w:bottom w:val="none" w:sz="0" w:space="0" w:color="auto"/>
        <w:right w:val="none" w:sz="0" w:space="0" w:color="auto"/>
      </w:divBdr>
    </w:div>
    <w:div w:id="2020764872">
      <w:bodyDiv w:val="1"/>
      <w:marLeft w:val="0"/>
      <w:marRight w:val="0"/>
      <w:marTop w:val="0"/>
      <w:marBottom w:val="0"/>
      <w:divBdr>
        <w:top w:val="none" w:sz="0" w:space="0" w:color="auto"/>
        <w:left w:val="none" w:sz="0" w:space="0" w:color="auto"/>
        <w:bottom w:val="none" w:sz="0" w:space="0" w:color="auto"/>
        <w:right w:val="none" w:sz="0" w:space="0" w:color="auto"/>
      </w:divBdr>
    </w:div>
    <w:div w:id="2021882755">
      <w:bodyDiv w:val="1"/>
      <w:marLeft w:val="0"/>
      <w:marRight w:val="0"/>
      <w:marTop w:val="0"/>
      <w:marBottom w:val="0"/>
      <w:divBdr>
        <w:top w:val="none" w:sz="0" w:space="0" w:color="auto"/>
        <w:left w:val="none" w:sz="0" w:space="0" w:color="auto"/>
        <w:bottom w:val="none" w:sz="0" w:space="0" w:color="auto"/>
        <w:right w:val="none" w:sz="0" w:space="0" w:color="auto"/>
      </w:divBdr>
    </w:div>
    <w:div w:id="2022193585">
      <w:bodyDiv w:val="1"/>
      <w:marLeft w:val="0"/>
      <w:marRight w:val="0"/>
      <w:marTop w:val="0"/>
      <w:marBottom w:val="0"/>
      <w:divBdr>
        <w:top w:val="none" w:sz="0" w:space="0" w:color="auto"/>
        <w:left w:val="none" w:sz="0" w:space="0" w:color="auto"/>
        <w:bottom w:val="none" w:sz="0" w:space="0" w:color="auto"/>
        <w:right w:val="none" w:sz="0" w:space="0" w:color="auto"/>
      </w:divBdr>
    </w:div>
    <w:div w:id="2025012365">
      <w:bodyDiv w:val="1"/>
      <w:marLeft w:val="0"/>
      <w:marRight w:val="0"/>
      <w:marTop w:val="0"/>
      <w:marBottom w:val="0"/>
      <w:divBdr>
        <w:top w:val="none" w:sz="0" w:space="0" w:color="auto"/>
        <w:left w:val="none" w:sz="0" w:space="0" w:color="auto"/>
        <w:bottom w:val="none" w:sz="0" w:space="0" w:color="auto"/>
        <w:right w:val="none" w:sz="0" w:space="0" w:color="auto"/>
      </w:divBdr>
    </w:div>
    <w:div w:id="2025401419">
      <w:bodyDiv w:val="1"/>
      <w:marLeft w:val="0"/>
      <w:marRight w:val="0"/>
      <w:marTop w:val="0"/>
      <w:marBottom w:val="0"/>
      <w:divBdr>
        <w:top w:val="none" w:sz="0" w:space="0" w:color="auto"/>
        <w:left w:val="none" w:sz="0" w:space="0" w:color="auto"/>
        <w:bottom w:val="none" w:sz="0" w:space="0" w:color="auto"/>
        <w:right w:val="none" w:sz="0" w:space="0" w:color="auto"/>
      </w:divBdr>
    </w:div>
    <w:div w:id="2025473942">
      <w:bodyDiv w:val="1"/>
      <w:marLeft w:val="0"/>
      <w:marRight w:val="0"/>
      <w:marTop w:val="0"/>
      <w:marBottom w:val="0"/>
      <w:divBdr>
        <w:top w:val="none" w:sz="0" w:space="0" w:color="auto"/>
        <w:left w:val="none" w:sz="0" w:space="0" w:color="auto"/>
        <w:bottom w:val="none" w:sz="0" w:space="0" w:color="auto"/>
        <w:right w:val="none" w:sz="0" w:space="0" w:color="auto"/>
      </w:divBdr>
    </w:div>
    <w:div w:id="2027292432">
      <w:bodyDiv w:val="1"/>
      <w:marLeft w:val="0"/>
      <w:marRight w:val="0"/>
      <w:marTop w:val="0"/>
      <w:marBottom w:val="0"/>
      <w:divBdr>
        <w:top w:val="none" w:sz="0" w:space="0" w:color="auto"/>
        <w:left w:val="none" w:sz="0" w:space="0" w:color="auto"/>
        <w:bottom w:val="none" w:sz="0" w:space="0" w:color="auto"/>
        <w:right w:val="none" w:sz="0" w:space="0" w:color="auto"/>
      </w:divBdr>
    </w:div>
    <w:div w:id="2027634356">
      <w:bodyDiv w:val="1"/>
      <w:marLeft w:val="0"/>
      <w:marRight w:val="0"/>
      <w:marTop w:val="0"/>
      <w:marBottom w:val="0"/>
      <w:divBdr>
        <w:top w:val="none" w:sz="0" w:space="0" w:color="auto"/>
        <w:left w:val="none" w:sz="0" w:space="0" w:color="auto"/>
        <w:bottom w:val="none" w:sz="0" w:space="0" w:color="auto"/>
        <w:right w:val="none" w:sz="0" w:space="0" w:color="auto"/>
      </w:divBdr>
    </w:div>
    <w:div w:id="2028091919">
      <w:bodyDiv w:val="1"/>
      <w:marLeft w:val="0"/>
      <w:marRight w:val="0"/>
      <w:marTop w:val="0"/>
      <w:marBottom w:val="0"/>
      <w:divBdr>
        <w:top w:val="none" w:sz="0" w:space="0" w:color="auto"/>
        <w:left w:val="none" w:sz="0" w:space="0" w:color="auto"/>
        <w:bottom w:val="none" w:sz="0" w:space="0" w:color="auto"/>
        <w:right w:val="none" w:sz="0" w:space="0" w:color="auto"/>
      </w:divBdr>
    </w:div>
    <w:div w:id="2028555355">
      <w:bodyDiv w:val="1"/>
      <w:marLeft w:val="0"/>
      <w:marRight w:val="0"/>
      <w:marTop w:val="0"/>
      <w:marBottom w:val="0"/>
      <w:divBdr>
        <w:top w:val="none" w:sz="0" w:space="0" w:color="auto"/>
        <w:left w:val="none" w:sz="0" w:space="0" w:color="auto"/>
        <w:bottom w:val="none" w:sz="0" w:space="0" w:color="auto"/>
        <w:right w:val="none" w:sz="0" w:space="0" w:color="auto"/>
      </w:divBdr>
    </w:div>
    <w:div w:id="2029866699">
      <w:bodyDiv w:val="1"/>
      <w:marLeft w:val="0"/>
      <w:marRight w:val="0"/>
      <w:marTop w:val="0"/>
      <w:marBottom w:val="0"/>
      <w:divBdr>
        <w:top w:val="none" w:sz="0" w:space="0" w:color="auto"/>
        <w:left w:val="none" w:sz="0" w:space="0" w:color="auto"/>
        <w:bottom w:val="none" w:sz="0" w:space="0" w:color="auto"/>
        <w:right w:val="none" w:sz="0" w:space="0" w:color="auto"/>
      </w:divBdr>
    </w:div>
    <w:div w:id="2030063860">
      <w:bodyDiv w:val="1"/>
      <w:marLeft w:val="0"/>
      <w:marRight w:val="0"/>
      <w:marTop w:val="0"/>
      <w:marBottom w:val="0"/>
      <w:divBdr>
        <w:top w:val="none" w:sz="0" w:space="0" w:color="auto"/>
        <w:left w:val="none" w:sz="0" w:space="0" w:color="auto"/>
        <w:bottom w:val="none" w:sz="0" w:space="0" w:color="auto"/>
        <w:right w:val="none" w:sz="0" w:space="0" w:color="auto"/>
      </w:divBdr>
    </w:div>
    <w:div w:id="2030987500">
      <w:bodyDiv w:val="1"/>
      <w:marLeft w:val="0"/>
      <w:marRight w:val="0"/>
      <w:marTop w:val="0"/>
      <w:marBottom w:val="0"/>
      <w:divBdr>
        <w:top w:val="none" w:sz="0" w:space="0" w:color="auto"/>
        <w:left w:val="none" w:sz="0" w:space="0" w:color="auto"/>
        <w:bottom w:val="none" w:sz="0" w:space="0" w:color="auto"/>
        <w:right w:val="none" w:sz="0" w:space="0" w:color="auto"/>
      </w:divBdr>
    </w:div>
    <w:div w:id="2032098138">
      <w:bodyDiv w:val="1"/>
      <w:marLeft w:val="0"/>
      <w:marRight w:val="0"/>
      <w:marTop w:val="0"/>
      <w:marBottom w:val="0"/>
      <w:divBdr>
        <w:top w:val="none" w:sz="0" w:space="0" w:color="auto"/>
        <w:left w:val="none" w:sz="0" w:space="0" w:color="auto"/>
        <w:bottom w:val="none" w:sz="0" w:space="0" w:color="auto"/>
        <w:right w:val="none" w:sz="0" w:space="0" w:color="auto"/>
      </w:divBdr>
    </w:div>
    <w:div w:id="2033416740">
      <w:bodyDiv w:val="1"/>
      <w:marLeft w:val="0"/>
      <w:marRight w:val="0"/>
      <w:marTop w:val="0"/>
      <w:marBottom w:val="0"/>
      <w:divBdr>
        <w:top w:val="none" w:sz="0" w:space="0" w:color="auto"/>
        <w:left w:val="none" w:sz="0" w:space="0" w:color="auto"/>
        <w:bottom w:val="none" w:sz="0" w:space="0" w:color="auto"/>
        <w:right w:val="none" w:sz="0" w:space="0" w:color="auto"/>
      </w:divBdr>
    </w:div>
    <w:div w:id="2033721592">
      <w:bodyDiv w:val="1"/>
      <w:marLeft w:val="0"/>
      <w:marRight w:val="0"/>
      <w:marTop w:val="0"/>
      <w:marBottom w:val="0"/>
      <w:divBdr>
        <w:top w:val="none" w:sz="0" w:space="0" w:color="auto"/>
        <w:left w:val="none" w:sz="0" w:space="0" w:color="auto"/>
        <w:bottom w:val="none" w:sz="0" w:space="0" w:color="auto"/>
        <w:right w:val="none" w:sz="0" w:space="0" w:color="auto"/>
      </w:divBdr>
    </w:div>
    <w:div w:id="2034499863">
      <w:bodyDiv w:val="1"/>
      <w:marLeft w:val="0"/>
      <w:marRight w:val="0"/>
      <w:marTop w:val="0"/>
      <w:marBottom w:val="0"/>
      <w:divBdr>
        <w:top w:val="none" w:sz="0" w:space="0" w:color="auto"/>
        <w:left w:val="none" w:sz="0" w:space="0" w:color="auto"/>
        <w:bottom w:val="none" w:sz="0" w:space="0" w:color="auto"/>
        <w:right w:val="none" w:sz="0" w:space="0" w:color="auto"/>
      </w:divBdr>
    </w:div>
    <w:div w:id="2034574085">
      <w:bodyDiv w:val="1"/>
      <w:marLeft w:val="0"/>
      <w:marRight w:val="0"/>
      <w:marTop w:val="0"/>
      <w:marBottom w:val="0"/>
      <w:divBdr>
        <w:top w:val="none" w:sz="0" w:space="0" w:color="auto"/>
        <w:left w:val="none" w:sz="0" w:space="0" w:color="auto"/>
        <w:bottom w:val="none" w:sz="0" w:space="0" w:color="auto"/>
        <w:right w:val="none" w:sz="0" w:space="0" w:color="auto"/>
      </w:divBdr>
    </w:div>
    <w:div w:id="2034723740">
      <w:bodyDiv w:val="1"/>
      <w:marLeft w:val="0"/>
      <w:marRight w:val="0"/>
      <w:marTop w:val="0"/>
      <w:marBottom w:val="0"/>
      <w:divBdr>
        <w:top w:val="none" w:sz="0" w:space="0" w:color="auto"/>
        <w:left w:val="none" w:sz="0" w:space="0" w:color="auto"/>
        <w:bottom w:val="none" w:sz="0" w:space="0" w:color="auto"/>
        <w:right w:val="none" w:sz="0" w:space="0" w:color="auto"/>
      </w:divBdr>
    </w:div>
    <w:div w:id="2035182078">
      <w:bodyDiv w:val="1"/>
      <w:marLeft w:val="0"/>
      <w:marRight w:val="0"/>
      <w:marTop w:val="0"/>
      <w:marBottom w:val="0"/>
      <w:divBdr>
        <w:top w:val="none" w:sz="0" w:space="0" w:color="auto"/>
        <w:left w:val="none" w:sz="0" w:space="0" w:color="auto"/>
        <w:bottom w:val="none" w:sz="0" w:space="0" w:color="auto"/>
        <w:right w:val="none" w:sz="0" w:space="0" w:color="auto"/>
      </w:divBdr>
    </w:div>
    <w:div w:id="2035307343">
      <w:bodyDiv w:val="1"/>
      <w:marLeft w:val="0"/>
      <w:marRight w:val="0"/>
      <w:marTop w:val="0"/>
      <w:marBottom w:val="0"/>
      <w:divBdr>
        <w:top w:val="none" w:sz="0" w:space="0" w:color="auto"/>
        <w:left w:val="none" w:sz="0" w:space="0" w:color="auto"/>
        <w:bottom w:val="none" w:sz="0" w:space="0" w:color="auto"/>
        <w:right w:val="none" w:sz="0" w:space="0" w:color="auto"/>
      </w:divBdr>
    </w:div>
    <w:div w:id="2035692106">
      <w:bodyDiv w:val="1"/>
      <w:marLeft w:val="0"/>
      <w:marRight w:val="0"/>
      <w:marTop w:val="0"/>
      <w:marBottom w:val="0"/>
      <w:divBdr>
        <w:top w:val="none" w:sz="0" w:space="0" w:color="auto"/>
        <w:left w:val="none" w:sz="0" w:space="0" w:color="auto"/>
        <w:bottom w:val="none" w:sz="0" w:space="0" w:color="auto"/>
        <w:right w:val="none" w:sz="0" w:space="0" w:color="auto"/>
      </w:divBdr>
    </w:div>
    <w:div w:id="2035765609">
      <w:bodyDiv w:val="1"/>
      <w:marLeft w:val="0"/>
      <w:marRight w:val="0"/>
      <w:marTop w:val="0"/>
      <w:marBottom w:val="0"/>
      <w:divBdr>
        <w:top w:val="none" w:sz="0" w:space="0" w:color="auto"/>
        <w:left w:val="none" w:sz="0" w:space="0" w:color="auto"/>
        <w:bottom w:val="none" w:sz="0" w:space="0" w:color="auto"/>
        <w:right w:val="none" w:sz="0" w:space="0" w:color="auto"/>
      </w:divBdr>
    </w:div>
    <w:div w:id="2036686354">
      <w:bodyDiv w:val="1"/>
      <w:marLeft w:val="0"/>
      <w:marRight w:val="0"/>
      <w:marTop w:val="0"/>
      <w:marBottom w:val="0"/>
      <w:divBdr>
        <w:top w:val="none" w:sz="0" w:space="0" w:color="auto"/>
        <w:left w:val="none" w:sz="0" w:space="0" w:color="auto"/>
        <w:bottom w:val="none" w:sz="0" w:space="0" w:color="auto"/>
        <w:right w:val="none" w:sz="0" w:space="0" w:color="auto"/>
      </w:divBdr>
    </w:div>
    <w:div w:id="2038041525">
      <w:bodyDiv w:val="1"/>
      <w:marLeft w:val="0"/>
      <w:marRight w:val="0"/>
      <w:marTop w:val="0"/>
      <w:marBottom w:val="0"/>
      <w:divBdr>
        <w:top w:val="none" w:sz="0" w:space="0" w:color="auto"/>
        <w:left w:val="none" w:sz="0" w:space="0" w:color="auto"/>
        <w:bottom w:val="none" w:sz="0" w:space="0" w:color="auto"/>
        <w:right w:val="none" w:sz="0" w:space="0" w:color="auto"/>
      </w:divBdr>
    </w:div>
    <w:div w:id="2038044078">
      <w:bodyDiv w:val="1"/>
      <w:marLeft w:val="0"/>
      <w:marRight w:val="0"/>
      <w:marTop w:val="0"/>
      <w:marBottom w:val="0"/>
      <w:divBdr>
        <w:top w:val="none" w:sz="0" w:space="0" w:color="auto"/>
        <w:left w:val="none" w:sz="0" w:space="0" w:color="auto"/>
        <w:bottom w:val="none" w:sz="0" w:space="0" w:color="auto"/>
        <w:right w:val="none" w:sz="0" w:space="0" w:color="auto"/>
      </w:divBdr>
    </w:div>
    <w:div w:id="2038849902">
      <w:bodyDiv w:val="1"/>
      <w:marLeft w:val="0"/>
      <w:marRight w:val="0"/>
      <w:marTop w:val="0"/>
      <w:marBottom w:val="0"/>
      <w:divBdr>
        <w:top w:val="none" w:sz="0" w:space="0" w:color="auto"/>
        <w:left w:val="none" w:sz="0" w:space="0" w:color="auto"/>
        <w:bottom w:val="none" w:sz="0" w:space="0" w:color="auto"/>
        <w:right w:val="none" w:sz="0" w:space="0" w:color="auto"/>
      </w:divBdr>
    </w:div>
    <w:div w:id="2039087265">
      <w:bodyDiv w:val="1"/>
      <w:marLeft w:val="0"/>
      <w:marRight w:val="0"/>
      <w:marTop w:val="0"/>
      <w:marBottom w:val="0"/>
      <w:divBdr>
        <w:top w:val="none" w:sz="0" w:space="0" w:color="auto"/>
        <w:left w:val="none" w:sz="0" w:space="0" w:color="auto"/>
        <w:bottom w:val="none" w:sz="0" w:space="0" w:color="auto"/>
        <w:right w:val="none" w:sz="0" w:space="0" w:color="auto"/>
      </w:divBdr>
    </w:div>
    <w:div w:id="2042243571">
      <w:bodyDiv w:val="1"/>
      <w:marLeft w:val="0"/>
      <w:marRight w:val="0"/>
      <w:marTop w:val="0"/>
      <w:marBottom w:val="0"/>
      <w:divBdr>
        <w:top w:val="none" w:sz="0" w:space="0" w:color="auto"/>
        <w:left w:val="none" w:sz="0" w:space="0" w:color="auto"/>
        <w:bottom w:val="none" w:sz="0" w:space="0" w:color="auto"/>
        <w:right w:val="none" w:sz="0" w:space="0" w:color="auto"/>
      </w:divBdr>
    </w:div>
    <w:div w:id="2042433674">
      <w:bodyDiv w:val="1"/>
      <w:marLeft w:val="0"/>
      <w:marRight w:val="0"/>
      <w:marTop w:val="0"/>
      <w:marBottom w:val="0"/>
      <w:divBdr>
        <w:top w:val="none" w:sz="0" w:space="0" w:color="auto"/>
        <w:left w:val="none" w:sz="0" w:space="0" w:color="auto"/>
        <w:bottom w:val="none" w:sz="0" w:space="0" w:color="auto"/>
        <w:right w:val="none" w:sz="0" w:space="0" w:color="auto"/>
      </w:divBdr>
    </w:div>
    <w:div w:id="2045057979">
      <w:bodyDiv w:val="1"/>
      <w:marLeft w:val="0"/>
      <w:marRight w:val="0"/>
      <w:marTop w:val="0"/>
      <w:marBottom w:val="0"/>
      <w:divBdr>
        <w:top w:val="none" w:sz="0" w:space="0" w:color="auto"/>
        <w:left w:val="none" w:sz="0" w:space="0" w:color="auto"/>
        <w:bottom w:val="none" w:sz="0" w:space="0" w:color="auto"/>
        <w:right w:val="none" w:sz="0" w:space="0" w:color="auto"/>
      </w:divBdr>
    </w:div>
    <w:div w:id="2045522377">
      <w:bodyDiv w:val="1"/>
      <w:marLeft w:val="0"/>
      <w:marRight w:val="0"/>
      <w:marTop w:val="0"/>
      <w:marBottom w:val="0"/>
      <w:divBdr>
        <w:top w:val="none" w:sz="0" w:space="0" w:color="auto"/>
        <w:left w:val="none" w:sz="0" w:space="0" w:color="auto"/>
        <w:bottom w:val="none" w:sz="0" w:space="0" w:color="auto"/>
        <w:right w:val="none" w:sz="0" w:space="0" w:color="auto"/>
      </w:divBdr>
    </w:div>
    <w:div w:id="2045983967">
      <w:bodyDiv w:val="1"/>
      <w:marLeft w:val="0"/>
      <w:marRight w:val="0"/>
      <w:marTop w:val="0"/>
      <w:marBottom w:val="0"/>
      <w:divBdr>
        <w:top w:val="none" w:sz="0" w:space="0" w:color="auto"/>
        <w:left w:val="none" w:sz="0" w:space="0" w:color="auto"/>
        <w:bottom w:val="none" w:sz="0" w:space="0" w:color="auto"/>
        <w:right w:val="none" w:sz="0" w:space="0" w:color="auto"/>
      </w:divBdr>
    </w:div>
    <w:div w:id="2046253936">
      <w:bodyDiv w:val="1"/>
      <w:marLeft w:val="0"/>
      <w:marRight w:val="0"/>
      <w:marTop w:val="0"/>
      <w:marBottom w:val="0"/>
      <w:divBdr>
        <w:top w:val="none" w:sz="0" w:space="0" w:color="auto"/>
        <w:left w:val="none" w:sz="0" w:space="0" w:color="auto"/>
        <w:bottom w:val="none" w:sz="0" w:space="0" w:color="auto"/>
        <w:right w:val="none" w:sz="0" w:space="0" w:color="auto"/>
      </w:divBdr>
    </w:div>
    <w:div w:id="2046909336">
      <w:bodyDiv w:val="1"/>
      <w:marLeft w:val="0"/>
      <w:marRight w:val="0"/>
      <w:marTop w:val="0"/>
      <w:marBottom w:val="0"/>
      <w:divBdr>
        <w:top w:val="none" w:sz="0" w:space="0" w:color="auto"/>
        <w:left w:val="none" w:sz="0" w:space="0" w:color="auto"/>
        <w:bottom w:val="none" w:sz="0" w:space="0" w:color="auto"/>
        <w:right w:val="none" w:sz="0" w:space="0" w:color="auto"/>
      </w:divBdr>
    </w:div>
    <w:div w:id="2046983789">
      <w:bodyDiv w:val="1"/>
      <w:marLeft w:val="0"/>
      <w:marRight w:val="0"/>
      <w:marTop w:val="0"/>
      <w:marBottom w:val="0"/>
      <w:divBdr>
        <w:top w:val="none" w:sz="0" w:space="0" w:color="auto"/>
        <w:left w:val="none" w:sz="0" w:space="0" w:color="auto"/>
        <w:bottom w:val="none" w:sz="0" w:space="0" w:color="auto"/>
        <w:right w:val="none" w:sz="0" w:space="0" w:color="auto"/>
      </w:divBdr>
    </w:div>
    <w:div w:id="2048488111">
      <w:bodyDiv w:val="1"/>
      <w:marLeft w:val="0"/>
      <w:marRight w:val="0"/>
      <w:marTop w:val="0"/>
      <w:marBottom w:val="0"/>
      <w:divBdr>
        <w:top w:val="none" w:sz="0" w:space="0" w:color="auto"/>
        <w:left w:val="none" w:sz="0" w:space="0" w:color="auto"/>
        <w:bottom w:val="none" w:sz="0" w:space="0" w:color="auto"/>
        <w:right w:val="none" w:sz="0" w:space="0" w:color="auto"/>
      </w:divBdr>
    </w:div>
    <w:div w:id="2048680152">
      <w:bodyDiv w:val="1"/>
      <w:marLeft w:val="0"/>
      <w:marRight w:val="0"/>
      <w:marTop w:val="0"/>
      <w:marBottom w:val="0"/>
      <w:divBdr>
        <w:top w:val="none" w:sz="0" w:space="0" w:color="auto"/>
        <w:left w:val="none" w:sz="0" w:space="0" w:color="auto"/>
        <w:bottom w:val="none" w:sz="0" w:space="0" w:color="auto"/>
        <w:right w:val="none" w:sz="0" w:space="0" w:color="auto"/>
      </w:divBdr>
    </w:div>
    <w:div w:id="2049986774">
      <w:bodyDiv w:val="1"/>
      <w:marLeft w:val="0"/>
      <w:marRight w:val="0"/>
      <w:marTop w:val="0"/>
      <w:marBottom w:val="0"/>
      <w:divBdr>
        <w:top w:val="none" w:sz="0" w:space="0" w:color="auto"/>
        <w:left w:val="none" w:sz="0" w:space="0" w:color="auto"/>
        <w:bottom w:val="none" w:sz="0" w:space="0" w:color="auto"/>
        <w:right w:val="none" w:sz="0" w:space="0" w:color="auto"/>
      </w:divBdr>
    </w:div>
    <w:div w:id="2050185191">
      <w:bodyDiv w:val="1"/>
      <w:marLeft w:val="0"/>
      <w:marRight w:val="0"/>
      <w:marTop w:val="0"/>
      <w:marBottom w:val="0"/>
      <w:divBdr>
        <w:top w:val="none" w:sz="0" w:space="0" w:color="auto"/>
        <w:left w:val="none" w:sz="0" w:space="0" w:color="auto"/>
        <w:bottom w:val="none" w:sz="0" w:space="0" w:color="auto"/>
        <w:right w:val="none" w:sz="0" w:space="0" w:color="auto"/>
      </w:divBdr>
    </w:div>
    <w:div w:id="2050445777">
      <w:bodyDiv w:val="1"/>
      <w:marLeft w:val="0"/>
      <w:marRight w:val="0"/>
      <w:marTop w:val="0"/>
      <w:marBottom w:val="0"/>
      <w:divBdr>
        <w:top w:val="none" w:sz="0" w:space="0" w:color="auto"/>
        <w:left w:val="none" w:sz="0" w:space="0" w:color="auto"/>
        <w:bottom w:val="none" w:sz="0" w:space="0" w:color="auto"/>
        <w:right w:val="none" w:sz="0" w:space="0" w:color="auto"/>
      </w:divBdr>
    </w:div>
    <w:div w:id="2051416836">
      <w:bodyDiv w:val="1"/>
      <w:marLeft w:val="0"/>
      <w:marRight w:val="0"/>
      <w:marTop w:val="0"/>
      <w:marBottom w:val="0"/>
      <w:divBdr>
        <w:top w:val="none" w:sz="0" w:space="0" w:color="auto"/>
        <w:left w:val="none" w:sz="0" w:space="0" w:color="auto"/>
        <w:bottom w:val="none" w:sz="0" w:space="0" w:color="auto"/>
        <w:right w:val="none" w:sz="0" w:space="0" w:color="auto"/>
      </w:divBdr>
    </w:div>
    <w:div w:id="2051565598">
      <w:bodyDiv w:val="1"/>
      <w:marLeft w:val="0"/>
      <w:marRight w:val="0"/>
      <w:marTop w:val="0"/>
      <w:marBottom w:val="0"/>
      <w:divBdr>
        <w:top w:val="none" w:sz="0" w:space="0" w:color="auto"/>
        <w:left w:val="none" w:sz="0" w:space="0" w:color="auto"/>
        <w:bottom w:val="none" w:sz="0" w:space="0" w:color="auto"/>
        <w:right w:val="none" w:sz="0" w:space="0" w:color="auto"/>
      </w:divBdr>
    </w:div>
    <w:div w:id="2051565644">
      <w:bodyDiv w:val="1"/>
      <w:marLeft w:val="0"/>
      <w:marRight w:val="0"/>
      <w:marTop w:val="0"/>
      <w:marBottom w:val="0"/>
      <w:divBdr>
        <w:top w:val="none" w:sz="0" w:space="0" w:color="auto"/>
        <w:left w:val="none" w:sz="0" w:space="0" w:color="auto"/>
        <w:bottom w:val="none" w:sz="0" w:space="0" w:color="auto"/>
        <w:right w:val="none" w:sz="0" w:space="0" w:color="auto"/>
      </w:divBdr>
    </w:div>
    <w:div w:id="2052219984">
      <w:bodyDiv w:val="1"/>
      <w:marLeft w:val="0"/>
      <w:marRight w:val="0"/>
      <w:marTop w:val="0"/>
      <w:marBottom w:val="0"/>
      <w:divBdr>
        <w:top w:val="none" w:sz="0" w:space="0" w:color="auto"/>
        <w:left w:val="none" w:sz="0" w:space="0" w:color="auto"/>
        <w:bottom w:val="none" w:sz="0" w:space="0" w:color="auto"/>
        <w:right w:val="none" w:sz="0" w:space="0" w:color="auto"/>
      </w:divBdr>
    </w:div>
    <w:div w:id="2053264772">
      <w:bodyDiv w:val="1"/>
      <w:marLeft w:val="0"/>
      <w:marRight w:val="0"/>
      <w:marTop w:val="0"/>
      <w:marBottom w:val="0"/>
      <w:divBdr>
        <w:top w:val="none" w:sz="0" w:space="0" w:color="auto"/>
        <w:left w:val="none" w:sz="0" w:space="0" w:color="auto"/>
        <w:bottom w:val="none" w:sz="0" w:space="0" w:color="auto"/>
        <w:right w:val="none" w:sz="0" w:space="0" w:color="auto"/>
      </w:divBdr>
    </w:div>
    <w:div w:id="2053454908">
      <w:bodyDiv w:val="1"/>
      <w:marLeft w:val="0"/>
      <w:marRight w:val="0"/>
      <w:marTop w:val="0"/>
      <w:marBottom w:val="0"/>
      <w:divBdr>
        <w:top w:val="none" w:sz="0" w:space="0" w:color="auto"/>
        <w:left w:val="none" w:sz="0" w:space="0" w:color="auto"/>
        <w:bottom w:val="none" w:sz="0" w:space="0" w:color="auto"/>
        <w:right w:val="none" w:sz="0" w:space="0" w:color="auto"/>
      </w:divBdr>
    </w:div>
    <w:div w:id="2053924491">
      <w:bodyDiv w:val="1"/>
      <w:marLeft w:val="0"/>
      <w:marRight w:val="0"/>
      <w:marTop w:val="0"/>
      <w:marBottom w:val="0"/>
      <w:divBdr>
        <w:top w:val="none" w:sz="0" w:space="0" w:color="auto"/>
        <w:left w:val="none" w:sz="0" w:space="0" w:color="auto"/>
        <w:bottom w:val="none" w:sz="0" w:space="0" w:color="auto"/>
        <w:right w:val="none" w:sz="0" w:space="0" w:color="auto"/>
      </w:divBdr>
    </w:div>
    <w:div w:id="2054498865">
      <w:bodyDiv w:val="1"/>
      <w:marLeft w:val="0"/>
      <w:marRight w:val="0"/>
      <w:marTop w:val="0"/>
      <w:marBottom w:val="0"/>
      <w:divBdr>
        <w:top w:val="none" w:sz="0" w:space="0" w:color="auto"/>
        <w:left w:val="none" w:sz="0" w:space="0" w:color="auto"/>
        <w:bottom w:val="none" w:sz="0" w:space="0" w:color="auto"/>
        <w:right w:val="none" w:sz="0" w:space="0" w:color="auto"/>
      </w:divBdr>
    </w:div>
    <w:div w:id="2054769371">
      <w:bodyDiv w:val="1"/>
      <w:marLeft w:val="0"/>
      <w:marRight w:val="0"/>
      <w:marTop w:val="0"/>
      <w:marBottom w:val="0"/>
      <w:divBdr>
        <w:top w:val="none" w:sz="0" w:space="0" w:color="auto"/>
        <w:left w:val="none" w:sz="0" w:space="0" w:color="auto"/>
        <w:bottom w:val="none" w:sz="0" w:space="0" w:color="auto"/>
        <w:right w:val="none" w:sz="0" w:space="0" w:color="auto"/>
      </w:divBdr>
    </w:div>
    <w:div w:id="2054841115">
      <w:bodyDiv w:val="1"/>
      <w:marLeft w:val="0"/>
      <w:marRight w:val="0"/>
      <w:marTop w:val="0"/>
      <w:marBottom w:val="0"/>
      <w:divBdr>
        <w:top w:val="none" w:sz="0" w:space="0" w:color="auto"/>
        <w:left w:val="none" w:sz="0" w:space="0" w:color="auto"/>
        <w:bottom w:val="none" w:sz="0" w:space="0" w:color="auto"/>
        <w:right w:val="none" w:sz="0" w:space="0" w:color="auto"/>
      </w:divBdr>
    </w:div>
    <w:div w:id="2055352007">
      <w:bodyDiv w:val="1"/>
      <w:marLeft w:val="0"/>
      <w:marRight w:val="0"/>
      <w:marTop w:val="0"/>
      <w:marBottom w:val="0"/>
      <w:divBdr>
        <w:top w:val="none" w:sz="0" w:space="0" w:color="auto"/>
        <w:left w:val="none" w:sz="0" w:space="0" w:color="auto"/>
        <w:bottom w:val="none" w:sz="0" w:space="0" w:color="auto"/>
        <w:right w:val="none" w:sz="0" w:space="0" w:color="auto"/>
      </w:divBdr>
    </w:div>
    <w:div w:id="2056192082">
      <w:bodyDiv w:val="1"/>
      <w:marLeft w:val="0"/>
      <w:marRight w:val="0"/>
      <w:marTop w:val="0"/>
      <w:marBottom w:val="0"/>
      <w:divBdr>
        <w:top w:val="none" w:sz="0" w:space="0" w:color="auto"/>
        <w:left w:val="none" w:sz="0" w:space="0" w:color="auto"/>
        <w:bottom w:val="none" w:sz="0" w:space="0" w:color="auto"/>
        <w:right w:val="none" w:sz="0" w:space="0" w:color="auto"/>
      </w:divBdr>
    </w:div>
    <w:div w:id="2057044729">
      <w:bodyDiv w:val="1"/>
      <w:marLeft w:val="0"/>
      <w:marRight w:val="0"/>
      <w:marTop w:val="0"/>
      <w:marBottom w:val="0"/>
      <w:divBdr>
        <w:top w:val="none" w:sz="0" w:space="0" w:color="auto"/>
        <w:left w:val="none" w:sz="0" w:space="0" w:color="auto"/>
        <w:bottom w:val="none" w:sz="0" w:space="0" w:color="auto"/>
        <w:right w:val="none" w:sz="0" w:space="0" w:color="auto"/>
      </w:divBdr>
    </w:div>
    <w:div w:id="2057896224">
      <w:bodyDiv w:val="1"/>
      <w:marLeft w:val="0"/>
      <w:marRight w:val="0"/>
      <w:marTop w:val="0"/>
      <w:marBottom w:val="0"/>
      <w:divBdr>
        <w:top w:val="none" w:sz="0" w:space="0" w:color="auto"/>
        <w:left w:val="none" w:sz="0" w:space="0" w:color="auto"/>
        <w:bottom w:val="none" w:sz="0" w:space="0" w:color="auto"/>
        <w:right w:val="none" w:sz="0" w:space="0" w:color="auto"/>
      </w:divBdr>
    </w:div>
    <w:div w:id="2058159076">
      <w:bodyDiv w:val="1"/>
      <w:marLeft w:val="0"/>
      <w:marRight w:val="0"/>
      <w:marTop w:val="0"/>
      <w:marBottom w:val="0"/>
      <w:divBdr>
        <w:top w:val="none" w:sz="0" w:space="0" w:color="auto"/>
        <w:left w:val="none" w:sz="0" w:space="0" w:color="auto"/>
        <w:bottom w:val="none" w:sz="0" w:space="0" w:color="auto"/>
        <w:right w:val="none" w:sz="0" w:space="0" w:color="auto"/>
      </w:divBdr>
    </w:div>
    <w:div w:id="2058234392">
      <w:bodyDiv w:val="1"/>
      <w:marLeft w:val="0"/>
      <w:marRight w:val="0"/>
      <w:marTop w:val="0"/>
      <w:marBottom w:val="0"/>
      <w:divBdr>
        <w:top w:val="none" w:sz="0" w:space="0" w:color="auto"/>
        <w:left w:val="none" w:sz="0" w:space="0" w:color="auto"/>
        <w:bottom w:val="none" w:sz="0" w:space="0" w:color="auto"/>
        <w:right w:val="none" w:sz="0" w:space="0" w:color="auto"/>
      </w:divBdr>
    </w:div>
    <w:div w:id="2058504355">
      <w:bodyDiv w:val="1"/>
      <w:marLeft w:val="0"/>
      <w:marRight w:val="0"/>
      <w:marTop w:val="0"/>
      <w:marBottom w:val="0"/>
      <w:divBdr>
        <w:top w:val="none" w:sz="0" w:space="0" w:color="auto"/>
        <w:left w:val="none" w:sz="0" w:space="0" w:color="auto"/>
        <w:bottom w:val="none" w:sz="0" w:space="0" w:color="auto"/>
        <w:right w:val="none" w:sz="0" w:space="0" w:color="auto"/>
      </w:divBdr>
    </w:div>
    <w:div w:id="2059816469">
      <w:bodyDiv w:val="1"/>
      <w:marLeft w:val="0"/>
      <w:marRight w:val="0"/>
      <w:marTop w:val="0"/>
      <w:marBottom w:val="0"/>
      <w:divBdr>
        <w:top w:val="none" w:sz="0" w:space="0" w:color="auto"/>
        <w:left w:val="none" w:sz="0" w:space="0" w:color="auto"/>
        <w:bottom w:val="none" w:sz="0" w:space="0" w:color="auto"/>
        <w:right w:val="none" w:sz="0" w:space="0" w:color="auto"/>
      </w:divBdr>
    </w:div>
    <w:div w:id="2059892389">
      <w:bodyDiv w:val="1"/>
      <w:marLeft w:val="0"/>
      <w:marRight w:val="0"/>
      <w:marTop w:val="0"/>
      <w:marBottom w:val="0"/>
      <w:divBdr>
        <w:top w:val="none" w:sz="0" w:space="0" w:color="auto"/>
        <w:left w:val="none" w:sz="0" w:space="0" w:color="auto"/>
        <w:bottom w:val="none" w:sz="0" w:space="0" w:color="auto"/>
        <w:right w:val="none" w:sz="0" w:space="0" w:color="auto"/>
      </w:divBdr>
    </w:div>
    <w:div w:id="2060281076">
      <w:bodyDiv w:val="1"/>
      <w:marLeft w:val="0"/>
      <w:marRight w:val="0"/>
      <w:marTop w:val="0"/>
      <w:marBottom w:val="0"/>
      <w:divBdr>
        <w:top w:val="none" w:sz="0" w:space="0" w:color="auto"/>
        <w:left w:val="none" w:sz="0" w:space="0" w:color="auto"/>
        <w:bottom w:val="none" w:sz="0" w:space="0" w:color="auto"/>
        <w:right w:val="none" w:sz="0" w:space="0" w:color="auto"/>
      </w:divBdr>
    </w:div>
    <w:div w:id="2061006329">
      <w:bodyDiv w:val="1"/>
      <w:marLeft w:val="0"/>
      <w:marRight w:val="0"/>
      <w:marTop w:val="0"/>
      <w:marBottom w:val="0"/>
      <w:divBdr>
        <w:top w:val="none" w:sz="0" w:space="0" w:color="auto"/>
        <w:left w:val="none" w:sz="0" w:space="0" w:color="auto"/>
        <w:bottom w:val="none" w:sz="0" w:space="0" w:color="auto"/>
        <w:right w:val="none" w:sz="0" w:space="0" w:color="auto"/>
      </w:divBdr>
    </w:div>
    <w:div w:id="2061663247">
      <w:bodyDiv w:val="1"/>
      <w:marLeft w:val="0"/>
      <w:marRight w:val="0"/>
      <w:marTop w:val="0"/>
      <w:marBottom w:val="0"/>
      <w:divBdr>
        <w:top w:val="none" w:sz="0" w:space="0" w:color="auto"/>
        <w:left w:val="none" w:sz="0" w:space="0" w:color="auto"/>
        <w:bottom w:val="none" w:sz="0" w:space="0" w:color="auto"/>
        <w:right w:val="none" w:sz="0" w:space="0" w:color="auto"/>
      </w:divBdr>
    </w:div>
    <w:div w:id="2062438979">
      <w:bodyDiv w:val="1"/>
      <w:marLeft w:val="0"/>
      <w:marRight w:val="0"/>
      <w:marTop w:val="0"/>
      <w:marBottom w:val="0"/>
      <w:divBdr>
        <w:top w:val="none" w:sz="0" w:space="0" w:color="auto"/>
        <w:left w:val="none" w:sz="0" w:space="0" w:color="auto"/>
        <w:bottom w:val="none" w:sz="0" w:space="0" w:color="auto"/>
        <w:right w:val="none" w:sz="0" w:space="0" w:color="auto"/>
      </w:divBdr>
    </w:div>
    <w:div w:id="2062899802">
      <w:bodyDiv w:val="1"/>
      <w:marLeft w:val="0"/>
      <w:marRight w:val="0"/>
      <w:marTop w:val="0"/>
      <w:marBottom w:val="0"/>
      <w:divBdr>
        <w:top w:val="none" w:sz="0" w:space="0" w:color="auto"/>
        <w:left w:val="none" w:sz="0" w:space="0" w:color="auto"/>
        <w:bottom w:val="none" w:sz="0" w:space="0" w:color="auto"/>
        <w:right w:val="none" w:sz="0" w:space="0" w:color="auto"/>
      </w:divBdr>
    </w:div>
    <w:div w:id="2063094959">
      <w:bodyDiv w:val="1"/>
      <w:marLeft w:val="0"/>
      <w:marRight w:val="0"/>
      <w:marTop w:val="0"/>
      <w:marBottom w:val="0"/>
      <w:divBdr>
        <w:top w:val="none" w:sz="0" w:space="0" w:color="auto"/>
        <w:left w:val="none" w:sz="0" w:space="0" w:color="auto"/>
        <w:bottom w:val="none" w:sz="0" w:space="0" w:color="auto"/>
        <w:right w:val="none" w:sz="0" w:space="0" w:color="auto"/>
      </w:divBdr>
    </w:div>
    <w:div w:id="2063095562">
      <w:bodyDiv w:val="1"/>
      <w:marLeft w:val="0"/>
      <w:marRight w:val="0"/>
      <w:marTop w:val="0"/>
      <w:marBottom w:val="0"/>
      <w:divBdr>
        <w:top w:val="none" w:sz="0" w:space="0" w:color="auto"/>
        <w:left w:val="none" w:sz="0" w:space="0" w:color="auto"/>
        <w:bottom w:val="none" w:sz="0" w:space="0" w:color="auto"/>
        <w:right w:val="none" w:sz="0" w:space="0" w:color="auto"/>
      </w:divBdr>
    </w:div>
    <w:div w:id="2064980850">
      <w:bodyDiv w:val="1"/>
      <w:marLeft w:val="0"/>
      <w:marRight w:val="0"/>
      <w:marTop w:val="0"/>
      <w:marBottom w:val="0"/>
      <w:divBdr>
        <w:top w:val="none" w:sz="0" w:space="0" w:color="auto"/>
        <w:left w:val="none" w:sz="0" w:space="0" w:color="auto"/>
        <w:bottom w:val="none" w:sz="0" w:space="0" w:color="auto"/>
        <w:right w:val="none" w:sz="0" w:space="0" w:color="auto"/>
      </w:divBdr>
    </w:div>
    <w:div w:id="2065828209">
      <w:bodyDiv w:val="1"/>
      <w:marLeft w:val="0"/>
      <w:marRight w:val="0"/>
      <w:marTop w:val="0"/>
      <w:marBottom w:val="0"/>
      <w:divBdr>
        <w:top w:val="none" w:sz="0" w:space="0" w:color="auto"/>
        <w:left w:val="none" w:sz="0" w:space="0" w:color="auto"/>
        <w:bottom w:val="none" w:sz="0" w:space="0" w:color="auto"/>
        <w:right w:val="none" w:sz="0" w:space="0" w:color="auto"/>
      </w:divBdr>
    </w:div>
    <w:div w:id="2065984442">
      <w:bodyDiv w:val="1"/>
      <w:marLeft w:val="0"/>
      <w:marRight w:val="0"/>
      <w:marTop w:val="0"/>
      <w:marBottom w:val="0"/>
      <w:divBdr>
        <w:top w:val="none" w:sz="0" w:space="0" w:color="auto"/>
        <w:left w:val="none" w:sz="0" w:space="0" w:color="auto"/>
        <w:bottom w:val="none" w:sz="0" w:space="0" w:color="auto"/>
        <w:right w:val="none" w:sz="0" w:space="0" w:color="auto"/>
      </w:divBdr>
    </w:div>
    <w:div w:id="2067021769">
      <w:bodyDiv w:val="1"/>
      <w:marLeft w:val="0"/>
      <w:marRight w:val="0"/>
      <w:marTop w:val="0"/>
      <w:marBottom w:val="0"/>
      <w:divBdr>
        <w:top w:val="none" w:sz="0" w:space="0" w:color="auto"/>
        <w:left w:val="none" w:sz="0" w:space="0" w:color="auto"/>
        <w:bottom w:val="none" w:sz="0" w:space="0" w:color="auto"/>
        <w:right w:val="none" w:sz="0" w:space="0" w:color="auto"/>
      </w:divBdr>
    </w:div>
    <w:div w:id="2067415345">
      <w:bodyDiv w:val="1"/>
      <w:marLeft w:val="0"/>
      <w:marRight w:val="0"/>
      <w:marTop w:val="0"/>
      <w:marBottom w:val="0"/>
      <w:divBdr>
        <w:top w:val="none" w:sz="0" w:space="0" w:color="auto"/>
        <w:left w:val="none" w:sz="0" w:space="0" w:color="auto"/>
        <w:bottom w:val="none" w:sz="0" w:space="0" w:color="auto"/>
        <w:right w:val="none" w:sz="0" w:space="0" w:color="auto"/>
      </w:divBdr>
    </w:div>
    <w:div w:id="2067873002">
      <w:bodyDiv w:val="1"/>
      <w:marLeft w:val="0"/>
      <w:marRight w:val="0"/>
      <w:marTop w:val="0"/>
      <w:marBottom w:val="0"/>
      <w:divBdr>
        <w:top w:val="none" w:sz="0" w:space="0" w:color="auto"/>
        <w:left w:val="none" w:sz="0" w:space="0" w:color="auto"/>
        <w:bottom w:val="none" w:sz="0" w:space="0" w:color="auto"/>
        <w:right w:val="none" w:sz="0" w:space="0" w:color="auto"/>
      </w:divBdr>
    </w:div>
    <w:div w:id="2068869643">
      <w:bodyDiv w:val="1"/>
      <w:marLeft w:val="0"/>
      <w:marRight w:val="0"/>
      <w:marTop w:val="0"/>
      <w:marBottom w:val="0"/>
      <w:divBdr>
        <w:top w:val="none" w:sz="0" w:space="0" w:color="auto"/>
        <w:left w:val="none" w:sz="0" w:space="0" w:color="auto"/>
        <w:bottom w:val="none" w:sz="0" w:space="0" w:color="auto"/>
        <w:right w:val="none" w:sz="0" w:space="0" w:color="auto"/>
      </w:divBdr>
    </w:div>
    <w:div w:id="2069647358">
      <w:bodyDiv w:val="1"/>
      <w:marLeft w:val="0"/>
      <w:marRight w:val="0"/>
      <w:marTop w:val="0"/>
      <w:marBottom w:val="0"/>
      <w:divBdr>
        <w:top w:val="none" w:sz="0" w:space="0" w:color="auto"/>
        <w:left w:val="none" w:sz="0" w:space="0" w:color="auto"/>
        <w:bottom w:val="none" w:sz="0" w:space="0" w:color="auto"/>
        <w:right w:val="none" w:sz="0" w:space="0" w:color="auto"/>
      </w:divBdr>
    </w:div>
    <w:div w:id="2069960321">
      <w:bodyDiv w:val="1"/>
      <w:marLeft w:val="0"/>
      <w:marRight w:val="0"/>
      <w:marTop w:val="0"/>
      <w:marBottom w:val="0"/>
      <w:divBdr>
        <w:top w:val="none" w:sz="0" w:space="0" w:color="auto"/>
        <w:left w:val="none" w:sz="0" w:space="0" w:color="auto"/>
        <w:bottom w:val="none" w:sz="0" w:space="0" w:color="auto"/>
        <w:right w:val="none" w:sz="0" w:space="0" w:color="auto"/>
      </w:divBdr>
    </w:div>
    <w:div w:id="2070108021">
      <w:bodyDiv w:val="1"/>
      <w:marLeft w:val="0"/>
      <w:marRight w:val="0"/>
      <w:marTop w:val="0"/>
      <w:marBottom w:val="0"/>
      <w:divBdr>
        <w:top w:val="none" w:sz="0" w:space="0" w:color="auto"/>
        <w:left w:val="none" w:sz="0" w:space="0" w:color="auto"/>
        <w:bottom w:val="none" w:sz="0" w:space="0" w:color="auto"/>
        <w:right w:val="none" w:sz="0" w:space="0" w:color="auto"/>
      </w:divBdr>
    </w:div>
    <w:div w:id="2072342367">
      <w:bodyDiv w:val="1"/>
      <w:marLeft w:val="0"/>
      <w:marRight w:val="0"/>
      <w:marTop w:val="0"/>
      <w:marBottom w:val="0"/>
      <w:divBdr>
        <w:top w:val="none" w:sz="0" w:space="0" w:color="auto"/>
        <w:left w:val="none" w:sz="0" w:space="0" w:color="auto"/>
        <w:bottom w:val="none" w:sz="0" w:space="0" w:color="auto"/>
        <w:right w:val="none" w:sz="0" w:space="0" w:color="auto"/>
      </w:divBdr>
    </w:div>
    <w:div w:id="2072652019">
      <w:bodyDiv w:val="1"/>
      <w:marLeft w:val="0"/>
      <w:marRight w:val="0"/>
      <w:marTop w:val="0"/>
      <w:marBottom w:val="0"/>
      <w:divBdr>
        <w:top w:val="none" w:sz="0" w:space="0" w:color="auto"/>
        <w:left w:val="none" w:sz="0" w:space="0" w:color="auto"/>
        <w:bottom w:val="none" w:sz="0" w:space="0" w:color="auto"/>
        <w:right w:val="none" w:sz="0" w:space="0" w:color="auto"/>
      </w:divBdr>
    </w:div>
    <w:div w:id="2073965292">
      <w:bodyDiv w:val="1"/>
      <w:marLeft w:val="0"/>
      <w:marRight w:val="0"/>
      <w:marTop w:val="0"/>
      <w:marBottom w:val="0"/>
      <w:divBdr>
        <w:top w:val="none" w:sz="0" w:space="0" w:color="auto"/>
        <w:left w:val="none" w:sz="0" w:space="0" w:color="auto"/>
        <w:bottom w:val="none" w:sz="0" w:space="0" w:color="auto"/>
        <w:right w:val="none" w:sz="0" w:space="0" w:color="auto"/>
      </w:divBdr>
    </w:div>
    <w:div w:id="2074426478">
      <w:bodyDiv w:val="1"/>
      <w:marLeft w:val="0"/>
      <w:marRight w:val="0"/>
      <w:marTop w:val="0"/>
      <w:marBottom w:val="0"/>
      <w:divBdr>
        <w:top w:val="none" w:sz="0" w:space="0" w:color="auto"/>
        <w:left w:val="none" w:sz="0" w:space="0" w:color="auto"/>
        <w:bottom w:val="none" w:sz="0" w:space="0" w:color="auto"/>
        <w:right w:val="none" w:sz="0" w:space="0" w:color="auto"/>
      </w:divBdr>
    </w:div>
    <w:div w:id="2074500485">
      <w:bodyDiv w:val="1"/>
      <w:marLeft w:val="0"/>
      <w:marRight w:val="0"/>
      <w:marTop w:val="0"/>
      <w:marBottom w:val="0"/>
      <w:divBdr>
        <w:top w:val="none" w:sz="0" w:space="0" w:color="auto"/>
        <w:left w:val="none" w:sz="0" w:space="0" w:color="auto"/>
        <w:bottom w:val="none" w:sz="0" w:space="0" w:color="auto"/>
        <w:right w:val="none" w:sz="0" w:space="0" w:color="auto"/>
      </w:divBdr>
    </w:div>
    <w:div w:id="2075157726">
      <w:bodyDiv w:val="1"/>
      <w:marLeft w:val="0"/>
      <w:marRight w:val="0"/>
      <w:marTop w:val="0"/>
      <w:marBottom w:val="0"/>
      <w:divBdr>
        <w:top w:val="none" w:sz="0" w:space="0" w:color="auto"/>
        <w:left w:val="none" w:sz="0" w:space="0" w:color="auto"/>
        <w:bottom w:val="none" w:sz="0" w:space="0" w:color="auto"/>
        <w:right w:val="none" w:sz="0" w:space="0" w:color="auto"/>
      </w:divBdr>
    </w:div>
    <w:div w:id="2077970845">
      <w:bodyDiv w:val="1"/>
      <w:marLeft w:val="0"/>
      <w:marRight w:val="0"/>
      <w:marTop w:val="0"/>
      <w:marBottom w:val="0"/>
      <w:divBdr>
        <w:top w:val="none" w:sz="0" w:space="0" w:color="auto"/>
        <w:left w:val="none" w:sz="0" w:space="0" w:color="auto"/>
        <w:bottom w:val="none" w:sz="0" w:space="0" w:color="auto"/>
        <w:right w:val="none" w:sz="0" w:space="0" w:color="auto"/>
      </w:divBdr>
    </w:div>
    <w:div w:id="2078546661">
      <w:bodyDiv w:val="1"/>
      <w:marLeft w:val="0"/>
      <w:marRight w:val="0"/>
      <w:marTop w:val="0"/>
      <w:marBottom w:val="0"/>
      <w:divBdr>
        <w:top w:val="none" w:sz="0" w:space="0" w:color="auto"/>
        <w:left w:val="none" w:sz="0" w:space="0" w:color="auto"/>
        <w:bottom w:val="none" w:sz="0" w:space="0" w:color="auto"/>
        <w:right w:val="none" w:sz="0" w:space="0" w:color="auto"/>
      </w:divBdr>
    </w:div>
    <w:div w:id="2079130516">
      <w:bodyDiv w:val="1"/>
      <w:marLeft w:val="0"/>
      <w:marRight w:val="0"/>
      <w:marTop w:val="0"/>
      <w:marBottom w:val="0"/>
      <w:divBdr>
        <w:top w:val="none" w:sz="0" w:space="0" w:color="auto"/>
        <w:left w:val="none" w:sz="0" w:space="0" w:color="auto"/>
        <w:bottom w:val="none" w:sz="0" w:space="0" w:color="auto"/>
        <w:right w:val="none" w:sz="0" w:space="0" w:color="auto"/>
      </w:divBdr>
    </w:div>
    <w:div w:id="2079591416">
      <w:bodyDiv w:val="1"/>
      <w:marLeft w:val="0"/>
      <w:marRight w:val="0"/>
      <w:marTop w:val="0"/>
      <w:marBottom w:val="0"/>
      <w:divBdr>
        <w:top w:val="none" w:sz="0" w:space="0" w:color="auto"/>
        <w:left w:val="none" w:sz="0" w:space="0" w:color="auto"/>
        <w:bottom w:val="none" w:sz="0" w:space="0" w:color="auto"/>
        <w:right w:val="none" w:sz="0" w:space="0" w:color="auto"/>
      </w:divBdr>
    </w:div>
    <w:div w:id="2080668789">
      <w:bodyDiv w:val="1"/>
      <w:marLeft w:val="0"/>
      <w:marRight w:val="0"/>
      <w:marTop w:val="0"/>
      <w:marBottom w:val="0"/>
      <w:divBdr>
        <w:top w:val="none" w:sz="0" w:space="0" w:color="auto"/>
        <w:left w:val="none" w:sz="0" w:space="0" w:color="auto"/>
        <w:bottom w:val="none" w:sz="0" w:space="0" w:color="auto"/>
        <w:right w:val="none" w:sz="0" w:space="0" w:color="auto"/>
      </w:divBdr>
    </w:div>
    <w:div w:id="2081517016">
      <w:bodyDiv w:val="1"/>
      <w:marLeft w:val="0"/>
      <w:marRight w:val="0"/>
      <w:marTop w:val="0"/>
      <w:marBottom w:val="0"/>
      <w:divBdr>
        <w:top w:val="none" w:sz="0" w:space="0" w:color="auto"/>
        <w:left w:val="none" w:sz="0" w:space="0" w:color="auto"/>
        <w:bottom w:val="none" w:sz="0" w:space="0" w:color="auto"/>
        <w:right w:val="none" w:sz="0" w:space="0" w:color="auto"/>
      </w:divBdr>
    </w:div>
    <w:div w:id="2083677017">
      <w:bodyDiv w:val="1"/>
      <w:marLeft w:val="0"/>
      <w:marRight w:val="0"/>
      <w:marTop w:val="0"/>
      <w:marBottom w:val="0"/>
      <w:divBdr>
        <w:top w:val="none" w:sz="0" w:space="0" w:color="auto"/>
        <w:left w:val="none" w:sz="0" w:space="0" w:color="auto"/>
        <w:bottom w:val="none" w:sz="0" w:space="0" w:color="auto"/>
        <w:right w:val="none" w:sz="0" w:space="0" w:color="auto"/>
      </w:divBdr>
    </w:div>
    <w:div w:id="2083679561">
      <w:bodyDiv w:val="1"/>
      <w:marLeft w:val="0"/>
      <w:marRight w:val="0"/>
      <w:marTop w:val="0"/>
      <w:marBottom w:val="0"/>
      <w:divBdr>
        <w:top w:val="none" w:sz="0" w:space="0" w:color="auto"/>
        <w:left w:val="none" w:sz="0" w:space="0" w:color="auto"/>
        <w:bottom w:val="none" w:sz="0" w:space="0" w:color="auto"/>
        <w:right w:val="none" w:sz="0" w:space="0" w:color="auto"/>
      </w:divBdr>
    </w:div>
    <w:div w:id="2083719800">
      <w:bodyDiv w:val="1"/>
      <w:marLeft w:val="0"/>
      <w:marRight w:val="0"/>
      <w:marTop w:val="0"/>
      <w:marBottom w:val="0"/>
      <w:divBdr>
        <w:top w:val="none" w:sz="0" w:space="0" w:color="auto"/>
        <w:left w:val="none" w:sz="0" w:space="0" w:color="auto"/>
        <w:bottom w:val="none" w:sz="0" w:space="0" w:color="auto"/>
        <w:right w:val="none" w:sz="0" w:space="0" w:color="auto"/>
      </w:divBdr>
    </w:div>
    <w:div w:id="2084259864">
      <w:bodyDiv w:val="1"/>
      <w:marLeft w:val="0"/>
      <w:marRight w:val="0"/>
      <w:marTop w:val="0"/>
      <w:marBottom w:val="0"/>
      <w:divBdr>
        <w:top w:val="none" w:sz="0" w:space="0" w:color="auto"/>
        <w:left w:val="none" w:sz="0" w:space="0" w:color="auto"/>
        <w:bottom w:val="none" w:sz="0" w:space="0" w:color="auto"/>
        <w:right w:val="none" w:sz="0" w:space="0" w:color="auto"/>
      </w:divBdr>
    </w:div>
    <w:div w:id="2084373301">
      <w:bodyDiv w:val="1"/>
      <w:marLeft w:val="0"/>
      <w:marRight w:val="0"/>
      <w:marTop w:val="0"/>
      <w:marBottom w:val="0"/>
      <w:divBdr>
        <w:top w:val="none" w:sz="0" w:space="0" w:color="auto"/>
        <w:left w:val="none" w:sz="0" w:space="0" w:color="auto"/>
        <w:bottom w:val="none" w:sz="0" w:space="0" w:color="auto"/>
        <w:right w:val="none" w:sz="0" w:space="0" w:color="auto"/>
      </w:divBdr>
    </w:div>
    <w:div w:id="2085451033">
      <w:bodyDiv w:val="1"/>
      <w:marLeft w:val="0"/>
      <w:marRight w:val="0"/>
      <w:marTop w:val="0"/>
      <w:marBottom w:val="0"/>
      <w:divBdr>
        <w:top w:val="none" w:sz="0" w:space="0" w:color="auto"/>
        <w:left w:val="none" w:sz="0" w:space="0" w:color="auto"/>
        <w:bottom w:val="none" w:sz="0" w:space="0" w:color="auto"/>
        <w:right w:val="none" w:sz="0" w:space="0" w:color="auto"/>
      </w:divBdr>
    </w:div>
    <w:div w:id="2085562451">
      <w:bodyDiv w:val="1"/>
      <w:marLeft w:val="0"/>
      <w:marRight w:val="0"/>
      <w:marTop w:val="0"/>
      <w:marBottom w:val="0"/>
      <w:divBdr>
        <w:top w:val="none" w:sz="0" w:space="0" w:color="auto"/>
        <w:left w:val="none" w:sz="0" w:space="0" w:color="auto"/>
        <w:bottom w:val="none" w:sz="0" w:space="0" w:color="auto"/>
        <w:right w:val="none" w:sz="0" w:space="0" w:color="auto"/>
      </w:divBdr>
    </w:div>
    <w:div w:id="2085835489">
      <w:bodyDiv w:val="1"/>
      <w:marLeft w:val="0"/>
      <w:marRight w:val="0"/>
      <w:marTop w:val="0"/>
      <w:marBottom w:val="0"/>
      <w:divBdr>
        <w:top w:val="none" w:sz="0" w:space="0" w:color="auto"/>
        <w:left w:val="none" w:sz="0" w:space="0" w:color="auto"/>
        <w:bottom w:val="none" w:sz="0" w:space="0" w:color="auto"/>
        <w:right w:val="none" w:sz="0" w:space="0" w:color="auto"/>
      </w:divBdr>
    </w:div>
    <w:div w:id="2085912364">
      <w:bodyDiv w:val="1"/>
      <w:marLeft w:val="0"/>
      <w:marRight w:val="0"/>
      <w:marTop w:val="0"/>
      <w:marBottom w:val="0"/>
      <w:divBdr>
        <w:top w:val="none" w:sz="0" w:space="0" w:color="auto"/>
        <w:left w:val="none" w:sz="0" w:space="0" w:color="auto"/>
        <w:bottom w:val="none" w:sz="0" w:space="0" w:color="auto"/>
        <w:right w:val="none" w:sz="0" w:space="0" w:color="auto"/>
      </w:divBdr>
    </w:div>
    <w:div w:id="2085955560">
      <w:bodyDiv w:val="1"/>
      <w:marLeft w:val="0"/>
      <w:marRight w:val="0"/>
      <w:marTop w:val="0"/>
      <w:marBottom w:val="0"/>
      <w:divBdr>
        <w:top w:val="none" w:sz="0" w:space="0" w:color="auto"/>
        <w:left w:val="none" w:sz="0" w:space="0" w:color="auto"/>
        <w:bottom w:val="none" w:sz="0" w:space="0" w:color="auto"/>
        <w:right w:val="none" w:sz="0" w:space="0" w:color="auto"/>
      </w:divBdr>
    </w:div>
    <w:div w:id="2086414705">
      <w:bodyDiv w:val="1"/>
      <w:marLeft w:val="0"/>
      <w:marRight w:val="0"/>
      <w:marTop w:val="0"/>
      <w:marBottom w:val="0"/>
      <w:divBdr>
        <w:top w:val="none" w:sz="0" w:space="0" w:color="auto"/>
        <w:left w:val="none" w:sz="0" w:space="0" w:color="auto"/>
        <w:bottom w:val="none" w:sz="0" w:space="0" w:color="auto"/>
        <w:right w:val="none" w:sz="0" w:space="0" w:color="auto"/>
      </w:divBdr>
    </w:div>
    <w:div w:id="2086956432">
      <w:bodyDiv w:val="1"/>
      <w:marLeft w:val="0"/>
      <w:marRight w:val="0"/>
      <w:marTop w:val="0"/>
      <w:marBottom w:val="0"/>
      <w:divBdr>
        <w:top w:val="none" w:sz="0" w:space="0" w:color="auto"/>
        <w:left w:val="none" w:sz="0" w:space="0" w:color="auto"/>
        <w:bottom w:val="none" w:sz="0" w:space="0" w:color="auto"/>
        <w:right w:val="none" w:sz="0" w:space="0" w:color="auto"/>
      </w:divBdr>
    </w:div>
    <w:div w:id="2086995720">
      <w:bodyDiv w:val="1"/>
      <w:marLeft w:val="0"/>
      <w:marRight w:val="0"/>
      <w:marTop w:val="0"/>
      <w:marBottom w:val="0"/>
      <w:divBdr>
        <w:top w:val="none" w:sz="0" w:space="0" w:color="auto"/>
        <w:left w:val="none" w:sz="0" w:space="0" w:color="auto"/>
        <w:bottom w:val="none" w:sz="0" w:space="0" w:color="auto"/>
        <w:right w:val="none" w:sz="0" w:space="0" w:color="auto"/>
      </w:divBdr>
    </w:div>
    <w:div w:id="2087022656">
      <w:bodyDiv w:val="1"/>
      <w:marLeft w:val="0"/>
      <w:marRight w:val="0"/>
      <w:marTop w:val="0"/>
      <w:marBottom w:val="0"/>
      <w:divBdr>
        <w:top w:val="none" w:sz="0" w:space="0" w:color="auto"/>
        <w:left w:val="none" w:sz="0" w:space="0" w:color="auto"/>
        <w:bottom w:val="none" w:sz="0" w:space="0" w:color="auto"/>
        <w:right w:val="none" w:sz="0" w:space="0" w:color="auto"/>
      </w:divBdr>
    </w:div>
    <w:div w:id="2088069096">
      <w:bodyDiv w:val="1"/>
      <w:marLeft w:val="0"/>
      <w:marRight w:val="0"/>
      <w:marTop w:val="0"/>
      <w:marBottom w:val="0"/>
      <w:divBdr>
        <w:top w:val="none" w:sz="0" w:space="0" w:color="auto"/>
        <w:left w:val="none" w:sz="0" w:space="0" w:color="auto"/>
        <w:bottom w:val="none" w:sz="0" w:space="0" w:color="auto"/>
        <w:right w:val="none" w:sz="0" w:space="0" w:color="auto"/>
      </w:divBdr>
    </w:div>
    <w:div w:id="2088307627">
      <w:bodyDiv w:val="1"/>
      <w:marLeft w:val="0"/>
      <w:marRight w:val="0"/>
      <w:marTop w:val="0"/>
      <w:marBottom w:val="0"/>
      <w:divBdr>
        <w:top w:val="none" w:sz="0" w:space="0" w:color="auto"/>
        <w:left w:val="none" w:sz="0" w:space="0" w:color="auto"/>
        <w:bottom w:val="none" w:sz="0" w:space="0" w:color="auto"/>
        <w:right w:val="none" w:sz="0" w:space="0" w:color="auto"/>
      </w:divBdr>
    </w:div>
    <w:div w:id="2090106731">
      <w:bodyDiv w:val="1"/>
      <w:marLeft w:val="0"/>
      <w:marRight w:val="0"/>
      <w:marTop w:val="0"/>
      <w:marBottom w:val="0"/>
      <w:divBdr>
        <w:top w:val="none" w:sz="0" w:space="0" w:color="auto"/>
        <w:left w:val="none" w:sz="0" w:space="0" w:color="auto"/>
        <w:bottom w:val="none" w:sz="0" w:space="0" w:color="auto"/>
        <w:right w:val="none" w:sz="0" w:space="0" w:color="auto"/>
      </w:divBdr>
    </w:div>
    <w:div w:id="2091847837">
      <w:bodyDiv w:val="1"/>
      <w:marLeft w:val="0"/>
      <w:marRight w:val="0"/>
      <w:marTop w:val="0"/>
      <w:marBottom w:val="0"/>
      <w:divBdr>
        <w:top w:val="none" w:sz="0" w:space="0" w:color="auto"/>
        <w:left w:val="none" w:sz="0" w:space="0" w:color="auto"/>
        <w:bottom w:val="none" w:sz="0" w:space="0" w:color="auto"/>
        <w:right w:val="none" w:sz="0" w:space="0" w:color="auto"/>
      </w:divBdr>
    </w:div>
    <w:div w:id="2092698095">
      <w:bodyDiv w:val="1"/>
      <w:marLeft w:val="0"/>
      <w:marRight w:val="0"/>
      <w:marTop w:val="0"/>
      <w:marBottom w:val="0"/>
      <w:divBdr>
        <w:top w:val="none" w:sz="0" w:space="0" w:color="auto"/>
        <w:left w:val="none" w:sz="0" w:space="0" w:color="auto"/>
        <w:bottom w:val="none" w:sz="0" w:space="0" w:color="auto"/>
        <w:right w:val="none" w:sz="0" w:space="0" w:color="auto"/>
      </w:divBdr>
    </w:div>
    <w:div w:id="2093425256">
      <w:bodyDiv w:val="1"/>
      <w:marLeft w:val="0"/>
      <w:marRight w:val="0"/>
      <w:marTop w:val="0"/>
      <w:marBottom w:val="0"/>
      <w:divBdr>
        <w:top w:val="none" w:sz="0" w:space="0" w:color="auto"/>
        <w:left w:val="none" w:sz="0" w:space="0" w:color="auto"/>
        <w:bottom w:val="none" w:sz="0" w:space="0" w:color="auto"/>
        <w:right w:val="none" w:sz="0" w:space="0" w:color="auto"/>
      </w:divBdr>
    </w:div>
    <w:div w:id="2093889242">
      <w:bodyDiv w:val="1"/>
      <w:marLeft w:val="0"/>
      <w:marRight w:val="0"/>
      <w:marTop w:val="0"/>
      <w:marBottom w:val="0"/>
      <w:divBdr>
        <w:top w:val="none" w:sz="0" w:space="0" w:color="auto"/>
        <w:left w:val="none" w:sz="0" w:space="0" w:color="auto"/>
        <w:bottom w:val="none" w:sz="0" w:space="0" w:color="auto"/>
        <w:right w:val="none" w:sz="0" w:space="0" w:color="auto"/>
      </w:divBdr>
    </w:div>
    <w:div w:id="2094234008">
      <w:bodyDiv w:val="1"/>
      <w:marLeft w:val="0"/>
      <w:marRight w:val="0"/>
      <w:marTop w:val="0"/>
      <w:marBottom w:val="0"/>
      <w:divBdr>
        <w:top w:val="none" w:sz="0" w:space="0" w:color="auto"/>
        <w:left w:val="none" w:sz="0" w:space="0" w:color="auto"/>
        <w:bottom w:val="none" w:sz="0" w:space="0" w:color="auto"/>
        <w:right w:val="none" w:sz="0" w:space="0" w:color="auto"/>
      </w:divBdr>
    </w:div>
    <w:div w:id="2094935719">
      <w:bodyDiv w:val="1"/>
      <w:marLeft w:val="0"/>
      <w:marRight w:val="0"/>
      <w:marTop w:val="0"/>
      <w:marBottom w:val="0"/>
      <w:divBdr>
        <w:top w:val="none" w:sz="0" w:space="0" w:color="auto"/>
        <w:left w:val="none" w:sz="0" w:space="0" w:color="auto"/>
        <w:bottom w:val="none" w:sz="0" w:space="0" w:color="auto"/>
        <w:right w:val="none" w:sz="0" w:space="0" w:color="auto"/>
      </w:divBdr>
    </w:div>
    <w:div w:id="2096244195">
      <w:bodyDiv w:val="1"/>
      <w:marLeft w:val="0"/>
      <w:marRight w:val="0"/>
      <w:marTop w:val="0"/>
      <w:marBottom w:val="0"/>
      <w:divBdr>
        <w:top w:val="none" w:sz="0" w:space="0" w:color="auto"/>
        <w:left w:val="none" w:sz="0" w:space="0" w:color="auto"/>
        <w:bottom w:val="none" w:sz="0" w:space="0" w:color="auto"/>
        <w:right w:val="none" w:sz="0" w:space="0" w:color="auto"/>
      </w:divBdr>
    </w:div>
    <w:div w:id="2096586430">
      <w:bodyDiv w:val="1"/>
      <w:marLeft w:val="0"/>
      <w:marRight w:val="0"/>
      <w:marTop w:val="0"/>
      <w:marBottom w:val="0"/>
      <w:divBdr>
        <w:top w:val="none" w:sz="0" w:space="0" w:color="auto"/>
        <w:left w:val="none" w:sz="0" w:space="0" w:color="auto"/>
        <w:bottom w:val="none" w:sz="0" w:space="0" w:color="auto"/>
        <w:right w:val="none" w:sz="0" w:space="0" w:color="auto"/>
      </w:divBdr>
    </w:div>
    <w:div w:id="2096776486">
      <w:bodyDiv w:val="1"/>
      <w:marLeft w:val="0"/>
      <w:marRight w:val="0"/>
      <w:marTop w:val="0"/>
      <w:marBottom w:val="0"/>
      <w:divBdr>
        <w:top w:val="none" w:sz="0" w:space="0" w:color="auto"/>
        <w:left w:val="none" w:sz="0" w:space="0" w:color="auto"/>
        <w:bottom w:val="none" w:sz="0" w:space="0" w:color="auto"/>
        <w:right w:val="none" w:sz="0" w:space="0" w:color="auto"/>
      </w:divBdr>
    </w:div>
    <w:div w:id="2097510782">
      <w:bodyDiv w:val="1"/>
      <w:marLeft w:val="0"/>
      <w:marRight w:val="0"/>
      <w:marTop w:val="0"/>
      <w:marBottom w:val="0"/>
      <w:divBdr>
        <w:top w:val="none" w:sz="0" w:space="0" w:color="auto"/>
        <w:left w:val="none" w:sz="0" w:space="0" w:color="auto"/>
        <w:bottom w:val="none" w:sz="0" w:space="0" w:color="auto"/>
        <w:right w:val="none" w:sz="0" w:space="0" w:color="auto"/>
      </w:divBdr>
    </w:div>
    <w:div w:id="2097552380">
      <w:bodyDiv w:val="1"/>
      <w:marLeft w:val="0"/>
      <w:marRight w:val="0"/>
      <w:marTop w:val="0"/>
      <w:marBottom w:val="0"/>
      <w:divBdr>
        <w:top w:val="none" w:sz="0" w:space="0" w:color="auto"/>
        <w:left w:val="none" w:sz="0" w:space="0" w:color="auto"/>
        <w:bottom w:val="none" w:sz="0" w:space="0" w:color="auto"/>
        <w:right w:val="none" w:sz="0" w:space="0" w:color="auto"/>
      </w:divBdr>
    </w:div>
    <w:div w:id="2097939137">
      <w:bodyDiv w:val="1"/>
      <w:marLeft w:val="0"/>
      <w:marRight w:val="0"/>
      <w:marTop w:val="0"/>
      <w:marBottom w:val="0"/>
      <w:divBdr>
        <w:top w:val="none" w:sz="0" w:space="0" w:color="auto"/>
        <w:left w:val="none" w:sz="0" w:space="0" w:color="auto"/>
        <w:bottom w:val="none" w:sz="0" w:space="0" w:color="auto"/>
        <w:right w:val="none" w:sz="0" w:space="0" w:color="auto"/>
      </w:divBdr>
    </w:div>
    <w:div w:id="2098477552">
      <w:bodyDiv w:val="1"/>
      <w:marLeft w:val="0"/>
      <w:marRight w:val="0"/>
      <w:marTop w:val="0"/>
      <w:marBottom w:val="0"/>
      <w:divBdr>
        <w:top w:val="none" w:sz="0" w:space="0" w:color="auto"/>
        <w:left w:val="none" w:sz="0" w:space="0" w:color="auto"/>
        <w:bottom w:val="none" w:sz="0" w:space="0" w:color="auto"/>
        <w:right w:val="none" w:sz="0" w:space="0" w:color="auto"/>
      </w:divBdr>
    </w:div>
    <w:div w:id="2099208092">
      <w:bodyDiv w:val="1"/>
      <w:marLeft w:val="0"/>
      <w:marRight w:val="0"/>
      <w:marTop w:val="0"/>
      <w:marBottom w:val="0"/>
      <w:divBdr>
        <w:top w:val="none" w:sz="0" w:space="0" w:color="auto"/>
        <w:left w:val="none" w:sz="0" w:space="0" w:color="auto"/>
        <w:bottom w:val="none" w:sz="0" w:space="0" w:color="auto"/>
        <w:right w:val="none" w:sz="0" w:space="0" w:color="auto"/>
      </w:divBdr>
    </w:div>
    <w:div w:id="2100715640">
      <w:bodyDiv w:val="1"/>
      <w:marLeft w:val="0"/>
      <w:marRight w:val="0"/>
      <w:marTop w:val="0"/>
      <w:marBottom w:val="0"/>
      <w:divBdr>
        <w:top w:val="none" w:sz="0" w:space="0" w:color="auto"/>
        <w:left w:val="none" w:sz="0" w:space="0" w:color="auto"/>
        <w:bottom w:val="none" w:sz="0" w:space="0" w:color="auto"/>
        <w:right w:val="none" w:sz="0" w:space="0" w:color="auto"/>
      </w:divBdr>
    </w:div>
    <w:div w:id="2102018259">
      <w:bodyDiv w:val="1"/>
      <w:marLeft w:val="0"/>
      <w:marRight w:val="0"/>
      <w:marTop w:val="0"/>
      <w:marBottom w:val="0"/>
      <w:divBdr>
        <w:top w:val="none" w:sz="0" w:space="0" w:color="auto"/>
        <w:left w:val="none" w:sz="0" w:space="0" w:color="auto"/>
        <w:bottom w:val="none" w:sz="0" w:space="0" w:color="auto"/>
        <w:right w:val="none" w:sz="0" w:space="0" w:color="auto"/>
      </w:divBdr>
    </w:div>
    <w:div w:id="2102217000">
      <w:bodyDiv w:val="1"/>
      <w:marLeft w:val="0"/>
      <w:marRight w:val="0"/>
      <w:marTop w:val="0"/>
      <w:marBottom w:val="0"/>
      <w:divBdr>
        <w:top w:val="none" w:sz="0" w:space="0" w:color="auto"/>
        <w:left w:val="none" w:sz="0" w:space="0" w:color="auto"/>
        <w:bottom w:val="none" w:sz="0" w:space="0" w:color="auto"/>
        <w:right w:val="none" w:sz="0" w:space="0" w:color="auto"/>
      </w:divBdr>
    </w:div>
    <w:div w:id="2102294922">
      <w:bodyDiv w:val="1"/>
      <w:marLeft w:val="0"/>
      <w:marRight w:val="0"/>
      <w:marTop w:val="0"/>
      <w:marBottom w:val="0"/>
      <w:divBdr>
        <w:top w:val="none" w:sz="0" w:space="0" w:color="auto"/>
        <w:left w:val="none" w:sz="0" w:space="0" w:color="auto"/>
        <w:bottom w:val="none" w:sz="0" w:space="0" w:color="auto"/>
        <w:right w:val="none" w:sz="0" w:space="0" w:color="auto"/>
      </w:divBdr>
    </w:div>
    <w:div w:id="2102412300">
      <w:bodyDiv w:val="1"/>
      <w:marLeft w:val="0"/>
      <w:marRight w:val="0"/>
      <w:marTop w:val="0"/>
      <w:marBottom w:val="0"/>
      <w:divBdr>
        <w:top w:val="none" w:sz="0" w:space="0" w:color="auto"/>
        <w:left w:val="none" w:sz="0" w:space="0" w:color="auto"/>
        <w:bottom w:val="none" w:sz="0" w:space="0" w:color="auto"/>
        <w:right w:val="none" w:sz="0" w:space="0" w:color="auto"/>
      </w:divBdr>
    </w:div>
    <w:div w:id="2102606270">
      <w:bodyDiv w:val="1"/>
      <w:marLeft w:val="0"/>
      <w:marRight w:val="0"/>
      <w:marTop w:val="0"/>
      <w:marBottom w:val="0"/>
      <w:divBdr>
        <w:top w:val="none" w:sz="0" w:space="0" w:color="auto"/>
        <w:left w:val="none" w:sz="0" w:space="0" w:color="auto"/>
        <w:bottom w:val="none" w:sz="0" w:space="0" w:color="auto"/>
        <w:right w:val="none" w:sz="0" w:space="0" w:color="auto"/>
      </w:divBdr>
    </w:div>
    <w:div w:id="2102792628">
      <w:bodyDiv w:val="1"/>
      <w:marLeft w:val="0"/>
      <w:marRight w:val="0"/>
      <w:marTop w:val="0"/>
      <w:marBottom w:val="0"/>
      <w:divBdr>
        <w:top w:val="none" w:sz="0" w:space="0" w:color="auto"/>
        <w:left w:val="none" w:sz="0" w:space="0" w:color="auto"/>
        <w:bottom w:val="none" w:sz="0" w:space="0" w:color="auto"/>
        <w:right w:val="none" w:sz="0" w:space="0" w:color="auto"/>
      </w:divBdr>
    </w:div>
    <w:div w:id="2103329417">
      <w:bodyDiv w:val="1"/>
      <w:marLeft w:val="0"/>
      <w:marRight w:val="0"/>
      <w:marTop w:val="0"/>
      <w:marBottom w:val="0"/>
      <w:divBdr>
        <w:top w:val="none" w:sz="0" w:space="0" w:color="auto"/>
        <w:left w:val="none" w:sz="0" w:space="0" w:color="auto"/>
        <w:bottom w:val="none" w:sz="0" w:space="0" w:color="auto"/>
        <w:right w:val="none" w:sz="0" w:space="0" w:color="auto"/>
      </w:divBdr>
    </w:div>
    <w:div w:id="2103453233">
      <w:bodyDiv w:val="1"/>
      <w:marLeft w:val="0"/>
      <w:marRight w:val="0"/>
      <w:marTop w:val="0"/>
      <w:marBottom w:val="0"/>
      <w:divBdr>
        <w:top w:val="none" w:sz="0" w:space="0" w:color="auto"/>
        <w:left w:val="none" w:sz="0" w:space="0" w:color="auto"/>
        <w:bottom w:val="none" w:sz="0" w:space="0" w:color="auto"/>
        <w:right w:val="none" w:sz="0" w:space="0" w:color="auto"/>
      </w:divBdr>
    </w:div>
    <w:div w:id="2103837918">
      <w:bodyDiv w:val="1"/>
      <w:marLeft w:val="0"/>
      <w:marRight w:val="0"/>
      <w:marTop w:val="0"/>
      <w:marBottom w:val="0"/>
      <w:divBdr>
        <w:top w:val="none" w:sz="0" w:space="0" w:color="auto"/>
        <w:left w:val="none" w:sz="0" w:space="0" w:color="auto"/>
        <w:bottom w:val="none" w:sz="0" w:space="0" w:color="auto"/>
        <w:right w:val="none" w:sz="0" w:space="0" w:color="auto"/>
      </w:divBdr>
    </w:div>
    <w:div w:id="2103866991">
      <w:bodyDiv w:val="1"/>
      <w:marLeft w:val="0"/>
      <w:marRight w:val="0"/>
      <w:marTop w:val="0"/>
      <w:marBottom w:val="0"/>
      <w:divBdr>
        <w:top w:val="none" w:sz="0" w:space="0" w:color="auto"/>
        <w:left w:val="none" w:sz="0" w:space="0" w:color="auto"/>
        <w:bottom w:val="none" w:sz="0" w:space="0" w:color="auto"/>
        <w:right w:val="none" w:sz="0" w:space="0" w:color="auto"/>
      </w:divBdr>
    </w:div>
    <w:div w:id="2104260764">
      <w:bodyDiv w:val="1"/>
      <w:marLeft w:val="0"/>
      <w:marRight w:val="0"/>
      <w:marTop w:val="0"/>
      <w:marBottom w:val="0"/>
      <w:divBdr>
        <w:top w:val="none" w:sz="0" w:space="0" w:color="auto"/>
        <w:left w:val="none" w:sz="0" w:space="0" w:color="auto"/>
        <w:bottom w:val="none" w:sz="0" w:space="0" w:color="auto"/>
        <w:right w:val="none" w:sz="0" w:space="0" w:color="auto"/>
      </w:divBdr>
    </w:div>
    <w:div w:id="2105689324">
      <w:bodyDiv w:val="1"/>
      <w:marLeft w:val="0"/>
      <w:marRight w:val="0"/>
      <w:marTop w:val="0"/>
      <w:marBottom w:val="0"/>
      <w:divBdr>
        <w:top w:val="none" w:sz="0" w:space="0" w:color="auto"/>
        <w:left w:val="none" w:sz="0" w:space="0" w:color="auto"/>
        <w:bottom w:val="none" w:sz="0" w:space="0" w:color="auto"/>
        <w:right w:val="none" w:sz="0" w:space="0" w:color="auto"/>
      </w:divBdr>
    </w:div>
    <w:div w:id="2107194709">
      <w:bodyDiv w:val="1"/>
      <w:marLeft w:val="0"/>
      <w:marRight w:val="0"/>
      <w:marTop w:val="0"/>
      <w:marBottom w:val="0"/>
      <w:divBdr>
        <w:top w:val="none" w:sz="0" w:space="0" w:color="auto"/>
        <w:left w:val="none" w:sz="0" w:space="0" w:color="auto"/>
        <w:bottom w:val="none" w:sz="0" w:space="0" w:color="auto"/>
        <w:right w:val="none" w:sz="0" w:space="0" w:color="auto"/>
      </w:divBdr>
    </w:div>
    <w:div w:id="2107966036">
      <w:bodyDiv w:val="1"/>
      <w:marLeft w:val="0"/>
      <w:marRight w:val="0"/>
      <w:marTop w:val="0"/>
      <w:marBottom w:val="0"/>
      <w:divBdr>
        <w:top w:val="none" w:sz="0" w:space="0" w:color="auto"/>
        <w:left w:val="none" w:sz="0" w:space="0" w:color="auto"/>
        <w:bottom w:val="none" w:sz="0" w:space="0" w:color="auto"/>
        <w:right w:val="none" w:sz="0" w:space="0" w:color="auto"/>
      </w:divBdr>
    </w:div>
    <w:div w:id="2109933605">
      <w:bodyDiv w:val="1"/>
      <w:marLeft w:val="0"/>
      <w:marRight w:val="0"/>
      <w:marTop w:val="0"/>
      <w:marBottom w:val="0"/>
      <w:divBdr>
        <w:top w:val="none" w:sz="0" w:space="0" w:color="auto"/>
        <w:left w:val="none" w:sz="0" w:space="0" w:color="auto"/>
        <w:bottom w:val="none" w:sz="0" w:space="0" w:color="auto"/>
        <w:right w:val="none" w:sz="0" w:space="0" w:color="auto"/>
      </w:divBdr>
    </w:div>
    <w:div w:id="2111312492">
      <w:bodyDiv w:val="1"/>
      <w:marLeft w:val="0"/>
      <w:marRight w:val="0"/>
      <w:marTop w:val="0"/>
      <w:marBottom w:val="0"/>
      <w:divBdr>
        <w:top w:val="none" w:sz="0" w:space="0" w:color="auto"/>
        <w:left w:val="none" w:sz="0" w:space="0" w:color="auto"/>
        <w:bottom w:val="none" w:sz="0" w:space="0" w:color="auto"/>
        <w:right w:val="none" w:sz="0" w:space="0" w:color="auto"/>
      </w:divBdr>
    </w:div>
    <w:div w:id="2111579701">
      <w:bodyDiv w:val="1"/>
      <w:marLeft w:val="0"/>
      <w:marRight w:val="0"/>
      <w:marTop w:val="0"/>
      <w:marBottom w:val="0"/>
      <w:divBdr>
        <w:top w:val="none" w:sz="0" w:space="0" w:color="auto"/>
        <w:left w:val="none" w:sz="0" w:space="0" w:color="auto"/>
        <w:bottom w:val="none" w:sz="0" w:space="0" w:color="auto"/>
        <w:right w:val="none" w:sz="0" w:space="0" w:color="auto"/>
      </w:divBdr>
    </w:div>
    <w:div w:id="2111583069">
      <w:bodyDiv w:val="1"/>
      <w:marLeft w:val="0"/>
      <w:marRight w:val="0"/>
      <w:marTop w:val="0"/>
      <w:marBottom w:val="0"/>
      <w:divBdr>
        <w:top w:val="none" w:sz="0" w:space="0" w:color="auto"/>
        <w:left w:val="none" w:sz="0" w:space="0" w:color="auto"/>
        <w:bottom w:val="none" w:sz="0" w:space="0" w:color="auto"/>
        <w:right w:val="none" w:sz="0" w:space="0" w:color="auto"/>
      </w:divBdr>
    </w:div>
    <w:div w:id="2112045439">
      <w:bodyDiv w:val="1"/>
      <w:marLeft w:val="0"/>
      <w:marRight w:val="0"/>
      <w:marTop w:val="0"/>
      <w:marBottom w:val="0"/>
      <w:divBdr>
        <w:top w:val="none" w:sz="0" w:space="0" w:color="auto"/>
        <w:left w:val="none" w:sz="0" w:space="0" w:color="auto"/>
        <w:bottom w:val="none" w:sz="0" w:space="0" w:color="auto"/>
        <w:right w:val="none" w:sz="0" w:space="0" w:color="auto"/>
      </w:divBdr>
    </w:div>
    <w:div w:id="2112161874">
      <w:bodyDiv w:val="1"/>
      <w:marLeft w:val="0"/>
      <w:marRight w:val="0"/>
      <w:marTop w:val="0"/>
      <w:marBottom w:val="0"/>
      <w:divBdr>
        <w:top w:val="none" w:sz="0" w:space="0" w:color="auto"/>
        <w:left w:val="none" w:sz="0" w:space="0" w:color="auto"/>
        <w:bottom w:val="none" w:sz="0" w:space="0" w:color="auto"/>
        <w:right w:val="none" w:sz="0" w:space="0" w:color="auto"/>
      </w:divBdr>
    </w:div>
    <w:div w:id="2113357998">
      <w:bodyDiv w:val="1"/>
      <w:marLeft w:val="0"/>
      <w:marRight w:val="0"/>
      <w:marTop w:val="0"/>
      <w:marBottom w:val="0"/>
      <w:divBdr>
        <w:top w:val="none" w:sz="0" w:space="0" w:color="auto"/>
        <w:left w:val="none" w:sz="0" w:space="0" w:color="auto"/>
        <w:bottom w:val="none" w:sz="0" w:space="0" w:color="auto"/>
        <w:right w:val="none" w:sz="0" w:space="0" w:color="auto"/>
      </w:divBdr>
    </w:div>
    <w:div w:id="2114281174">
      <w:bodyDiv w:val="1"/>
      <w:marLeft w:val="0"/>
      <w:marRight w:val="0"/>
      <w:marTop w:val="0"/>
      <w:marBottom w:val="0"/>
      <w:divBdr>
        <w:top w:val="none" w:sz="0" w:space="0" w:color="auto"/>
        <w:left w:val="none" w:sz="0" w:space="0" w:color="auto"/>
        <w:bottom w:val="none" w:sz="0" w:space="0" w:color="auto"/>
        <w:right w:val="none" w:sz="0" w:space="0" w:color="auto"/>
      </w:divBdr>
    </w:div>
    <w:div w:id="2117433982">
      <w:bodyDiv w:val="1"/>
      <w:marLeft w:val="0"/>
      <w:marRight w:val="0"/>
      <w:marTop w:val="0"/>
      <w:marBottom w:val="0"/>
      <w:divBdr>
        <w:top w:val="none" w:sz="0" w:space="0" w:color="auto"/>
        <w:left w:val="none" w:sz="0" w:space="0" w:color="auto"/>
        <w:bottom w:val="none" w:sz="0" w:space="0" w:color="auto"/>
        <w:right w:val="none" w:sz="0" w:space="0" w:color="auto"/>
      </w:divBdr>
    </w:div>
    <w:div w:id="2117482230">
      <w:bodyDiv w:val="1"/>
      <w:marLeft w:val="0"/>
      <w:marRight w:val="0"/>
      <w:marTop w:val="0"/>
      <w:marBottom w:val="0"/>
      <w:divBdr>
        <w:top w:val="none" w:sz="0" w:space="0" w:color="auto"/>
        <w:left w:val="none" w:sz="0" w:space="0" w:color="auto"/>
        <w:bottom w:val="none" w:sz="0" w:space="0" w:color="auto"/>
        <w:right w:val="none" w:sz="0" w:space="0" w:color="auto"/>
      </w:divBdr>
    </w:div>
    <w:div w:id="2118134466">
      <w:bodyDiv w:val="1"/>
      <w:marLeft w:val="0"/>
      <w:marRight w:val="0"/>
      <w:marTop w:val="0"/>
      <w:marBottom w:val="0"/>
      <w:divBdr>
        <w:top w:val="none" w:sz="0" w:space="0" w:color="auto"/>
        <w:left w:val="none" w:sz="0" w:space="0" w:color="auto"/>
        <w:bottom w:val="none" w:sz="0" w:space="0" w:color="auto"/>
        <w:right w:val="none" w:sz="0" w:space="0" w:color="auto"/>
      </w:divBdr>
    </w:div>
    <w:div w:id="2118213821">
      <w:bodyDiv w:val="1"/>
      <w:marLeft w:val="0"/>
      <w:marRight w:val="0"/>
      <w:marTop w:val="0"/>
      <w:marBottom w:val="0"/>
      <w:divBdr>
        <w:top w:val="none" w:sz="0" w:space="0" w:color="auto"/>
        <w:left w:val="none" w:sz="0" w:space="0" w:color="auto"/>
        <w:bottom w:val="none" w:sz="0" w:space="0" w:color="auto"/>
        <w:right w:val="none" w:sz="0" w:space="0" w:color="auto"/>
      </w:divBdr>
    </w:div>
    <w:div w:id="2118328090">
      <w:bodyDiv w:val="1"/>
      <w:marLeft w:val="0"/>
      <w:marRight w:val="0"/>
      <w:marTop w:val="0"/>
      <w:marBottom w:val="0"/>
      <w:divBdr>
        <w:top w:val="none" w:sz="0" w:space="0" w:color="auto"/>
        <w:left w:val="none" w:sz="0" w:space="0" w:color="auto"/>
        <w:bottom w:val="none" w:sz="0" w:space="0" w:color="auto"/>
        <w:right w:val="none" w:sz="0" w:space="0" w:color="auto"/>
      </w:divBdr>
    </w:div>
    <w:div w:id="2118405733">
      <w:bodyDiv w:val="1"/>
      <w:marLeft w:val="0"/>
      <w:marRight w:val="0"/>
      <w:marTop w:val="0"/>
      <w:marBottom w:val="0"/>
      <w:divBdr>
        <w:top w:val="none" w:sz="0" w:space="0" w:color="auto"/>
        <w:left w:val="none" w:sz="0" w:space="0" w:color="auto"/>
        <w:bottom w:val="none" w:sz="0" w:space="0" w:color="auto"/>
        <w:right w:val="none" w:sz="0" w:space="0" w:color="auto"/>
      </w:divBdr>
    </w:div>
    <w:div w:id="2118716550">
      <w:bodyDiv w:val="1"/>
      <w:marLeft w:val="0"/>
      <w:marRight w:val="0"/>
      <w:marTop w:val="0"/>
      <w:marBottom w:val="0"/>
      <w:divBdr>
        <w:top w:val="none" w:sz="0" w:space="0" w:color="auto"/>
        <w:left w:val="none" w:sz="0" w:space="0" w:color="auto"/>
        <w:bottom w:val="none" w:sz="0" w:space="0" w:color="auto"/>
        <w:right w:val="none" w:sz="0" w:space="0" w:color="auto"/>
      </w:divBdr>
    </w:div>
    <w:div w:id="2119329840">
      <w:bodyDiv w:val="1"/>
      <w:marLeft w:val="0"/>
      <w:marRight w:val="0"/>
      <w:marTop w:val="0"/>
      <w:marBottom w:val="0"/>
      <w:divBdr>
        <w:top w:val="none" w:sz="0" w:space="0" w:color="auto"/>
        <w:left w:val="none" w:sz="0" w:space="0" w:color="auto"/>
        <w:bottom w:val="none" w:sz="0" w:space="0" w:color="auto"/>
        <w:right w:val="none" w:sz="0" w:space="0" w:color="auto"/>
      </w:divBdr>
    </w:div>
    <w:div w:id="2120056599">
      <w:bodyDiv w:val="1"/>
      <w:marLeft w:val="0"/>
      <w:marRight w:val="0"/>
      <w:marTop w:val="0"/>
      <w:marBottom w:val="0"/>
      <w:divBdr>
        <w:top w:val="none" w:sz="0" w:space="0" w:color="auto"/>
        <w:left w:val="none" w:sz="0" w:space="0" w:color="auto"/>
        <w:bottom w:val="none" w:sz="0" w:space="0" w:color="auto"/>
        <w:right w:val="none" w:sz="0" w:space="0" w:color="auto"/>
      </w:divBdr>
    </w:div>
    <w:div w:id="2121139307">
      <w:bodyDiv w:val="1"/>
      <w:marLeft w:val="0"/>
      <w:marRight w:val="0"/>
      <w:marTop w:val="0"/>
      <w:marBottom w:val="0"/>
      <w:divBdr>
        <w:top w:val="none" w:sz="0" w:space="0" w:color="auto"/>
        <w:left w:val="none" w:sz="0" w:space="0" w:color="auto"/>
        <w:bottom w:val="none" w:sz="0" w:space="0" w:color="auto"/>
        <w:right w:val="none" w:sz="0" w:space="0" w:color="auto"/>
      </w:divBdr>
    </w:div>
    <w:div w:id="2122217219">
      <w:bodyDiv w:val="1"/>
      <w:marLeft w:val="0"/>
      <w:marRight w:val="0"/>
      <w:marTop w:val="0"/>
      <w:marBottom w:val="0"/>
      <w:divBdr>
        <w:top w:val="none" w:sz="0" w:space="0" w:color="auto"/>
        <w:left w:val="none" w:sz="0" w:space="0" w:color="auto"/>
        <w:bottom w:val="none" w:sz="0" w:space="0" w:color="auto"/>
        <w:right w:val="none" w:sz="0" w:space="0" w:color="auto"/>
      </w:divBdr>
    </w:div>
    <w:div w:id="2122793798">
      <w:bodyDiv w:val="1"/>
      <w:marLeft w:val="0"/>
      <w:marRight w:val="0"/>
      <w:marTop w:val="0"/>
      <w:marBottom w:val="0"/>
      <w:divBdr>
        <w:top w:val="none" w:sz="0" w:space="0" w:color="auto"/>
        <w:left w:val="none" w:sz="0" w:space="0" w:color="auto"/>
        <w:bottom w:val="none" w:sz="0" w:space="0" w:color="auto"/>
        <w:right w:val="none" w:sz="0" w:space="0" w:color="auto"/>
      </w:divBdr>
    </w:div>
    <w:div w:id="2124228407">
      <w:bodyDiv w:val="1"/>
      <w:marLeft w:val="0"/>
      <w:marRight w:val="0"/>
      <w:marTop w:val="0"/>
      <w:marBottom w:val="0"/>
      <w:divBdr>
        <w:top w:val="none" w:sz="0" w:space="0" w:color="auto"/>
        <w:left w:val="none" w:sz="0" w:space="0" w:color="auto"/>
        <w:bottom w:val="none" w:sz="0" w:space="0" w:color="auto"/>
        <w:right w:val="none" w:sz="0" w:space="0" w:color="auto"/>
      </w:divBdr>
    </w:div>
    <w:div w:id="2125033612">
      <w:bodyDiv w:val="1"/>
      <w:marLeft w:val="0"/>
      <w:marRight w:val="0"/>
      <w:marTop w:val="0"/>
      <w:marBottom w:val="0"/>
      <w:divBdr>
        <w:top w:val="none" w:sz="0" w:space="0" w:color="auto"/>
        <w:left w:val="none" w:sz="0" w:space="0" w:color="auto"/>
        <w:bottom w:val="none" w:sz="0" w:space="0" w:color="auto"/>
        <w:right w:val="none" w:sz="0" w:space="0" w:color="auto"/>
      </w:divBdr>
    </w:div>
    <w:div w:id="2125272853">
      <w:bodyDiv w:val="1"/>
      <w:marLeft w:val="0"/>
      <w:marRight w:val="0"/>
      <w:marTop w:val="0"/>
      <w:marBottom w:val="0"/>
      <w:divBdr>
        <w:top w:val="none" w:sz="0" w:space="0" w:color="auto"/>
        <w:left w:val="none" w:sz="0" w:space="0" w:color="auto"/>
        <w:bottom w:val="none" w:sz="0" w:space="0" w:color="auto"/>
        <w:right w:val="none" w:sz="0" w:space="0" w:color="auto"/>
      </w:divBdr>
    </w:div>
    <w:div w:id="2126003468">
      <w:bodyDiv w:val="1"/>
      <w:marLeft w:val="0"/>
      <w:marRight w:val="0"/>
      <w:marTop w:val="0"/>
      <w:marBottom w:val="0"/>
      <w:divBdr>
        <w:top w:val="none" w:sz="0" w:space="0" w:color="auto"/>
        <w:left w:val="none" w:sz="0" w:space="0" w:color="auto"/>
        <w:bottom w:val="none" w:sz="0" w:space="0" w:color="auto"/>
        <w:right w:val="none" w:sz="0" w:space="0" w:color="auto"/>
      </w:divBdr>
    </w:div>
    <w:div w:id="2127501124">
      <w:bodyDiv w:val="1"/>
      <w:marLeft w:val="0"/>
      <w:marRight w:val="0"/>
      <w:marTop w:val="0"/>
      <w:marBottom w:val="0"/>
      <w:divBdr>
        <w:top w:val="none" w:sz="0" w:space="0" w:color="auto"/>
        <w:left w:val="none" w:sz="0" w:space="0" w:color="auto"/>
        <w:bottom w:val="none" w:sz="0" w:space="0" w:color="auto"/>
        <w:right w:val="none" w:sz="0" w:space="0" w:color="auto"/>
      </w:divBdr>
    </w:div>
    <w:div w:id="2127774630">
      <w:bodyDiv w:val="1"/>
      <w:marLeft w:val="0"/>
      <w:marRight w:val="0"/>
      <w:marTop w:val="0"/>
      <w:marBottom w:val="0"/>
      <w:divBdr>
        <w:top w:val="none" w:sz="0" w:space="0" w:color="auto"/>
        <w:left w:val="none" w:sz="0" w:space="0" w:color="auto"/>
        <w:bottom w:val="none" w:sz="0" w:space="0" w:color="auto"/>
        <w:right w:val="none" w:sz="0" w:space="0" w:color="auto"/>
      </w:divBdr>
    </w:div>
    <w:div w:id="2127920865">
      <w:bodyDiv w:val="1"/>
      <w:marLeft w:val="0"/>
      <w:marRight w:val="0"/>
      <w:marTop w:val="0"/>
      <w:marBottom w:val="0"/>
      <w:divBdr>
        <w:top w:val="none" w:sz="0" w:space="0" w:color="auto"/>
        <w:left w:val="none" w:sz="0" w:space="0" w:color="auto"/>
        <w:bottom w:val="none" w:sz="0" w:space="0" w:color="auto"/>
        <w:right w:val="none" w:sz="0" w:space="0" w:color="auto"/>
      </w:divBdr>
    </w:div>
    <w:div w:id="2128505316">
      <w:bodyDiv w:val="1"/>
      <w:marLeft w:val="0"/>
      <w:marRight w:val="0"/>
      <w:marTop w:val="0"/>
      <w:marBottom w:val="0"/>
      <w:divBdr>
        <w:top w:val="none" w:sz="0" w:space="0" w:color="auto"/>
        <w:left w:val="none" w:sz="0" w:space="0" w:color="auto"/>
        <w:bottom w:val="none" w:sz="0" w:space="0" w:color="auto"/>
        <w:right w:val="none" w:sz="0" w:space="0" w:color="auto"/>
      </w:divBdr>
    </w:div>
    <w:div w:id="2129008758">
      <w:bodyDiv w:val="1"/>
      <w:marLeft w:val="0"/>
      <w:marRight w:val="0"/>
      <w:marTop w:val="0"/>
      <w:marBottom w:val="0"/>
      <w:divBdr>
        <w:top w:val="none" w:sz="0" w:space="0" w:color="auto"/>
        <w:left w:val="none" w:sz="0" w:space="0" w:color="auto"/>
        <w:bottom w:val="none" w:sz="0" w:space="0" w:color="auto"/>
        <w:right w:val="none" w:sz="0" w:space="0" w:color="auto"/>
      </w:divBdr>
    </w:div>
    <w:div w:id="2129349623">
      <w:bodyDiv w:val="1"/>
      <w:marLeft w:val="0"/>
      <w:marRight w:val="0"/>
      <w:marTop w:val="0"/>
      <w:marBottom w:val="0"/>
      <w:divBdr>
        <w:top w:val="none" w:sz="0" w:space="0" w:color="auto"/>
        <w:left w:val="none" w:sz="0" w:space="0" w:color="auto"/>
        <w:bottom w:val="none" w:sz="0" w:space="0" w:color="auto"/>
        <w:right w:val="none" w:sz="0" w:space="0" w:color="auto"/>
      </w:divBdr>
    </w:div>
    <w:div w:id="2130196341">
      <w:bodyDiv w:val="1"/>
      <w:marLeft w:val="0"/>
      <w:marRight w:val="0"/>
      <w:marTop w:val="0"/>
      <w:marBottom w:val="0"/>
      <w:divBdr>
        <w:top w:val="none" w:sz="0" w:space="0" w:color="auto"/>
        <w:left w:val="none" w:sz="0" w:space="0" w:color="auto"/>
        <w:bottom w:val="none" w:sz="0" w:space="0" w:color="auto"/>
        <w:right w:val="none" w:sz="0" w:space="0" w:color="auto"/>
      </w:divBdr>
    </w:div>
    <w:div w:id="2130778136">
      <w:bodyDiv w:val="1"/>
      <w:marLeft w:val="0"/>
      <w:marRight w:val="0"/>
      <w:marTop w:val="0"/>
      <w:marBottom w:val="0"/>
      <w:divBdr>
        <w:top w:val="none" w:sz="0" w:space="0" w:color="auto"/>
        <w:left w:val="none" w:sz="0" w:space="0" w:color="auto"/>
        <w:bottom w:val="none" w:sz="0" w:space="0" w:color="auto"/>
        <w:right w:val="none" w:sz="0" w:space="0" w:color="auto"/>
      </w:divBdr>
    </w:div>
    <w:div w:id="2130852573">
      <w:bodyDiv w:val="1"/>
      <w:marLeft w:val="0"/>
      <w:marRight w:val="0"/>
      <w:marTop w:val="0"/>
      <w:marBottom w:val="0"/>
      <w:divBdr>
        <w:top w:val="none" w:sz="0" w:space="0" w:color="auto"/>
        <w:left w:val="none" w:sz="0" w:space="0" w:color="auto"/>
        <w:bottom w:val="none" w:sz="0" w:space="0" w:color="auto"/>
        <w:right w:val="none" w:sz="0" w:space="0" w:color="auto"/>
      </w:divBdr>
    </w:div>
    <w:div w:id="2131510437">
      <w:bodyDiv w:val="1"/>
      <w:marLeft w:val="0"/>
      <w:marRight w:val="0"/>
      <w:marTop w:val="0"/>
      <w:marBottom w:val="0"/>
      <w:divBdr>
        <w:top w:val="none" w:sz="0" w:space="0" w:color="auto"/>
        <w:left w:val="none" w:sz="0" w:space="0" w:color="auto"/>
        <w:bottom w:val="none" w:sz="0" w:space="0" w:color="auto"/>
        <w:right w:val="none" w:sz="0" w:space="0" w:color="auto"/>
      </w:divBdr>
    </w:div>
    <w:div w:id="2131849873">
      <w:bodyDiv w:val="1"/>
      <w:marLeft w:val="0"/>
      <w:marRight w:val="0"/>
      <w:marTop w:val="0"/>
      <w:marBottom w:val="0"/>
      <w:divBdr>
        <w:top w:val="none" w:sz="0" w:space="0" w:color="auto"/>
        <w:left w:val="none" w:sz="0" w:space="0" w:color="auto"/>
        <w:bottom w:val="none" w:sz="0" w:space="0" w:color="auto"/>
        <w:right w:val="none" w:sz="0" w:space="0" w:color="auto"/>
      </w:divBdr>
    </w:div>
    <w:div w:id="2135830706">
      <w:bodyDiv w:val="1"/>
      <w:marLeft w:val="0"/>
      <w:marRight w:val="0"/>
      <w:marTop w:val="0"/>
      <w:marBottom w:val="0"/>
      <w:divBdr>
        <w:top w:val="none" w:sz="0" w:space="0" w:color="auto"/>
        <w:left w:val="none" w:sz="0" w:space="0" w:color="auto"/>
        <w:bottom w:val="none" w:sz="0" w:space="0" w:color="auto"/>
        <w:right w:val="none" w:sz="0" w:space="0" w:color="auto"/>
      </w:divBdr>
    </w:div>
    <w:div w:id="2136244163">
      <w:bodyDiv w:val="1"/>
      <w:marLeft w:val="0"/>
      <w:marRight w:val="0"/>
      <w:marTop w:val="0"/>
      <w:marBottom w:val="0"/>
      <w:divBdr>
        <w:top w:val="none" w:sz="0" w:space="0" w:color="auto"/>
        <w:left w:val="none" w:sz="0" w:space="0" w:color="auto"/>
        <w:bottom w:val="none" w:sz="0" w:space="0" w:color="auto"/>
        <w:right w:val="none" w:sz="0" w:space="0" w:color="auto"/>
      </w:divBdr>
    </w:div>
    <w:div w:id="2136827371">
      <w:bodyDiv w:val="1"/>
      <w:marLeft w:val="0"/>
      <w:marRight w:val="0"/>
      <w:marTop w:val="0"/>
      <w:marBottom w:val="0"/>
      <w:divBdr>
        <w:top w:val="none" w:sz="0" w:space="0" w:color="auto"/>
        <w:left w:val="none" w:sz="0" w:space="0" w:color="auto"/>
        <w:bottom w:val="none" w:sz="0" w:space="0" w:color="auto"/>
        <w:right w:val="none" w:sz="0" w:space="0" w:color="auto"/>
      </w:divBdr>
    </w:div>
    <w:div w:id="2137678827">
      <w:bodyDiv w:val="1"/>
      <w:marLeft w:val="0"/>
      <w:marRight w:val="0"/>
      <w:marTop w:val="0"/>
      <w:marBottom w:val="0"/>
      <w:divBdr>
        <w:top w:val="none" w:sz="0" w:space="0" w:color="auto"/>
        <w:left w:val="none" w:sz="0" w:space="0" w:color="auto"/>
        <w:bottom w:val="none" w:sz="0" w:space="0" w:color="auto"/>
        <w:right w:val="none" w:sz="0" w:space="0" w:color="auto"/>
      </w:divBdr>
    </w:div>
    <w:div w:id="2139299391">
      <w:bodyDiv w:val="1"/>
      <w:marLeft w:val="0"/>
      <w:marRight w:val="0"/>
      <w:marTop w:val="0"/>
      <w:marBottom w:val="0"/>
      <w:divBdr>
        <w:top w:val="none" w:sz="0" w:space="0" w:color="auto"/>
        <w:left w:val="none" w:sz="0" w:space="0" w:color="auto"/>
        <w:bottom w:val="none" w:sz="0" w:space="0" w:color="auto"/>
        <w:right w:val="none" w:sz="0" w:space="0" w:color="auto"/>
      </w:divBdr>
    </w:div>
    <w:div w:id="2140873277">
      <w:bodyDiv w:val="1"/>
      <w:marLeft w:val="0"/>
      <w:marRight w:val="0"/>
      <w:marTop w:val="0"/>
      <w:marBottom w:val="0"/>
      <w:divBdr>
        <w:top w:val="none" w:sz="0" w:space="0" w:color="auto"/>
        <w:left w:val="none" w:sz="0" w:space="0" w:color="auto"/>
        <w:bottom w:val="none" w:sz="0" w:space="0" w:color="auto"/>
        <w:right w:val="none" w:sz="0" w:space="0" w:color="auto"/>
      </w:divBdr>
    </w:div>
    <w:div w:id="2140948008">
      <w:bodyDiv w:val="1"/>
      <w:marLeft w:val="0"/>
      <w:marRight w:val="0"/>
      <w:marTop w:val="0"/>
      <w:marBottom w:val="0"/>
      <w:divBdr>
        <w:top w:val="none" w:sz="0" w:space="0" w:color="auto"/>
        <w:left w:val="none" w:sz="0" w:space="0" w:color="auto"/>
        <w:bottom w:val="none" w:sz="0" w:space="0" w:color="auto"/>
        <w:right w:val="none" w:sz="0" w:space="0" w:color="auto"/>
      </w:divBdr>
    </w:div>
    <w:div w:id="2141413870">
      <w:bodyDiv w:val="1"/>
      <w:marLeft w:val="0"/>
      <w:marRight w:val="0"/>
      <w:marTop w:val="0"/>
      <w:marBottom w:val="0"/>
      <w:divBdr>
        <w:top w:val="none" w:sz="0" w:space="0" w:color="auto"/>
        <w:left w:val="none" w:sz="0" w:space="0" w:color="auto"/>
        <w:bottom w:val="none" w:sz="0" w:space="0" w:color="auto"/>
        <w:right w:val="none" w:sz="0" w:space="0" w:color="auto"/>
      </w:divBdr>
    </w:div>
    <w:div w:id="2142650784">
      <w:bodyDiv w:val="1"/>
      <w:marLeft w:val="0"/>
      <w:marRight w:val="0"/>
      <w:marTop w:val="0"/>
      <w:marBottom w:val="0"/>
      <w:divBdr>
        <w:top w:val="none" w:sz="0" w:space="0" w:color="auto"/>
        <w:left w:val="none" w:sz="0" w:space="0" w:color="auto"/>
        <w:bottom w:val="none" w:sz="0" w:space="0" w:color="auto"/>
        <w:right w:val="none" w:sz="0" w:space="0" w:color="auto"/>
      </w:divBdr>
    </w:div>
    <w:div w:id="2142651779">
      <w:bodyDiv w:val="1"/>
      <w:marLeft w:val="0"/>
      <w:marRight w:val="0"/>
      <w:marTop w:val="0"/>
      <w:marBottom w:val="0"/>
      <w:divBdr>
        <w:top w:val="none" w:sz="0" w:space="0" w:color="auto"/>
        <w:left w:val="none" w:sz="0" w:space="0" w:color="auto"/>
        <w:bottom w:val="none" w:sz="0" w:space="0" w:color="auto"/>
        <w:right w:val="none" w:sz="0" w:space="0" w:color="auto"/>
      </w:divBdr>
    </w:div>
    <w:div w:id="2143648867">
      <w:bodyDiv w:val="1"/>
      <w:marLeft w:val="0"/>
      <w:marRight w:val="0"/>
      <w:marTop w:val="0"/>
      <w:marBottom w:val="0"/>
      <w:divBdr>
        <w:top w:val="none" w:sz="0" w:space="0" w:color="auto"/>
        <w:left w:val="none" w:sz="0" w:space="0" w:color="auto"/>
        <w:bottom w:val="none" w:sz="0" w:space="0" w:color="auto"/>
        <w:right w:val="none" w:sz="0" w:space="0" w:color="auto"/>
      </w:divBdr>
    </w:div>
    <w:div w:id="2145151968">
      <w:bodyDiv w:val="1"/>
      <w:marLeft w:val="0"/>
      <w:marRight w:val="0"/>
      <w:marTop w:val="0"/>
      <w:marBottom w:val="0"/>
      <w:divBdr>
        <w:top w:val="none" w:sz="0" w:space="0" w:color="auto"/>
        <w:left w:val="none" w:sz="0" w:space="0" w:color="auto"/>
        <w:bottom w:val="none" w:sz="0" w:space="0" w:color="auto"/>
        <w:right w:val="none" w:sz="0" w:space="0" w:color="auto"/>
      </w:divBdr>
    </w:div>
    <w:div w:id="2145197249">
      <w:bodyDiv w:val="1"/>
      <w:marLeft w:val="0"/>
      <w:marRight w:val="0"/>
      <w:marTop w:val="0"/>
      <w:marBottom w:val="0"/>
      <w:divBdr>
        <w:top w:val="none" w:sz="0" w:space="0" w:color="auto"/>
        <w:left w:val="none" w:sz="0" w:space="0" w:color="auto"/>
        <w:bottom w:val="none" w:sz="0" w:space="0" w:color="auto"/>
        <w:right w:val="none" w:sz="0" w:space="0" w:color="auto"/>
      </w:divBdr>
    </w:div>
    <w:div w:id="2145847575">
      <w:bodyDiv w:val="1"/>
      <w:marLeft w:val="0"/>
      <w:marRight w:val="0"/>
      <w:marTop w:val="0"/>
      <w:marBottom w:val="0"/>
      <w:divBdr>
        <w:top w:val="none" w:sz="0" w:space="0" w:color="auto"/>
        <w:left w:val="none" w:sz="0" w:space="0" w:color="auto"/>
        <w:bottom w:val="none" w:sz="0" w:space="0" w:color="auto"/>
        <w:right w:val="none" w:sz="0" w:space="0" w:color="auto"/>
      </w:divBdr>
    </w:div>
    <w:div w:id="214604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footer" Target="footer20.xml"/><Relationship Id="rId21" Type="http://schemas.openxmlformats.org/officeDocument/2006/relationships/footer" Target="footer5.xml"/><Relationship Id="rId42" Type="http://schemas.openxmlformats.org/officeDocument/2006/relationships/image" Target="media/image20.png"/><Relationship Id="rId63" Type="http://schemas.openxmlformats.org/officeDocument/2006/relationships/image" Target="media/image33.png"/><Relationship Id="rId84" Type="http://schemas.openxmlformats.org/officeDocument/2006/relationships/footer" Target="footer16.xml"/><Relationship Id="rId138" Type="http://schemas.openxmlformats.org/officeDocument/2006/relationships/image" Target="media/image85.png"/><Relationship Id="rId16" Type="http://schemas.openxmlformats.org/officeDocument/2006/relationships/hyperlink" Target="mailto:copyright@dewr.gov.au" TargetMode="External"/><Relationship Id="rId107" Type="http://schemas.openxmlformats.org/officeDocument/2006/relationships/image" Target="media/image68.png"/><Relationship Id="rId11" Type="http://schemas.openxmlformats.org/officeDocument/2006/relationships/footer" Target="footer3.xml"/><Relationship Id="rId32" Type="http://schemas.openxmlformats.org/officeDocument/2006/relationships/image" Target="media/image10.png"/><Relationship Id="rId37" Type="http://schemas.openxmlformats.org/officeDocument/2006/relationships/image" Target="media/image15.png"/><Relationship Id="rId53" Type="http://schemas.openxmlformats.org/officeDocument/2006/relationships/header" Target="header8.xml"/><Relationship Id="rId58" Type="http://schemas.openxmlformats.org/officeDocument/2006/relationships/image" Target="media/image28.png"/><Relationship Id="rId74" Type="http://schemas.openxmlformats.org/officeDocument/2006/relationships/image" Target="media/image44.png"/><Relationship Id="rId79" Type="http://schemas.openxmlformats.org/officeDocument/2006/relationships/header" Target="header11.xml"/><Relationship Id="rId102" Type="http://schemas.openxmlformats.org/officeDocument/2006/relationships/image" Target="media/image63.png"/><Relationship Id="rId123" Type="http://schemas.openxmlformats.org/officeDocument/2006/relationships/image" Target="media/image75.png"/><Relationship Id="rId128" Type="http://schemas.openxmlformats.org/officeDocument/2006/relationships/footer" Target="footer22.xml"/><Relationship Id="rId5" Type="http://schemas.openxmlformats.org/officeDocument/2006/relationships/webSettings" Target="webSettings.xml"/><Relationship Id="rId90" Type="http://schemas.openxmlformats.org/officeDocument/2006/relationships/image" Target="media/image51.png"/><Relationship Id="rId95" Type="http://schemas.openxmlformats.org/officeDocument/2006/relationships/image" Target="media/image56.png"/><Relationship Id="rId22" Type="http://schemas.openxmlformats.org/officeDocument/2006/relationships/image" Target="media/image5.jpeg"/><Relationship Id="rId27" Type="http://schemas.openxmlformats.org/officeDocument/2006/relationships/footer" Target="footer8.xml"/><Relationship Id="rId43" Type="http://schemas.openxmlformats.org/officeDocument/2006/relationships/image" Target="media/image21.png"/><Relationship Id="rId48" Type="http://schemas.openxmlformats.org/officeDocument/2006/relationships/header" Target="header5.xml"/><Relationship Id="rId64" Type="http://schemas.openxmlformats.org/officeDocument/2006/relationships/image" Target="media/image34.png"/><Relationship Id="rId69" Type="http://schemas.openxmlformats.org/officeDocument/2006/relationships/image" Target="media/image39.png"/><Relationship Id="rId113" Type="http://schemas.openxmlformats.org/officeDocument/2006/relationships/footer" Target="footer18.xml"/><Relationship Id="rId118" Type="http://schemas.openxmlformats.org/officeDocument/2006/relationships/header" Target="header19.xml"/><Relationship Id="rId134" Type="http://schemas.openxmlformats.org/officeDocument/2006/relationships/image" Target="media/image81.png"/><Relationship Id="rId139" Type="http://schemas.openxmlformats.org/officeDocument/2006/relationships/fontTable" Target="fontTable.xml"/><Relationship Id="rId80" Type="http://schemas.openxmlformats.org/officeDocument/2006/relationships/footer" Target="footer14.xml"/><Relationship Id="rId85" Type="http://schemas.openxmlformats.org/officeDocument/2006/relationships/header" Target="header14.xml"/><Relationship Id="rId12" Type="http://schemas.openxmlformats.org/officeDocument/2006/relationships/image" Target="media/image2.png"/><Relationship Id="rId17" Type="http://schemas.openxmlformats.org/officeDocument/2006/relationships/image" Target="media/image4.jpeg"/><Relationship Id="rId33" Type="http://schemas.openxmlformats.org/officeDocument/2006/relationships/image" Target="media/image11.png"/><Relationship Id="rId38" Type="http://schemas.openxmlformats.org/officeDocument/2006/relationships/image" Target="media/image16.png"/><Relationship Id="rId59" Type="http://schemas.openxmlformats.org/officeDocument/2006/relationships/image" Target="media/image29.png"/><Relationship Id="rId103" Type="http://schemas.openxmlformats.org/officeDocument/2006/relationships/image" Target="media/image64.png"/><Relationship Id="rId108" Type="http://schemas.openxmlformats.org/officeDocument/2006/relationships/image" Target="media/image69.png"/><Relationship Id="rId124" Type="http://schemas.openxmlformats.org/officeDocument/2006/relationships/image" Target="media/image76.png"/><Relationship Id="rId129" Type="http://schemas.openxmlformats.org/officeDocument/2006/relationships/header" Target="header22.xml"/><Relationship Id="rId54" Type="http://schemas.openxmlformats.org/officeDocument/2006/relationships/footer" Target="footer12.xml"/><Relationship Id="rId70" Type="http://schemas.openxmlformats.org/officeDocument/2006/relationships/image" Target="media/image40.png"/><Relationship Id="rId75" Type="http://schemas.openxmlformats.org/officeDocument/2006/relationships/image" Target="media/image45.png"/><Relationship Id="rId91" Type="http://schemas.openxmlformats.org/officeDocument/2006/relationships/image" Target="media/image52.png"/><Relationship Id="rId96" Type="http://schemas.openxmlformats.org/officeDocument/2006/relationships/image" Target="media/image57.png"/><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6.png"/><Relationship Id="rId28" Type="http://schemas.openxmlformats.org/officeDocument/2006/relationships/header" Target="header4.xml"/><Relationship Id="rId49" Type="http://schemas.openxmlformats.org/officeDocument/2006/relationships/header" Target="header6.xml"/><Relationship Id="rId114" Type="http://schemas.openxmlformats.org/officeDocument/2006/relationships/header" Target="header17.xml"/><Relationship Id="rId119" Type="http://schemas.openxmlformats.org/officeDocument/2006/relationships/footer" Target="footer21.xml"/><Relationship Id="rId44" Type="http://schemas.openxmlformats.org/officeDocument/2006/relationships/image" Target="media/image22.png"/><Relationship Id="rId60" Type="http://schemas.openxmlformats.org/officeDocument/2006/relationships/image" Target="media/image30.png"/><Relationship Id="rId65" Type="http://schemas.openxmlformats.org/officeDocument/2006/relationships/image" Target="media/image35.png"/><Relationship Id="rId81" Type="http://schemas.openxmlformats.org/officeDocument/2006/relationships/header" Target="header12.xml"/><Relationship Id="rId86" Type="http://schemas.openxmlformats.org/officeDocument/2006/relationships/footer" Target="footer17.xml"/><Relationship Id="rId130" Type="http://schemas.openxmlformats.org/officeDocument/2006/relationships/footer" Target="footer23.xml"/><Relationship Id="rId135" Type="http://schemas.openxmlformats.org/officeDocument/2006/relationships/image" Target="media/image82.png"/><Relationship Id="rId13" Type="http://schemas.openxmlformats.org/officeDocument/2006/relationships/image" Target="media/image3.png"/><Relationship Id="rId18" Type="http://schemas.openxmlformats.org/officeDocument/2006/relationships/header" Target="header1.xml"/><Relationship Id="rId39" Type="http://schemas.openxmlformats.org/officeDocument/2006/relationships/image" Target="media/image17.png"/><Relationship Id="rId109" Type="http://schemas.openxmlformats.org/officeDocument/2006/relationships/image" Target="media/image70.png"/><Relationship Id="rId34" Type="http://schemas.openxmlformats.org/officeDocument/2006/relationships/image" Target="media/image12.png"/><Relationship Id="rId50" Type="http://schemas.openxmlformats.org/officeDocument/2006/relationships/footer" Target="footer10.xml"/><Relationship Id="rId55" Type="http://schemas.openxmlformats.org/officeDocument/2006/relationships/footer" Target="footer13.xml"/><Relationship Id="rId76" Type="http://schemas.openxmlformats.org/officeDocument/2006/relationships/image" Target="media/image46.png"/><Relationship Id="rId97" Type="http://schemas.openxmlformats.org/officeDocument/2006/relationships/image" Target="media/image58.png"/><Relationship Id="rId104" Type="http://schemas.openxmlformats.org/officeDocument/2006/relationships/image" Target="media/image65.png"/><Relationship Id="rId120" Type="http://schemas.openxmlformats.org/officeDocument/2006/relationships/image" Target="media/image72.png"/><Relationship Id="rId125" Type="http://schemas.openxmlformats.org/officeDocument/2006/relationships/image" Target="media/image77.png"/><Relationship Id="rId7" Type="http://schemas.openxmlformats.org/officeDocument/2006/relationships/endnotes" Target="endnotes.xml"/><Relationship Id="rId71" Type="http://schemas.openxmlformats.org/officeDocument/2006/relationships/image" Target="media/image41.png"/><Relationship Id="rId92" Type="http://schemas.openxmlformats.org/officeDocument/2006/relationships/image" Target="media/image53.png"/><Relationship Id="rId2" Type="http://schemas.openxmlformats.org/officeDocument/2006/relationships/numbering" Target="numbering.xml"/><Relationship Id="rId29" Type="http://schemas.openxmlformats.org/officeDocument/2006/relationships/footer" Target="footer9.xml"/><Relationship Id="rId24" Type="http://schemas.openxmlformats.org/officeDocument/2006/relationships/footer" Target="footer6.xml"/><Relationship Id="rId40" Type="http://schemas.openxmlformats.org/officeDocument/2006/relationships/image" Target="media/image18.png"/><Relationship Id="rId45" Type="http://schemas.openxmlformats.org/officeDocument/2006/relationships/image" Target="media/image23.png"/><Relationship Id="rId66" Type="http://schemas.openxmlformats.org/officeDocument/2006/relationships/image" Target="media/image36.png"/><Relationship Id="rId87" Type="http://schemas.openxmlformats.org/officeDocument/2006/relationships/image" Target="media/image48.png"/><Relationship Id="rId110" Type="http://schemas.openxmlformats.org/officeDocument/2006/relationships/image" Target="media/image71.png"/><Relationship Id="rId115" Type="http://schemas.openxmlformats.org/officeDocument/2006/relationships/header" Target="header18.xml"/><Relationship Id="rId131" Type="http://schemas.openxmlformats.org/officeDocument/2006/relationships/image" Target="media/image78.png"/><Relationship Id="rId136" Type="http://schemas.openxmlformats.org/officeDocument/2006/relationships/image" Target="media/image83.png"/><Relationship Id="rId61" Type="http://schemas.openxmlformats.org/officeDocument/2006/relationships/image" Target="media/image31.png"/><Relationship Id="rId82" Type="http://schemas.openxmlformats.org/officeDocument/2006/relationships/header" Target="header13.xml"/><Relationship Id="rId19" Type="http://schemas.openxmlformats.org/officeDocument/2006/relationships/header" Target="header2.xml"/><Relationship Id="rId14" Type="http://schemas.openxmlformats.org/officeDocument/2006/relationships/hyperlink" Target="https://creativecommons.org/" TargetMode="External"/><Relationship Id="rId30" Type="http://schemas.openxmlformats.org/officeDocument/2006/relationships/image" Target="media/image8.png"/><Relationship Id="rId35" Type="http://schemas.openxmlformats.org/officeDocument/2006/relationships/image" Target="media/image13.png"/><Relationship Id="rId56" Type="http://schemas.openxmlformats.org/officeDocument/2006/relationships/image" Target="media/image26.png"/><Relationship Id="rId77" Type="http://schemas.openxmlformats.org/officeDocument/2006/relationships/header" Target="header9.xml"/><Relationship Id="rId100" Type="http://schemas.openxmlformats.org/officeDocument/2006/relationships/image" Target="media/image61.png"/><Relationship Id="rId105" Type="http://schemas.openxmlformats.org/officeDocument/2006/relationships/image" Target="media/image66.png"/><Relationship Id="rId126" Type="http://schemas.openxmlformats.org/officeDocument/2006/relationships/header" Target="header20.xml"/><Relationship Id="rId8" Type="http://schemas.openxmlformats.org/officeDocument/2006/relationships/image" Target="media/image1.jpeg"/><Relationship Id="rId51" Type="http://schemas.openxmlformats.org/officeDocument/2006/relationships/footer" Target="footer11.xml"/><Relationship Id="rId72" Type="http://schemas.openxmlformats.org/officeDocument/2006/relationships/image" Target="media/image42.png"/><Relationship Id="rId93" Type="http://schemas.openxmlformats.org/officeDocument/2006/relationships/image" Target="media/image54.png"/><Relationship Id="rId98" Type="http://schemas.openxmlformats.org/officeDocument/2006/relationships/image" Target="media/image59.png"/><Relationship Id="rId121" Type="http://schemas.openxmlformats.org/officeDocument/2006/relationships/image" Target="media/image73.png"/><Relationship Id="rId3" Type="http://schemas.openxmlformats.org/officeDocument/2006/relationships/styles" Target="styles.xml"/><Relationship Id="rId25" Type="http://schemas.openxmlformats.org/officeDocument/2006/relationships/footer" Target="footer7.xml"/><Relationship Id="rId46" Type="http://schemas.openxmlformats.org/officeDocument/2006/relationships/image" Target="media/image24.png"/><Relationship Id="rId67" Type="http://schemas.openxmlformats.org/officeDocument/2006/relationships/image" Target="media/image37.png"/><Relationship Id="rId116" Type="http://schemas.openxmlformats.org/officeDocument/2006/relationships/footer" Target="footer19.xml"/><Relationship Id="rId137" Type="http://schemas.openxmlformats.org/officeDocument/2006/relationships/image" Target="media/image84.png"/><Relationship Id="rId20" Type="http://schemas.openxmlformats.org/officeDocument/2006/relationships/footer" Target="footer4.xml"/><Relationship Id="rId41" Type="http://schemas.openxmlformats.org/officeDocument/2006/relationships/image" Target="media/image19.png"/><Relationship Id="rId62" Type="http://schemas.openxmlformats.org/officeDocument/2006/relationships/image" Target="media/image32.png"/><Relationship Id="rId83" Type="http://schemas.openxmlformats.org/officeDocument/2006/relationships/footer" Target="footer15.xml"/><Relationship Id="rId88" Type="http://schemas.openxmlformats.org/officeDocument/2006/relationships/image" Target="media/image49.png"/><Relationship Id="rId111" Type="http://schemas.openxmlformats.org/officeDocument/2006/relationships/header" Target="header15.xml"/><Relationship Id="rId132" Type="http://schemas.openxmlformats.org/officeDocument/2006/relationships/image" Target="media/image79.png"/><Relationship Id="rId15" Type="http://schemas.openxmlformats.org/officeDocument/2006/relationships/hyperlink" Target="https://www.pmc.gov.au/" TargetMode="External"/><Relationship Id="rId36" Type="http://schemas.openxmlformats.org/officeDocument/2006/relationships/image" Target="media/image14.png"/><Relationship Id="rId57" Type="http://schemas.openxmlformats.org/officeDocument/2006/relationships/image" Target="media/image27.png"/><Relationship Id="rId106" Type="http://schemas.openxmlformats.org/officeDocument/2006/relationships/image" Target="media/image67.png"/><Relationship Id="rId127" Type="http://schemas.openxmlformats.org/officeDocument/2006/relationships/header" Target="header21.xml"/><Relationship Id="rId10" Type="http://schemas.openxmlformats.org/officeDocument/2006/relationships/footer" Target="footer2.xml"/><Relationship Id="rId31" Type="http://schemas.openxmlformats.org/officeDocument/2006/relationships/image" Target="media/image9.png"/><Relationship Id="rId52" Type="http://schemas.openxmlformats.org/officeDocument/2006/relationships/header" Target="header7.xml"/><Relationship Id="rId73" Type="http://schemas.openxmlformats.org/officeDocument/2006/relationships/image" Target="media/image43.png"/><Relationship Id="rId78" Type="http://schemas.openxmlformats.org/officeDocument/2006/relationships/header" Target="header10.xml"/><Relationship Id="rId94" Type="http://schemas.openxmlformats.org/officeDocument/2006/relationships/image" Target="media/image55.png"/><Relationship Id="rId99" Type="http://schemas.openxmlformats.org/officeDocument/2006/relationships/image" Target="media/image60.png"/><Relationship Id="rId101" Type="http://schemas.openxmlformats.org/officeDocument/2006/relationships/image" Target="media/image62.png"/><Relationship Id="rId122" Type="http://schemas.openxmlformats.org/officeDocument/2006/relationships/image" Target="media/image74.png"/><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eader" Target="header3.xml"/><Relationship Id="rId47" Type="http://schemas.openxmlformats.org/officeDocument/2006/relationships/image" Target="media/image25.png"/><Relationship Id="rId68" Type="http://schemas.openxmlformats.org/officeDocument/2006/relationships/image" Target="media/image38.png"/><Relationship Id="rId89" Type="http://schemas.openxmlformats.org/officeDocument/2006/relationships/image" Target="media/image50.png"/><Relationship Id="rId112" Type="http://schemas.openxmlformats.org/officeDocument/2006/relationships/header" Target="header16.xml"/><Relationship Id="rId133" Type="http://schemas.openxmlformats.org/officeDocument/2006/relationships/image" Target="media/image80.png"/></Relationships>
</file>

<file path=word/_rels/header12.xml.rels><?xml version="1.0" encoding="UTF-8" standalone="yes"?>
<Relationships xmlns="http://schemas.openxmlformats.org/package/2006/relationships"><Relationship Id="rId1" Type="http://schemas.openxmlformats.org/officeDocument/2006/relationships/image" Target="media/image47.png"/></Relationships>
</file>

<file path=word/_rels/header13.xml.rels><?xml version="1.0" encoding="UTF-8" standalone="yes"?>
<Relationships xmlns="http://schemas.openxmlformats.org/package/2006/relationships"><Relationship Id="rId1" Type="http://schemas.openxmlformats.org/officeDocument/2006/relationships/image" Target="media/image7.png"/></Relationships>
</file>

<file path=word/_rels/header18.xml.rels><?xml version="1.0" encoding="UTF-8" standalone="yes"?>
<Relationships xmlns="http://schemas.openxmlformats.org/package/2006/relationships"><Relationship Id="rId1" Type="http://schemas.openxmlformats.org/officeDocument/2006/relationships/image" Target="media/image7.png"/></Relationships>
</file>

<file path=word/_rels/header19.xml.rels><?xml version="1.0" encoding="UTF-8" standalone="yes"?>
<Relationships xmlns="http://schemas.openxmlformats.org/package/2006/relationships"><Relationship Id="rId1" Type="http://schemas.openxmlformats.org/officeDocument/2006/relationships/image" Target="media/image47.png"/></Relationships>
</file>

<file path=word/_rels/header22.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_rels/header8.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New JSA purple fix">
      <a:dk1>
        <a:sysClr val="windowText" lastClr="000000"/>
      </a:dk1>
      <a:lt1>
        <a:sysClr val="window" lastClr="FFFFFF"/>
      </a:lt1>
      <a:dk2>
        <a:srgbClr val="4B0885"/>
      </a:dk2>
      <a:lt2>
        <a:srgbClr val="D2DE5A"/>
      </a:lt2>
      <a:accent1>
        <a:srgbClr val="6929C4"/>
      </a:accent1>
      <a:accent2>
        <a:srgbClr val="009D9A"/>
      </a:accent2>
      <a:accent3>
        <a:srgbClr val="012749"/>
      </a:accent3>
      <a:accent4>
        <a:srgbClr val="EE538B"/>
      </a:accent4>
      <a:accent5>
        <a:srgbClr val="1192E8"/>
      </a:accent5>
      <a:accent6>
        <a:srgbClr val="9F1853"/>
      </a:accent6>
      <a:hlink>
        <a:srgbClr val="013D74"/>
      </a:hlink>
      <a:folHlink>
        <a:srgbClr val="4B08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Aus23</b:Tag>
    <b:SourceType>Report</b:SourceType>
    <b:Guid>{AE8D0F07-5010-4D00-9A2D-E49D740C63DB}</b:Guid>
    <b:Author>
      <b:Author>
        <b:NameList>
          <b:Person>
            <b:Last>Commonwealth of Australia</b:Last>
          </b:Person>
        </b:NameList>
      </b:Author>
    </b:Author>
    <b:Title>Working Future: the Australian Government's White Paper on Jobs and Opportunities</b:Title>
    <b:Year>2023a</b:Year>
    <b:Publisher>Commonwealth of Australia</b:Publisher>
    <b:City>Canberra</b:City>
    <b:URL>https://treasury.gov.au/sites/default/files/2023-10/p2023-447996-working-future.pdf</b:URL>
    <b:RefOrder>1</b:RefOrder>
  </b:Source>
  <b:Source>
    <b:Tag>Nat20</b:Tag>
    <b:SourceType>JournalArticle</b:SourceType>
    <b:Guid>{D6040A6C-BA42-4276-87F5-7131BAA47655}</b:Guid>
    <b:Title>Long-term Unemployment in Australia</b:Title>
    <b:Year>2020</b:Year>
    <b:Publisher>Reserve Bank of Australia</b:Publisher>
    <b:Author>
      <b:Author>
        <b:NameList>
          <b:Person>
            <b:Last>Cassidy</b:Last>
            <b:First>Natasha</b:First>
          </b:Person>
          <b:Person>
            <b:Last>Chan</b:Last>
            <b:First>Iris</b:First>
          </b:Person>
          <b:Person>
            <b:Last>Gao</b:Last>
            <b:First>Amelia</b:First>
          </b:Person>
          <b:Person>
            <b:Last>Penrose</b:Last>
            <b:First>Gabrielle</b:First>
          </b:Person>
        </b:NameList>
      </b:Author>
    </b:Author>
    <b:Month>December</b:Month>
    <b:URL>https://www.rba.gov.au/publications/bulletin/2020/dec/pdf/long-term-unemployment-in-australia.pdf</b:URL>
    <b:YearAccessed>2024</b:YearAccessed>
    <b:JournalName>Reserve Bank of Australia December 2020 Bulletin</b:JournalName>
    <b:RefOrder>3</b:RefOrder>
  </b:Source>
  <b:Source>
    <b:Tag>Aus</b:Tag>
    <b:SourceType>InternetSite</b:SourceType>
    <b:Guid>{9A93A810-4DC8-4C1C-B1A0-210A2E8746DF}</b:Guid>
    <b:Title>A new way of working together: Closing the Gap</b:Title>
    <b:Author>
      <b:Author>
        <b:Corporate>Commonwealth of Australia, Department of the Prime Minister and Cabinet</b:Corporate>
      </b:Author>
    </b:Author>
    <b:URL>https://www.closingthegap.gov.au/</b:URL>
    <b:Year>2024a</b:Year>
    <b:Publisher>Department of the Prime Minister and Cabinet</b:Publisher>
    <b:City>Canberra</b:City>
    <b:RefOrder>5</b:RefOrder>
  </b:Source>
  <b:Source>
    <b:Tag>Com23</b:Tag>
    <b:SourceType>Report</b:SourceType>
    <b:Guid>{761DC1AF-045D-4DC3-8126-08B63CDBC248}</b:Guid>
    <b:Author>
      <b:Author>
        <b:NameList>
          <b:Person>
            <b:Last>Productivity Commission</b:Last>
          </b:Person>
        </b:NameList>
      </b:Author>
    </b:Author>
    <b:Title>Closing the Gap Annual Data Compilation Report July 2023</b:Title>
    <b:Year>2023</b:Year>
    <b:URL>https://www.pc.gov.au/closing-the-gap-data/annual-data-report/2023/closing-the-gap-annual-data-compilation-july2023.pdf</b:URL>
    <b:Publisher>Productivity Commission</b:Publisher>
    <b:RefOrder>6</b:RefOrder>
  </b:Source>
  <b:Source>
    <b:Tag>Bre08</b:Tag>
    <b:SourceType>JournalArticle</b:SourceType>
    <b:Guid>{CB5503C4-3C17-41F2-AE0A-EE70100B4873}</b:Guid>
    <b:Author>
      <b:Author>
        <b:NameList>
          <b:Person>
            <b:Last>Brereton</b:Last>
            <b:First>D</b:First>
          </b:Person>
          <b:Person>
            <b:Last>Parmenter</b:Last>
            <b:First>J</b:First>
          </b:Person>
        </b:NameList>
      </b:Author>
    </b:Author>
    <b:Title>Indigenous Employment in the Australian Mining Industry</b:Title>
    <b:Year>2008</b:Year>
    <b:JournalName>Journal of Energy &amp; Natural Resources Law</b:JournalName>
    <b:Pages>66-90</b:Pages>
    <b:Volume>26</b:Volume>
    <b:Issue>1</b:Issue>
    <b:YearAccessed>2023</b:YearAccessed>
    <b:MonthAccessed>September</b:MonthAccessed>
    <b:DOI>doi:10.1080/02646811.2008.11435178</b:DOI>
    <b:RefOrder>9</b:RefOrder>
  </b:Source>
  <b:Source>
    <b:Tag>Com3b</b:Tag>
    <b:SourceType>Report</b:SourceType>
    <b:Guid>{669763AE-74F7-4DBF-B8AD-1472A3B00C78}</b:Guid>
    <b:Author>
      <b:Author>
        <b:Corporate>Commonwealth of Australia, Australian Competition and Consumer Commission</b:Corporate>
      </b:Author>
    </b:Author>
    <b:Title>Childcare Inquiry Roundtable Summary: First Nations. Virtual Roundtable.</b:Title>
    <b:Year>2023b</b:Year>
    <b:Publisher>Commonwealth of Australia</b:Publisher>
    <b:City>Canberra</b:City>
    <b:URL>https://www.accc.gov.au/system/files/Childcare%20Inquiry%20Roundtable%20Summary%20- %20First%20Nations%20Virtual.pdf </b:URL>
    <b:RefOrder>10</b:RefOrder>
  </b:Source>
  <b:Source>
    <b:Tag>Aus17</b:Tag>
    <b:SourceType>InternetSite</b:SourceType>
    <b:Guid>{BB6F47C4-1E6E-4F6A-89BB-7ED48096F37A}</b:Guid>
    <b:Title>Fathers and Parental Leave</b:Title>
    <b:Year>2017</b:Year>
    <b:Author>
      <b:Author>
        <b:NameList>
          <b:Person>
            <b:Last>Australian Institute of Family Studies</b:Last>
          </b:Person>
        </b:NameList>
      </b:Author>
    </b:Author>
    <b:URL>https://aifs.gov.au/resources/short-articles/fathers-and-parental-leave#footnote-001</b:URL>
    <b:YearAccessed>2024</b:YearAccessed>
    <b:MonthAccessed>September </b:MonthAccessed>
    <b:DayAccessed>6</b:DayAccessed>
    <b:RefOrder>13</b:RefOrder>
  </b:Source>
  <b:Source>
    <b:Tag>Com241</b:Tag>
    <b:SourceType>Report</b:SourceType>
    <b:Guid>{A368BD95-D6F9-4203-8D5D-4C3028EC5713}</b:Guid>
    <b:Author>
      <b:Author>
        <b:Corporate>Commonwealth of Australia, Department of the Prime Minister and Cabinet</b:Corporate>
      </b:Author>
    </b:Author>
    <b:Title>Working for Women: A Strategy for Gender Equality</b:Title>
    <b:Year>2024b</b:Year>
    <b:URL>https://genderequality.gov.au/sites/default/files/2024-03/working-for-women-a-strategy-for-gender-equality.pdf</b:URL>
    <b:Publisher>Department of the Prime Minister and Cabinet</b:Publisher>
    <b:City>Canberra</b:City>
    <b:RefOrder>12</b:RefOrder>
  </b:Source>
  <b:Source>
    <b:Tag>ACT12</b:Tag>
    <b:SourceType>Report</b:SourceType>
    <b:Guid>{4F5C656D-02A1-464F-89EC-507C87A58EF4}</b:Guid>
    <b:Title>Lives on hold: unlocking the potential of Australia's workforce. The report of the independent inquiry into insecure work in Australia.</b:Title>
    <b:Year>2012</b:Year>
    <b:URL>https://www.actu.org.au/wp-content/uploads/2023/06/media609158lives-on-hold-final.pdf</b:URL>
    <b:Author>
      <b:Author>
        <b:Corporate>ACTU</b:Corporate>
      </b:Author>
    </b:Author>
    <b:Publisher>ACTU</b:Publisher>
    <b:RefOrder>14</b:RefOrder>
  </b:Source>
  <b:Source>
    <b:Tag>Com22</b:Tag>
    <b:SourceType>Report</b:SourceType>
    <b:Guid>{15308E8D-5F63-4838-A203-2F2674969AC3}</b:Guid>
    <b:Author>
      <b:Author>
        <b:Corporate>Commonwealth of Australia</b:Corporate>
      </b:Author>
    </b:Author>
    <b:Title>The Senate Select Committee on Job Security - The job insecurity report</b:Title>
    <b:Year>2022</b:Year>
    <b:Publisher>Senate Printing Unit</b:Publisher>
    <b:City>Canberra</b:City>
    <b:URL>https://parlinfo.aph.gov.au/parlInfo/download/committees/reportsen/024780/toc_pdf/Thejobinsecurityreport.pdf;fileType=application%2Fpdf</b:URL>
    <b:RefOrder>15</b:RefOrder>
  </b:Source>
  <b:Source>
    <b:Tag>Com231</b:Tag>
    <b:SourceType>Report</b:SourceType>
    <b:Guid>{2174EE93-7A72-4E66-ACD4-E9089B4ADF7E}</b:Guid>
    <b:Author>
      <b:Author>
        <b:Corporate>Commonwealth of Australia</b:Corporate>
      </b:Author>
    </b:Author>
    <b:Title>Review of the Migration System 2023</b:Title>
    <b:Year>2023b</b:Year>
    <b:Publisher>Commonwealth of Australia</b:Publisher>
    <b:City>Canberra</b:City>
    <b:URL>https://www.homeaffairs.gov.au/reports-and-pubs/files/review-migration-system-final-report.pdf</b:URL>
    <b:RefOrder>17</b:RefOrder>
  </b:Source>
  <b:Source>
    <b:Tag>Com4b</b:Tag>
    <b:SourceType>InternetSite</b:SourceType>
    <b:Guid>{4DD8C5DA-A32D-4312-BBF1-B0E2844C5B98}</b:Guid>
    <b:Title>Education export income - Calendar Year</b:Title>
    <b:Year>2024</b:Year>
    <b:URL>https://www.education.gov.au/international-education-data-and-research/education-export-income-calendar-year</b:URL>
    <b:Author>
      <b:Author>
        <b:Corporate>Commonwealth of Australia, Department of Education</b:Corporate>
      </b:Author>
    </b:Author>
    <b:RefOrder>18</b:RefOrder>
  </b:Source>
  <b:Source>
    <b:Tag>OEC16</b:Tag>
    <b:SourceType>JournalArticle</b:SourceType>
    <b:Guid>{84A26F91-8B8D-4D4E-BE04-5586841C4E9F}</b:Guid>
    <b:Author>
      <b:Author>
        <b:Corporate>OECD</b:Corporate>
      </b:Author>
    </b:Author>
    <b:Title>How are health and life satisfaction related to education?</b:Title>
    <b:Year>2016</b:Year>
    <b:Month>December</b:Month>
    <b:URL>https://www.oecd.org/en/publications/how-are-health-and-life-satisfaction-related-to-education_6b8ca4c5-en.html</b:URL>
    <b:JournalName>Education indicators in focus</b:JournalName>
    <b:Issue>47</b:Issue>
    <b:RefOrder>19</b:RefOrder>
  </b:Source>
  <b:Source>
    <b:Tag>OEC171</b:Tag>
    <b:SourceType>Report</b:SourceType>
    <b:Guid>{55D55D53-5CFD-4B70-94B4-0F6FA9A2AB7B}</b:Guid>
    <b:Author>
      <b:Author>
        <b:Corporate>OECD</b:Corporate>
      </b:Author>
    </b:Author>
    <b:Title>Building Skills for All in Australia: Policy Insights from the Survey of Adult Skills</b:Title>
    <b:Year>2017</b:Year>
    <b:Publisher>OECD Skills Studies, OECD Publishing</b:Publisher>
    <b:City>Paris</b:City>
    <b:DOI>https://doi.org/10.1787/9789264281110-en</b:DOI>
    <b:RefOrder>2</b:RefOrder>
  </b:Source>
  <b:Source>
    <b:Tag>Ric07</b:Tag>
    <b:SourceType>Report</b:SourceType>
    <b:Guid>{207930E8-4483-456C-89B1-B065A702A55C}</b:Guid>
    <b:Author>
      <b:Author>
        <b:NameList>
          <b:Person>
            <b:Last>Richardson</b:Last>
            <b:First>S</b:First>
          </b:Person>
        </b:NameList>
      </b:Author>
    </b:Author>
    <b:Title>What is a skill shortage?</b:Title>
    <b:Year>2007</b:Year>
    <b:Publisher>National Institute of Labour Studies - Flinders University - NCVER</b:Publisher>
    <b:URL>https://www.ncver.edu.au/__data/assets/file/0019/7282/what-is-skill-shortage-4022.pdf</b:URL>
    <b:RefOrder>22</b:RefOrder>
  </b:Source>
  <b:Source>
    <b:Tag>Aus1</b:Tag>
    <b:SourceType>InternetSite</b:SourceType>
    <b:Guid>{73D639A2-4FB1-4B81-AB93-2D1E6BB216EA}</b:Guid>
    <b:Title>Culture in construction</b:Title>
    <b:Author>
      <b:Author>
        <b:Corporate>Australian Constructors Association</b:Corporate>
      </b:Author>
    </b:Author>
    <b:URL>https://www.constructors.com.au/advocacy/initiatives/construction-industry-culture-taskforce/</b:URL>
    <b:Year>2024</b:Year>
    <b:RefOrder>25</b:RefOrder>
  </b:Source>
  <b:Source>
    <b:Tag>Aus24</b:Tag>
    <b:SourceType>InternetSite</b:SourceType>
    <b:Guid>{D34F5499-606F-4EAA-AE0E-A5FC3E9320FF}</b:Guid>
    <b:Author>
      <b:Author>
        <b:Corporate>Australian Bureau of Statistics</b:Corporate>
      </b:Author>
    </b:Author>
    <b:Title>Regional population 2022-23</b:Title>
    <b:Year>2024a</b:Year>
    <b:URL>https://www.abs.gov.au/statistics/people/population/regional-population/2022-23</b:URL>
    <b:RefOrder>29</b:RefOrder>
  </b:Source>
  <b:Source>
    <b:Tag>Aus241</b:Tag>
    <b:SourceType>InternetSite</b:SourceType>
    <b:Guid>{EF5013B3-A10F-45D2-921A-51DDFE2E8F6D}</b:Guid>
    <b:Author>
      <b:Author>
        <b:Corporate>Australian Bureau of Statistics</b:Corporate>
      </b:Author>
    </b:Author>
    <b:Title>Labour Force Australia, detailed</b:Title>
    <b:Year>2024b</b:Year>
    <b:Month>August</b:Month>
    <b:URL>https://www.abs.gov.au/statistics/labour/employment-and-unemployment/labour-force-australia-detailed/latest-release</b:URL>
    <b:RefOrder>31</b:RefOrder>
  </b:Source>
  <b:Source>
    <b:Tag>Mic24</b:Tag>
    <b:SourceType>InternetSite</b:SourceType>
    <b:Guid>{D1351197-5C05-494B-B11C-89518FE9FF13}</b:Guid>
    <b:Author>
      <b:Author>
        <b:Corporate>Microsoft</b:Corporate>
      </b:Author>
    </b:Author>
    <b:Title>Training for AI Engineers</b:Title>
    <b:Year>2024</b:Year>
    <b:URL>https://learn.microsoft.com/en-us/training/career-paths/ai-engineer</b:URL>
    <b:RefOrder>32</b:RefOrder>
  </b:Source>
  <b:Source>
    <b:Tag>OEC13</b:Tag>
    <b:SourceType>JournalArticle</b:SourceType>
    <b:Guid>{96EFDB28-37F2-4F42-8CFB-0665682ECC9A}</b:Guid>
    <b:Title>What Are the Social Benefits of Education</b:Title>
    <b:Year>2013</b:Year>
    <b:Publisher>OECD Publishing</b:Publisher>
    <b:Author>
      <b:Author>
        <b:Corporate>OECD</b:Corporate>
      </b:Author>
    </b:Author>
    <b:JournalName>Education Indicators in Focus</b:JournalName>
    <b:Volume>10</b:Volume>
    <b:DOI>https://doi.org/10.1787/5k4ddxnl39vk-en.</b:DOI>
    <b:RefOrder>37</b:RefOrder>
  </b:Source>
  <b:Source>
    <b:Tag>Daw23</b:Tag>
    <b:SourceType>Book</b:SourceType>
    <b:Guid>{3E2534E3-8642-4010-A252-1304715253B8}</b:Guid>
    <b:Title>Rethinking Tertiary Education: Building on the work of Peter Noonan</b:Title>
    <b:Year>2023</b:Year>
    <b:Publisher>Melbourne University Press</b:Publisher>
    <b:City>Melbourne</b:City>
    <b:Author>
      <b:Editor>
        <b:NameList>
          <b:Person>
            <b:Last>Dawkins</b:Last>
            <b:First>P</b:First>
          </b:Person>
          <b:Person>
            <b:Last>Lilly</b:Last>
            <b:First>M</b:First>
          </b:Person>
          <b:Person>
            <b:Last>Pascoe</b:Last>
            <b:First>R</b:First>
          </b:Person>
        </b:NameList>
      </b:Editor>
    </b:Author>
    <b:RefOrder>40</b:RefOrder>
  </b:Source>
  <b:Source>
    <b:Tag>Pol</b:Tag>
    <b:SourceType>Report</b:SourceType>
    <b:Guid>{88E45E40-6C56-4D3E-A21F-65738E3CB58D}</b:Guid>
    <b:Author>
      <b:Author>
        <b:NameList>
          <b:Person>
            <b:Last>Polidano</b:Last>
            <b:First>C</b:First>
          </b:Person>
          <b:Person>
            <b:Last>Rezida</b:Last>
            <b:First>Z</b:First>
          </b:Person>
        </b:NameList>
      </b:Author>
    </b:Author>
    <b:Title>Outcomes from combining work and tertiary study</b:Title>
    <b:Year>2011</b:Year>
    <b:Publisher>NCVER</b:Publisher>
    <b:City>Adelaide</b:City>
    <b:URL>https://www.ncver.edu.au/__data/assets/file/0028/9856/combining-work-and-tertiary-study-2320.pdf</b:URL>
    <b:RefOrder>46</b:RefOrder>
  </b:Source>
  <b:Source>
    <b:Tag>Res24</b:Tag>
    <b:SourceType>Report</b:SourceType>
    <b:Guid>{35EC4CDB-FCFA-4DF1-9725-CF8E314D8F56}</b:Guid>
    <b:Title>Statement on Monetary Policy August 2024</b:Title>
    <b:Year>2024</b:Year>
    <b:Pages>33</b:Pages>
    <b:Author>
      <b:Author>
        <b:Corporate>Reserve Bank of Australia</b:Corporate>
      </b:Author>
    </b:Author>
    <b:Publisher>Reserve Bank of Australia</b:Publisher>
    <b:URL>https://www.rba.gov.au/publications/smp/2024/aug/pdf/statement-on-monetary-policy-2024-08.pdf</b:URL>
    <b:RefOrder>20</b:RefOrder>
  </b:Source>
  <b:Source>
    <b:Tag>Aus21</b:Tag>
    <b:SourceType>InternetSite</b:SourceType>
    <b:Guid>{AE0DBEC1-3013-4DD2-ABBE-C1404A8D3AD4}</b:Guid>
    <b:Title>Statistical Area Level 4 Australian Statistical Geography Standard (ASGS) Edition 3 July 2021 - June 2026</b:Title>
    <b:Year>2021</b:Year>
    <b:Author>
      <b:Author>
        <b:Corporate>Australian Bureau of Statistics</b:Corporate>
      </b:Author>
    </b:Author>
    <b:Month>June</b:Month>
    <b:URL>https://www.abs.gov.au/statistics/standards/australian-statistical-geography-standard-asgs-edition-3/jul2021-jun2026/main-structure-and-greater-capital-city-statistical-areas/statistical-area-level-4</b:URL>
    <b:RefOrder>53</b:RefOrder>
  </b:Source>
  <b:Source>
    <b:Tag>Min24</b:Tag>
    <b:SourceType>Report</b:SourceType>
    <b:Guid>{FADE00DC-F4EB-40E6-9154-266D224F36EA}</b:Guid>
    <b:Author>
      <b:Author>
        <b:Corporate>Mining and Automotive Skills Alliance</b:Corporate>
      </b:Author>
    </b:Author>
    <b:Title>Industry Workforce Plan: Moving ahead together</b:Title>
    <b:Year>2024</b:Year>
    <b:URL>https://ausmasa.org.au/media/5vxngfo2/ausmasa-industry-workforce-plan-2024.pdf</b:URL>
    <b:Publisher>Mining and Automotive Skills Alliance</b:Publisher>
    <b:YearAccessed>2024</b:YearAccessed>
    <b:MonthAccessed>October</b:MonthAccessed>
    <b:RefOrder>26</b:RefOrder>
  </b:Source>
  <b:Source>
    <b:Tag>ATO24</b:Tag>
    <b:SourceType>InternetSite</b:SourceType>
    <b:Guid>{50C66803-B9A7-4972-AB75-A1C616D47BD9}</b:Guid>
    <b:Title>How to report employment and tax information through STP Phase 2</b:Title>
    <b:Author>
      <b:Author>
        <b:Corporate>Australian Taxation Office</b:Corporate>
      </b:Author>
    </b:Author>
    <b:URL>https://www.ato.gov.au/businesses-and-organisations/hiring-and-paying-your-workers/single-touch-payroll/in-detail/single-touch-payroll-phase-2-employer-reporting-guidelines/how-to-report-employment-and-tax-information-through-stp-phase-2</b:URL>
    <b:YearAccessed>2024</b:YearAccessed>
    <b:MonthAccessed>October </b:MonthAccessed>
    <b:DayAccessed>10</b:DayAccessed>
    <b:Year>2024</b:Year>
    <b:RefOrder>16</b:RefOrder>
  </b:Source>
  <b:Source>
    <b:Tag>Vic23</b:Tag>
    <b:SourceType>InternetSite</b:SourceType>
    <b:Guid>{EFEE3B61-7963-4079-A8BA-4C09DF9813E8}</b:Guid>
    <b:Author>
      <b:Author>
        <b:Corporate>Victoria State Government Department of Jobs, Skills, Industry and Regions</b:Corporate>
      </b:Author>
    </b:Author>
    <b:Title>Innovation hub expands Geelong's manufacturing credentials</b:Title>
    <b:Year>2023</b:Year>
    <b:Month>July</b:Month>
    <b:Day>31</b:Day>
    <b:URL>https://djsir.vic.gov.au/news-and-articles/innovation-hub-expands-geelongs-manufacturing-credentials</b:URL>
    <b:RefOrder>28</b:RefOrder>
  </b:Source>
  <b:Source>
    <b:Tag>TAF241</b:Tag>
    <b:SourceType>InternetSite</b:SourceType>
    <b:Guid>{D6E54B05-6AF5-41FF-A89C-D5C7E88EBB89}</b:Guid>
    <b:Author>
      <b:Author>
        <b:Corporate>TAFE SA</b:Corporate>
      </b:Author>
    </b:Author>
    <b:Title>Diploma of IT (Advanced Networking) &amp; (Cloud Engineering)/Bachelor of IT (Networking and Cybersecurity) - UniSA Pathway</b:Title>
    <b:Year>2024</b:Year>
    <b:URL>https://www.tafesa.edu.au/xml/course/aw/aw_DP20020.aspx?Y=2025</b:URL>
    <b:YearAccessed>2024</b:YearAccessed>
    <b:MonthAccessed>October</b:MonthAccessed>
    <b:RefOrder>41</b:RefOrder>
  </b:Source>
  <b:Source>
    <b:Tag>Uni241</b:Tag>
    <b:SourceType>InternetSite</b:SourceType>
    <b:Guid>{F55DEEBC-A0C5-4F72-AFF0-521164301E80}</b:Guid>
    <b:Author>
      <b:Author>
        <b:Corporate>University of South Australia</b:Corporate>
      </b:Author>
    </b:Author>
    <b:Title>Student contributions</b:Title>
    <b:Year>2024</b:Year>
    <b:URL>https://i.unisa.edu.au/campus-central/fees-and-finance/commonwealth-supported-students/student-contributions/</b:URL>
    <b:YearAccessed>2024</b:YearAccessed>
    <b:MonthAccessed>October</b:MonthAccessed>
    <b:RefOrder>42</b:RefOrder>
  </b:Source>
  <b:Source>
    <b:Tag>Boo12</b:Tag>
    <b:SourceType>JournalArticle</b:SourceType>
    <b:Guid>{C46DC4C8-91E9-4225-A606-D10067FB9D5D}</b:Guid>
    <b:Author>
      <b:Author>
        <b:NameList>
          <b:Person>
            <b:Last>Booth</b:Last>
            <b:First>A</b:First>
          </b:Person>
          <b:Person>
            <b:Last>Leigh</b:Last>
            <b:First>A</b:First>
          </b:Person>
          <b:Person>
            <b:Last>Varganova</b:Last>
            <b:First>E</b:First>
          </b:Person>
        </b:NameList>
      </b:Author>
    </b:Author>
    <b:Title>Does ethnic discrimination vary across minority groups? Evidence from a field experiment.</b:Title>
    <b:Year>2012</b:Year>
    <b:Publisher>Blackwell Publishing Ltd</b:Publisher>
    <b:JournalName>Oxford Bulletin of Economics and Statistics</b:JournalName>
    <b:Volume>74</b:Volume>
    <b:Issue>4</b:Issue>
    <b:YearAccessed>2024</b:YearAccessed>
    <b:MonthAccessed>October</b:MonthAccessed>
    <b:URL>http://andrewleigh.org/pdf/AuditDiscrimination.pdf</b:URL>
    <b:DOI>doi: 10.1111/j.1468-0084.2011.00664.x</b:DOI>
    <b:RefOrder>51</b:RefOrder>
  </b:Source>
  <b:Source>
    <b:Tag>Com233</b:Tag>
    <b:SourceType>Report</b:SourceType>
    <b:Guid>{9329AF11-7B06-4192-A91A-F5C3CC76D25F}</b:Guid>
    <b:Title>Migration Strategy: Getting migration working for the nation</b:Title>
    <b:Year>2023</b:Year>
    <b:Author>
      <b:Author>
        <b:Corporate>Commonwealth of Australia, Department of Home Affairs</b:Corporate>
      </b:Author>
    </b:Author>
    <b:Publisher>Commonwealth of Australia</b:Publisher>
    <b:City>Canberra</b:City>
    <b:URL>https://immi.homeaffairs.gov.au/programs-subsite/migration-strategy/Documents/migration-strategy.pdf</b:URL>
    <b:RefOrder>52</b:RefOrder>
  </b:Source>
  <b:Source>
    <b:Tag>Bid07</b:Tag>
    <b:SourceType>JournalArticle</b:SourceType>
    <b:Guid>{9CA33493-B596-4821-B53D-817BD2F516A4}</b:Guid>
    <b:Author>
      <b:Author>
        <b:NameList>
          <b:Person>
            <b:Last>Biddle</b:Last>
            <b:First>N</b:First>
          </b:Person>
        </b:NameList>
      </b:Author>
    </b:Author>
    <b:Title>Indigenous Australians and preschool education. Who is attending?</b:Title>
    <b:Year>2007</b:Year>
    <b:JournalName>Australasian Journal of Early Childhood</b:JournalName>
    <b:Volume>32</b:Volume>
    <b:Issue>3</b:Issue>
    <b:URL>https://journals.sagepub.com/doi/10.1177/183693910703200303</b:URL>
    <b:RefOrder>11</b:RefOrder>
  </b:Source>
  <b:Source>
    <b:Tag>Com211</b:Tag>
    <b:SourceType>Report</b:SourceType>
    <b:Guid>{E547229E-8FEE-42A1-9963-72F4833870D4}</b:Guid>
    <b:Author>
      <b:Author>
        <b:Corporate>Committee for Economic Development of Australia</b:Corporate>
      </b:Author>
    </b:Author>
    <b:Title>A good match: Optimising Australia’s permanent skilled migration</b:Title>
    <b:Year>2021</b:Year>
    <b:URL>https://www.ceda.com.au/Admin/getmedia/150315bf-cceb-4536-862d-1a3054197cd7/CEDA-Migration-report-26-March-2021-final.pdf</b:URL>
    <b:Publisher>CEDA</b:Publisher>
    <b:City>Melbourne</b:City>
    <b:RefOrder>50</b:RefOrder>
  </b:Source>
  <b:Source>
    <b:Tag>Rel24</b:Tag>
    <b:SourceType>Report</b:SourceType>
    <b:Guid>{3368E5BB-C53B-4A60-BDEB-54B1E7864BA7}</b:Guid>
    <b:Author>
      <b:Author>
        <b:Corporate>Australian Government Department of Employment and Workplace Relations</b:Corporate>
      </b:Author>
    </b:Author>
    <b:Title>Strategic Review of the Australian Apprenticeships Incentive System</b:Title>
    <b:Year>2024</b:Year>
    <b:Publisher>Department of Employment and Workplace Relations</b:Publisher>
    <b:City>Canberra</b:City>
    <b:URL>https://www.dewr.gov.au/download/16296/strategic-review-australian-apprenticeships-incentive-system-background-paper/37296/strategic-review-australian-apprenticeships-incentive-system-background-paper/pdf</b:URL>
    <b:RefOrder>47</b:RefOrder>
  </b:Source>
  <b:Source>
    <b:Tag>Taf23</b:Tag>
    <b:SourceType>InternetSite</b:SourceType>
    <b:Guid>{4C0068A1-42E5-4269-8A30-7EA4539CB405}</b:Guid>
    <b:Author>
      <b:Author>
        <b:Corporate>Tafe Directors Australia</b:Corporate>
      </b:Author>
    </b:Author>
    <b:Title>First in family students access university through TAFE NSW</b:Title>
    <b:Year>2023</b:Year>
    <b:URL>https://tda.edu.au/first-in-family-students-access-university-through-tafe-nsw/</b:URL>
    <b:YearAccessed>2024</b:YearAccessed>
    <b:MonthAccessed>September</b:MonthAccessed>
    <b:RefOrder>44</b:RefOrder>
  </b:Source>
  <b:Source>
    <b:Tag>TAF24</b:Tag>
    <b:SourceType>InternetSite</b:SourceType>
    <b:Guid>{76B96B47-672C-4472-B713-9C46379DAFC4}</b:Guid>
    <b:Title>Bachelor of Event and Tourism Management</b:Title>
    <b:Author>
      <b:Author>
        <b:Corporate>TAFE NSW</b:Corporate>
      </b:Author>
    </b:Author>
    <b:URL>https://www.tafensw.edu.au/event-tourism</b:URL>
    <b:YearAccessed>2024</b:YearAccessed>
    <b:MonthAccessed>September</b:MonthAccessed>
    <b:Year>2024</b:Year>
    <b:RefOrder>43</b:RefOrder>
  </b:Source>
  <b:Source>
    <b:Tag>Uni24</b:Tag>
    <b:SourceType>InternetSite</b:SourceType>
    <b:Guid>{38F34F55-5BEE-452A-B9E9-282E6E17BBD1}</b:Guid>
    <b:Author>
      <b:Author>
        <b:Corporate>University of Canberra</b:Corporate>
      </b:Author>
    </b:Author>
    <b:Title>Domestic fees and costs</b:Title>
    <b:URL>https://www.canberra.edu.au/future-students/study-at-uc/fees-and-costs/domestic-fees-and-costs</b:URL>
    <b:YearAccessed>2024</b:YearAccessed>
    <b:MonthAccessed>September</b:MonthAccessed>
    <b:Year>2024</b:Year>
    <b:RefOrder>45</b:RefOrder>
  </b:Source>
  <b:Source>
    <b:Tag>Wor24</b:Tag>
    <b:SourceType>InternetSite</b:SourceType>
    <b:Guid>{8AE5C86D-0481-425D-A8CC-BF0F982600C0}</b:Guid>
    <b:Title>What is the gender pay gap</b:Title>
    <b:Author>
      <b:Author>
        <b:Corporate>Workplace Gender Equality Agency</b:Corporate>
      </b:Author>
    </b:Author>
    <b:URL>https://www.wgea.gov.au/the-gender-pay-gap</b:URL>
    <b:YearAccessed>2024</b:YearAccessed>
    <b:MonthAccessed>October</b:MonthAccessed>
    <b:Year>2024</b:Year>
    <b:RefOrder>54</b:RefOrder>
  </b:Source>
  <b:Source>
    <b:Tag>OEC23</b:Tag>
    <b:SourceType>JournalArticle</b:SourceType>
    <b:Guid>{292904BA-D338-439D-9EEF-FCF64D25A0B2}</b:Guid>
    <b:Author>
      <b:Author>
        <b:Corporate>OECD</b:Corporate>
      </b:Author>
    </b:Author>
    <b:Title>Regional productivity, local labour markets, and migration in Australia</b:Title>
    <b:Year>2023</b:Year>
    <b:Publisher>OECD Publishing</b:Publisher>
    <b:City>Paris</b:City>
    <b:JournalName>OECD Regional Development Papers</b:JournalName>
    <b:Volume>39</b:Volume>
    <b:DOI>https://doi.org/10.1787/3cc8f669-en</b:DOI>
    <b:RefOrder>49</b:RefOrder>
  </b:Source>
  <b:Source>
    <b:Tag>Com24</b:Tag>
    <b:SourceType>Report</b:SourceType>
    <b:Guid>{72ED1CD4-C030-4FC0-A82A-62DA46462770}</b:Guid>
    <b:Title>Budget 2024-25 Budget Paper No. 1: Budget Strategy and Outlook</b:Title>
    <b:Year>2024</b:Year>
    <b:Publisher>Commonwealth of Australia</b:Publisher>
    <b:City>Canberra</b:City>
    <b:Author>
      <b:Author>
        <b:NameList>
          <b:Person>
            <b:Last>Commonwealth of Australia</b:Last>
          </b:Person>
        </b:NameList>
      </b:Author>
    </b:Author>
    <b:URL>https://budget.gov.au/content/bp1/download/bp1_2024-25.pdf</b:URL>
    <b:RefOrder>4</b:RefOrder>
  </b:Source>
  <b:Source>
    <b:Tag>Aus221</b:Tag>
    <b:SourceType>InternetSite</b:SourceType>
    <b:Guid>{483EAD7C-B09C-49C0-9BBB-15F2D7758D4D}</b:Guid>
    <b:Author>
      <b:Author>
        <b:Corporate>Australian Bureau of Statistics</b:Corporate>
      </b:Author>
    </b:Author>
    <b:Title>Conceptual basis of ANZSCO</b:Title>
    <b:Year>2022b</b:Year>
    <b:YearAccessed>2024</b:YearAccessed>
    <b:MonthAccessed>October</b:MonthAccessed>
    <b:URL>https://www.abs.gov.au/statistics/classifications/anzsco-australian-and-new-zealand-standard-classification-occupations/2022/conceptual-basis-anzsco</b:URL>
    <b:RefOrder>55</b:RefOrder>
  </b:Source>
  <b:Source>
    <b:Tag>Aus222</b:Tag>
    <b:SourceType>Report</b:SourceType>
    <b:Guid>{715BC170-2899-4B2A-82F5-AD9C50DEAB45}</b:Guid>
    <b:Author>
      <b:Author>
        <b:Corporate>Australian Bureau of Statistics</b:Corporate>
      </b:Author>
    </b:Author>
    <b:Title>Education and training: Census</b:Title>
    <b:Year>2022a</b:Year>
    <b:Publisher>Australian Bureau of Statistics</b:Publisher>
    <b:City>Canberra</b:City>
    <b:YearAccessed>2024</b:YearAccessed>
    <b:MonthAccessed>October</b:MonthAccessed>
    <b:URL>https://www.abs.gov.au/statistics/people/education/education-and-training-census/2021</b:URL>
    <b:RefOrder>38</b:RefOrder>
  </b:Source>
  <b:Source>
    <b:Tag>Job24</b:Tag>
    <b:SourceType>InternetSite</b:SourceType>
    <b:Guid>{A8E67A8D-F080-43F1-8DBE-D6D10C91D853}</b:Guid>
    <b:Author>
      <b:Author>
        <b:Corporate>Jobs and Skills Australia</b:Corporate>
      </b:Author>
    </b:Author>
    <b:Title>Labour Market Update - March 2024</b:Title>
    <b:Year>2024c</b:Year>
    <b:Month>March</b:Month>
    <b:URL>https://www.jobsandskills.gov.au/publications/labour-market-update-march-2024</b:URL>
    <b:RefOrder>27</b:RefOrder>
  </b:Source>
  <b:Source>
    <b:Tag>Job241</b:Tag>
    <b:SourceType>InternetSite</b:SourceType>
    <b:Guid>{1250C3B9-4683-4824-823B-C105253F0C09}</b:Guid>
    <b:Author>
      <b:Author>
        <b:Corporate>Jobs and Skills Australia</b:Corporate>
      </b:Author>
    </b:Author>
    <b:Title>Nowcast of Employment by Region and Occupation (NERO)</b:Title>
    <b:Year>2024d</b:Year>
    <b:Month>August</b:Month>
    <b:URL>https://www.jobsandskills.gov.au/data/nero</b:URL>
    <b:RefOrder>30</b:RefOrder>
  </b:Source>
  <b:Source>
    <b:Tag>Job4e</b:Tag>
    <b:SourceType>Report</b:SourceType>
    <b:Guid>{A6CE55DC-A2C8-4FB7-BCB0-59D97C2B96EA}</b:Guid>
    <b:Author>
      <b:Author>
        <b:Corporate>Jobs and Skills Australia</b:Corporate>
      </b:Author>
    </b:Author>
    <b:Title>2024 Occupation Shortage List Key Findings and Insights Report</b:Title>
    <b:Year>2024b</b:Year>
    <b:URL>https://www.jobsandskills.gov.au/sites/default/files/2024-10/2024_osl_key_findings_and_insights_report_0.pdf</b:URL>
    <b:Publisher>Jobs and Skills Australia</b:Publisher>
    <b:City>Canberra</b:City>
    <b:RefOrder>21</b:RefOrder>
  </b:Source>
  <b:Source>
    <b:Tag>Com232</b:Tag>
    <b:SourceType>Report</b:SourceType>
    <b:Guid>{B71EC4D6-BB4F-4F31-A575-4D5F226AB1ED}</b:Guid>
    <b:Author>
      <b:Author>
        <b:Corporate>Commonwealth of Australia, Australian Competition and Consumer Commission</b:Corporate>
      </b:Author>
    </b:Author>
    <b:Title>Childcare Inquiry - final report</b:Title>
    <b:Year>2023a</b:Year>
    <b:URL>https://www.accc.gov.au/system/files/ACCC%20Childcare%20Inquiry-final%20report%20December%202023.pdf?ref=0&amp;download=y</b:URL>
    <b:Publisher>Commonwealth of Australia</b:Publisher>
    <b:City>Canberra</b:City>
    <b:RefOrder>33</b:RefOrder>
  </b:Source>
  <b:Source>
    <b:Tag>Win17</b:Tag>
    <b:SourceType>Report</b:SourceType>
    <b:Guid>{587FB364-D1B7-486C-B09C-7FA828E2FCE4}</b:Guid>
    <b:Author>
      <b:Author>
        <b:NameList>
          <b:Person>
            <b:Last>Windley</b:Last>
            <b:First>G</b:First>
          </b:Person>
        </b:NameList>
      </b:Author>
    </b:Author>
    <b:Title>Indigenous VET participation, completion and outcomes: change over the past decade</b:Title>
    <b:Year>2017</b:Year>
    <b:Publisher>NCVER</b:Publisher>
    <b:City>Adelaide</b:City>
    <b:URL>https://www.ncver.edu.au/research-and-statistics/publications/all-publications/indigenous-vet-participation-completion-and-outcomes-change-over-the-past-decade</b:URL>
    <b:RefOrder>48</b:RefOrder>
  </b:Source>
  <b:Source>
    <b:Tag>RMI21</b:Tag>
    <b:SourceType>Report</b:SourceType>
    <b:Guid>{546C9065-E68F-4253-9935-1C2B37A4B1D4}</b:Guid>
    <b:Author>
      <b:Author>
        <b:Corporate>RMIT University</b:Corporate>
      </b:Author>
    </b:Author>
    <b:Title>Triple Wins: Work Hour Cultures for Health, Safety and Gender Equality in Construction</b:Title>
    <b:Year>2021</b:Year>
    <b:Publisher>RMIT University</b:Publisher>
    <b:City>Melbourne</b:City>
    <b:URL>https://www.rmit.edu.au/about/schools-colleges/property-construction-and-project-management/research/research-centres-and-groups/construction-work-health-safety-research/projects/work-hour-cultures-construction</b:URL>
    <b:RefOrder>23</b:RefOrder>
  </b:Source>
  <b:Source>
    <b:Tag>JCCG1</b:Tag>
    <b:SourceType>Report</b:SourceType>
    <b:Guid>{3169C436-013F-45FB-BF3D-51FDEE731C84}</b:Guid>
    <b:Author>
      <b:Author>
        <b:Corporate>Joint Council on Closing the Gap</b:Corporate>
      </b:Author>
    </b:Author>
    <b:Title>Sector Strengthening Plan: Early Childhood Care and Development, National Agreement on Closing the Gap</b:Title>
    <b:Year>2021</b:Year>
    <b:Publisher>Commonwealth of Australia</b:Publisher>
    <b:City>Canberra</b:City>
    <b:URL>https://www.closingthegap.gov.au/sites/default/files/2021-12/sector-strengthening-plan-early-childhood-care-development.pdf</b:URL>
    <b:RefOrder>35</b:RefOrder>
  </b:Source>
  <b:Source>
    <b:Tag>Con23</b:Tag>
    <b:SourceType>Report</b:SourceType>
    <b:Guid>{DDD35355-957B-4B0B-9512-253114C04FF6}</b:Guid>
    <b:Author>
      <b:Author>
        <b:Corporate>Construction Work Health and Safety @ RMIT</b:Corporate>
      </b:Author>
    </b:Author>
    <b:Title>Culture in Construction Pilot Projects: Interim Report</b:Title>
    <b:Year>2023</b:Year>
    <b:Publisher>RMIT University</b:Publisher>
    <b:City>Melbourne</b:City>
    <b:URL>https://www.rmit.edu.au/about/schools-colleges/property-construction-and-project-management/research/research-centres-and-groups/construction-work-health-safety-research/projects/work-hour-cultures-gender-equality</b:URL>
    <b:RefOrder>24</b:RefOrder>
  </b:Source>
  <b:Source>
    <b:Tag>Aus242</b:Tag>
    <b:SourceType>Report</b:SourceType>
    <b:Guid>{E6E0E9DA-DC18-4443-AE5C-E38250C89316}</b:Guid>
    <b:Author>
      <b:Author>
        <b:Corporate>Australian Government</b:Corporate>
      </b:Author>
    </b:Author>
    <b:Title>Australian Universities Accord Final Report</b:Title>
    <b:Year>2024</b:Year>
    <b:Publisher>Department of Education</b:Publisher>
    <b:City>Canberra</b:City>
    <b:URL>https://www.education.gov.au/australian-universities-accord/resources/australian-universities-accord-final-report-summary-report</b:URL>
    <b:RefOrder>39</b:RefOrder>
  </b:Source>
  <b:Source>
    <b:Tag>Pro24</b:Tag>
    <b:SourceType>Report</b:SourceType>
    <b:Guid>{5E90FE17-F1FB-4DEE-895D-542DFA04D8CB}</b:Guid>
    <b:Title>Closing the Gap Annual Data Compilation Report July 2024</b:Title>
    <b:Year>2024a</b:Year>
    <b:Publisher>Productivity Commission</b:Publisher>
    <b:City>Canberra</b:City>
    <b:Author>
      <b:Author>
        <b:NameList>
          <b:Person>
            <b:Last>Productivity Commission</b:Last>
          </b:Person>
        </b:NameList>
      </b:Author>
    </b:Author>
    <b:URL>https://www.pc.gov.au/closing-the-gap-data/annual-data-report</b:URL>
    <b:RefOrder>7</b:RefOrder>
  </b:Source>
  <b:Source>
    <b:Tag>Job23</b:Tag>
    <b:SourceType>Report</b:SourceType>
    <b:Guid>{00D4DD29-BA23-4A3B-BF1B-52D8E666321F}</b:Guid>
    <b:Title>Towards a Regional, Rural and Remote Jobs and Skills Roadmap</b:Title>
    <b:Year>2024a</b:Year>
    <b:Publisher>Jobs and Skills Australia</b:Publisher>
    <b:City>Canberra</b:City>
    <b:Author>
      <b:Author>
        <b:Corporate>Jobs and Skills Australia</b:Corporate>
      </b:Author>
    </b:Author>
    <b:URL>https://www.jobsandskills.gov.au/publications/regional-rural-and-remote-australia-jobs-and-skills-roadmap</b:URL>
    <b:RefOrder>8</b:RefOrder>
  </b:Source>
  <b:Source>
    <b:Tag>Pro241</b:Tag>
    <b:SourceType>Report</b:SourceType>
    <b:Guid>{21079B5B-99D0-43CB-8901-E9E086ABC17A}</b:Guid>
    <b:Author>
      <b:Author>
        <b:Corporate>Productivity Commission</b:Corporate>
      </b:Author>
    </b:Author>
    <b:Title>A path to universal early childhood education and care, Inquiry Report No. 106</b:Title>
    <b:Year>2024b</b:Year>
    <b:Publisher>Productivity Commission</b:Publisher>
    <b:City>Canberra</b:City>
    <b:URL>https://www.pc.gov.au/inquiries/completed/childhood/report</b:URL>
    <b:RefOrder>34</b:RefOrder>
  </b:Source>
  <b:Source>
    <b:Tag>Job242</b:Tag>
    <b:SourceType>Report</b:SourceType>
    <b:Guid>{B869CDD5-5344-44BD-AC0F-5E5BA730B6F3}</b:Guid>
    <b:Author>
      <b:Author>
        <b:Corporate>Jobs and Skills Australia</b:Corporate>
      </b:Author>
    </b:Author>
    <b:Title>The Future of The Early Childhood Education Profession: Early Childhood Education and Care Workforce Capacity Study</b:Title>
    <b:Year>2024e</b:Year>
    <b:Publisher>Jobs and Skills Australia</b:Publisher>
    <b:City>Canberra</b:City>
    <b:URL>https://www.jobsandskills.gov.au/publications/future-early-childhood-education-profession</b:URL>
    <b:RefOrder>36</b:RefOrder>
  </b:Source>
</b:Sources>
</file>

<file path=customXml/itemProps1.xml><?xml version="1.0" encoding="utf-8"?>
<ds:datastoreItem xmlns:ds="http://schemas.openxmlformats.org/officeDocument/2006/customXml" ds:itemID="{F173FBAE-A6AA-4B05-8824-85B7F4D1B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158</Pages>
  <Words>52026</Words>
  <Characters>296553</Characters>
  <Application>Microsoft Office Word</Application>
  <DocSecurity>0</DocSecurity>
  <Lines>2471</Lines>
  <Paragraphs>695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347884</CharactersWithSpaces>
  <SharedDoc>false</SharedDoc>
  <HLinks>
    <vt:vector size="1098" baseType="variant">
      <vt:variant>
        <vt:i4>1703984</vt:i4>
      </vt:variant>
      <vt:variant>
        <vt:i4>1901</vt:i4>
      </vt:variant>
      <vt:variant>
        <vt:i4>0</vt:i4>
      </vt:variant>
      <vt:variant>
        <vt:i4>5</vt:i4>
      </vt:variant>
      <vt:variant>
        <vt:lpwstr/>
      </vt:variant>
      <vt:variant>
        <vt:lpwstr>_Toc181212158</vt:lpwstr>
      </vt:variant>
      <vt:variant>
        <vt:i4>1703984</vt:i4>
      </vt:variant>
      <vt:variant>
        <vt:i4>1895</vt:i4>
      </vt:variant>
      <vt:variant>
        <vt:i4>0</vt:i4>
      </vt:variant>
      <vt:variant>
        <vt:i4>5</vt:i4>
      </vt:variant>
      <vt:variant>
        <vt:lpwstr/>
      </vt:variant>
      <vt:variant>
        <vt:lpwstr>_Toc181212157</vt:lpwstr>
      </vt:variant>
      <vt:variant>
        <vt:i4>1703984</vt:i4>
      </vt:variant>
      <vt:variant>
        <vt:i4>1889</vt:i4>
      </vt:variant>
      <vt:variant>
        <vt:i4>0</vt:i4>
      </vt:variant>
      <vt:variant>
        <vt:i4>5</vt:i4>
      </vt:variant>
      <vt:variant>
        <vt:lpwstr/>
      </vt:variant>
      <vt:variant>
        <vt:lpwstr>_Toc181212156</vt:lpwstr>
      </vt:variant>
      <vt:variant>
        <vt:i4>1703984</vt:i4>
      </vt:variant>
      <vt:variant>
        <vt:i4>1883</vt:i4>
      </vt:variant>
      <vt:variant>
        <vt:i4>0</vt:i4>
      </vt:variant>
      <vt:variant>
        <vt:i4>5</vt:i4>
      </vt:variant>
      <vt:variant>
        <vt:lpwstr/>
      </vt:variant>
      <vt:variant>
        <vt:lpwstr>_Toc181212155</vt:lpwstr>
      </vt:variant>
      <vt:variant>
        <vt:i4>1703984</vt:i4>
      </vt:variant>
      <vt:variant>
        <vt:i4>1877</vt:i4>
      </vt:variant>
      <vt:variant>
        <vt:i4>0</vt:i4>
      </vt:variant>
      <vt:variant>
        <vt:i4>5</vt:i4>
      </vt:variant>
      <vt:variant>
        <vt:lpwstr/>
      </vt:variant>
      <vt:variant>
        <vt:lpwstr>_Toc181212154</vt:lpwstr>
      </vt:variant>
      <vt:variant>
        <vt:i4>1703984</vt:i4>
      </vt:variant>
      <vt:variant>
        <vt:i4>1871</vt:i4>
      </vt:variant>
      <vt:variant>
        <vt:i4>0</vt:i4>
      </vt:variant>
      <vt:variant>
        <vt:i4>5</vt:i4>
      </vt:variant>
      <vt:variant>
        <vt:lpwstr/>
      </vt:variant>
      <vt:variant>
        <vt:lpwstr>_Toc181212153</vt:lpwstr>
      </vt:variant>
      <vt:variant>
        <vt:i4>1703984</vt:i4>
      </vt:variant>
      <vt:variant>
        <vt:i4>1865</vt:i4>
      </vt:variant>
      <vt:variant>
        <vt:i4>0</vt:i4>
      </vt:variant>
      <vt:variant>
        <vt:i4>5</vt:i4>
      </vt:variant>
      <vt:variant>
        <vt:lpwstr/>
      </vt:variant>
      <vt:variant>
        <vt:lpwstr>_Toc181212152</vt:lpwstr>
      </vt:variant>
      <vt:variant>
        <vt:i4>1703984</vt:i4>
      </vt:variant>
      <vt:variant>
        <vt:i4>1859</vt:i4>
      </vt:variant>
      <vt:variant>
        <vt:i4>0</vt:i4>
      </vt:variant>
      <vt:variant>
        <vt:i4>5</vt:i4>
      </vt:variant>
      <vt:variant>
        <vt:lpwstr/>
      </vt:variant>
      <vt:variant>
        <vt:lpwstr>_Toc181212151</vt:lpwstr>
      </vt:variant>
      <vt:variant>
        <vt:i4>1703984</vt:i4>
      </vt:variant>
      <vt:variant>
        <vt:i4>1853</vt:i4>
      </vt:variant>
      <vt:variant>
        <vt:i4>0</vt:i4>
      </vt:variant>
      <vt:variant>
        <vt:i4>5</vt:i4>
      </vt:variant>
      <vt:variant>
        <vt:lpwstr/>
      </vt:variant>
      <vt:variant>
        <vt:lpwstr>_Toc181212150</vt:lpwstr>
      </vt:variant>
      <vt:variant>
        <vt:i4>1769520</vt:i4>
      </vt:variant>
      <vt:variant>
        <vt:i4>1847</vt:i4>
      </vt:variant>
      <vt:variant>
        <vt:i4>0</vt:i4>
      </vt:variant>
      <vt:variant>
        <vt:i4>5</vt:i4>
      </vt:variant>
      <vt:variant>
        <vt:lpwstr/>
      </vt:variant>
      <vt:variant>
        <vt:lpwstr>_Toc181212149</vt:lpwstr>
      </vt:variant>
      <vt:variant>
        <vt:i4>1769520</vt:i4>
      </vt:variant>
      <vt:variant>
        <vt:i4>1841</vt:i4>
      </vt:variant>
      <vt:variant>
        <vt:i4>0</vt:i4>
      </vt:variant>
      <vt:variant>
        <vt:i4>5</vt:i4>
      </vt:variant>
      <vt:variant>
        <vt:lpwstr/>
      </vt:variant>
      <vt:variant>
        <vt:lpwstr>_Toc181212148</vt:lpwstr>
      </vt:variant>
      <vt:variant>
        <vt:i4>1769520</vt:i4>
      </vt:variant>
      <vt:variant>
        <vt:i4>1835</vt:i4>
      </vt:variant>
      <vt:variant>
        <vt:i4>0</vt:i4>
      </vt:variant>
      <vt:variant>
        <vt:i4>5</vt:i4>
      </vt:variant>
      <vt:variant>
        <vt:lpwstr/>
      </vt:variant>
      <vt:variant>
        <vt:lpwstr>_Toc181212147</vt:lpwstr>
      </vt:variant>
      <vt:variant>
        <vt:i4>1769520</vt:i4>
      </vt:variant>
      <vt:variant>
        <vt:i4>1829</vt:i4>
      </vt:variant>
      <vt:variant>
        <vt:i4>0</vt:i4>
      </vt:variant>
      <vt:variant>
        <vt:i4>5</vt:i4>
      </vt:variant>
      <vt:variant>
        <vt:lpwstr/>
      </vt:variant>
      <vt:variant>
        <vt:lpwstr>_Toc181212146</vt:lpwstr>
      </vt:variant>
      <vt:variant>
        <vt:i4>1769520</vt:i4>
      </vt:variant>
      <vt:variant>
        <vt:i4>1823</vt:i4>
      </vt:variant>
      <vt:variant>
        <vt:i4>0</vt:i4>
      </vt:variant>
      <vt:variant>
        <vt:i4>5</vt:i4>
      </vt:variant>
      <vt:variant>
        <vt:lpwstr/>
      </vt:variant>
      <vt:variant>
        <vt:lpwstr>_Toc181212145</vt:lpwstr>
      </vt:variant>
      <vt:variant>
        <vt:i4>1769520</vt:i4>
      </vt:variant>
      <vt:variant>
        <vt:i4>1817</vt:i4>
      </vt:variant>
      <vt:variant>
        <vt:i4>0</vt:i4>
      </vt:variant>
      <vt:variant>
        <vt:i4>5</vt:i4>
      </vt:variant>
      <vt:variant>
        <vt:lpwstr/>
      </vt:variant>
      <vt:variant>
        <vt:lpwstr>_Toc181212144</vt:lpwstr>
      </vt:variant>
      <vt:variant>
        <vt:i4>1769520</vt:i4>
      </vt:variant>
      <vt:variant>
        <vt:i4>1811</vt:i4>
      </vt:variant>
      <vt:variant>
        <vt:i4>0</vt:i4>
      </vt:variant>
      <vt:variant>
        <vt:i4>5</vt:i4>
      </vt:variant>
      <vt:variant>
        <vt:lpwstr/>
      </vt:variant>
      <vt:variant>
        <vt:lpwstr>_Toc181212143</vt:lpwstr>
      </vt:variant>
      <vt:variant>
        <vt:i4>1769520</vt:i4>
      </vt:variant>
      <vt:variant>
        <vt:i4>1805</vt:i4>
      </vt:variant>
      <vt:variant>
        <vt:i4>0</vt:i4>
      </vt:variant>
      <vt:variant>
        <vt:i4>5</vt:i4>
      </vt:variant>
      <vt:variant>
        <vt:lpwstr/>
      </vt:variant>
      <vt:variant>
        <vt:lpwstr>_Toc181212142</vt:lpwstr>
      </vt:variant>
      <vt:variant>
        <vt:i4>1769520</vt:i4>
      </vt:variant>
      <vt:variant>
        <vt:i4>1799</vt:i4>
      </vt:variant>
      <vt:variant>
        <vt:i4>0</vt:i4>
      </vt:variant>
      <vt:variant>
        <vt:i4>5</vt:i4>
      </vt:variant>
      <vt:variant>
        <vt:lpwstr/>
      </vt:variant>
      <vt:variant>
        <vt:lpwstr>_Toc181212141</vt:lpwstr>
      </vt:variant>
      <vt:variant>
        <vt:i4>1769520</vt:i4>
      </vt:variant>
      <vt:variant>
        <vt:i4>1793</vt:i4>
      </vt:variant>
      <vt:variant>
        <vt:i4>0</vt:i4>
      </vt:variant>
      <vt:variant>
        <vt:i4>5</vt:i4>
      </vt:variant>
      <vt:variant>
        <vt:lpwstr/>
      </vt:variant>
      <vt:variant>
        <vt:lpwstr>_Toc181212140</vt:lpwstr>
      </vt:variant>
      <vt:variant>
        <vt:i4>1835056</vt:i4>
      </vt:variant>
      <vt:variant>
        <vt:i4>1787</vt:i4>
      </vt:variant>
      <vt:variant>
        <vt:i4>0</vt:i4>
      </vt:variant>
      <vt:variant>
        <vt:i4>5</vt:i4>
      </vt:variant>
      <vt:variant>
        <vt:lpwstr/>
      </vt:variant>
      <vt:variant>
        <vt:lpwstr>_Toc181212139</vt:lpwstr>
      </vt:variant>
      <vt:variant>
        <vt:i4>1835056</vt:i4>
      </vt:variant>
      <vt:variant>
        <vt:i4>1781</vt:i4>
      </vt:variant>
      <vt:variant>
        <vt:i4>0</vt:i4>
      </vt:variant>
      <vt:variant>
        <vt:i4>5</vt:i4>
      </vt:variant>
      <vt:variant>
        <vt:lpwstr/>
      </vt:variant>
      <vt:variant>
        <vt:lpwstr>_Toc181212138</vt:lpwstr>
      </vt:variant>
      <vt:variant>
        <vt:i4>1835056</vt:i4>
      </vt:variant>
      <vt:variant>
        <vt:i4>1775</vt:i4>
      </vt:variant>
      <vt:variant>
        <vt:i4>0</vt:i4>
      </vt:variant>
      <vt:variant>
        <vt:i4>5</vt:i4>
      </vt:variant>
      <vt:variant>
        <vt:lpwstr/>
      </vt:variant>
      <vt:variant>
        <vt:lpwstr>_Toc181212137</vt:lpwstr>
      </vt:variant>
      <vt:variant>
        <vt:i4>1835056</vt:i4>
      </vt:variant>
      <vt:variant>
        <vt:i4>1769</vt:i4>
      </vt:variant>
      <vt:variant>
        <vt:i4>0</vt:i4>
      </vt:variant>
      <vt:variant>
        <vt:i4>5</vt:i4>
      </vt:variant>
      <vt:variant>
        <vt:lpwstr/>
      </vt:variant>
      <vt:variant>
        <vt:lpwstr>_Toc181212136</vt:lpwstr>
      </vt:variant>
      <vt:variant>
        <vt:i4>1835056</vt:i4>
      </vt:variant>
      <vt:variant>
        <vt:i4>1763</vt:i4>
      </vt:variant>
      <vt:variant>
        <vt:i4>0</vt:i4>
      </vt:variant>
      <vt:variant>
        <vt:i4>5</vt:i4>
      </vt:variant>
      <vt:variant>
        <vt:lpwstr/>
      </vt:variant>
      <vt:variant>
        <vt:lpwstr>_Toc181212135</vt:lpwstr>
      </vt:variant>
      <vt:variant>
        <vt:i4>1835056</vt:i4>
      </vt:variant>
      <vt:variant>
        <vt:i4>1757</vt:i4>
      </vt:variant>
      <vt:variant>
        <vt:i4>0</vt:i4>
      </vt:variant>
      <vt:variant>
        <vt:i4>5</vt:i4>
      </vt:variant>
      <vt:variant>
        <vt:lpwstr/>
      </vt:variant>
      <vt:variant>
        <vt:lpwstr>_Toc181212134</vt:lpwstr>
      </vt:variant>
      <vt:variant>
        <vt:i4>1835056</vt:i4>
      </vt:variant>
      <vt:variant>
        <vt:i4>1751</vt:i4>
      </vt:variant>
      <vt:variant>
        <vt:i4>0</vt:i4>
      </vt:variant>
      <vt:variant>
        <vt:i4>5</vt:i4>
      </vt:variant>
      <vt:variant>
        <vt:lpwstr/>
      </vt:variant>
      <vt:variant>
        <vt:lpwstr>_Toc181212133</vt:lpwstr>
      </vt:variant>
      <vt:variant>
        <vt:i4>1835056</vt:i4>
      </vt:variant>
      <vt:variant>
        <vt:i4>1745</vt:i4>
      </vt:variant>
      <vt:variant>
        <vt:i4>0</vt:i4>
      </vt:variant>
      <vt:variant>
        <vt:i4>5</vt:i4>
      </vt:variant>
      <vt:variant>
        <vt:lpwstr/>
      </vt:variant>
      <vt:variant>
        <vt:lpwstr>_Toc181212132</vt:lpwstr>
      </vt:variant>
      <vt:variant>
        <vt:i4>1835056</vt:i4>
      </vt:variant>
      <vt:variant>
        <vt:i4>1739</vt:i4>
      </vt:variant>
      <vt:variant>
        <vt:i4>0</vt:i4>
      </vt:variant>
      <vt:variant>
        <vt:i4>5</vt:i4>
      </vt:variant>
      <vt:variant>
        <vt:lpwstr/>
      </vt:variant>
      <vt:variant>
        <vt:lpwstr>_Toc181212131</vt:lpwstr>
      </vt:variant>
      <vt:variant>
        <vt:i4>1835056</vt:i4>
      </vt:variant>
      <vt:variant>
        <vt:i4>1733</vt:i4>
      </vt:variant>
      <vt:variant>
        <vt:i4>0</vt:i4>
      </vt:variant>
      <vt:variant>
        <vt:i4>5</vt:i4>
      </vt:variant>
      <vt:variant>
        <vt:lpwstr/>
      </vt:variant>
      <vt:variant>
        <vt:lpwstr>_Toc181212130</vt:lpwstr>
      </vt:variant>
      <vt:variant>
        <vt:i4>1900592</vt:i4>
      </vt:variant>
      <vt:variant>
        <vt:i4>1727</vt:i4>
      </vt:variant>
      <vt:variant>
        <vt:i4>0</vt:i4>
      </vt:variant>
      <vt:variant>
        <vt:i4>5</vt:i4>
      </vt:variant>
      <vt:variant>
        <vt:lpwstr/>
      </vt:variant>
      <vt:variant>
        <vt:lpwstr>_Toc181212129</vt:lpwstr>
      </vt:variant>
      <vt:variant>
        <vt:i4>1900592</vt:i4>
      </vt:variant>
      <vt:variant>
        <vt:i4>1721</vt:i4>
      </vt:variant>
      <vt:variant>
        <vt:i4>0</vt:i4>
      </vt:variant>
      <vt:variant>
        <vt:i4>5</vt:i4>
      </vt:variant>
      <vt:variant>
        <vt:lpwstr/>
      </vt:variant>
      <vt:variant>
        <vt:lpwstr>_Toc181212128</vt:lpwstr>
      </vt:variant>
      <vt:variant>
        <vt:i4>1900592</vt:i4>
      </vt:variant>
      <vt:variant>
        <vt:i4>1715</vt:i4>
      </vt:variant>
      <vt:variant>
        <vt:i4>0</vt:i4>
      </vt:variant>
      <vt:variant>
        <vt:i4>5</vt:i4>
      </vt:variant>
      <vt:variant>
        <vt:lpwstr/>
      </vt:variant>
      <vt:variant>
        <vt:lpwstr>_Toc181212127</vt:lpwstr>
      </vt:variant>
      <vt:variant>
        <vt:i4>1900592</vt:i4>
      </vt:variant>
      <vt:variant>
        <vt:i4>1709</vt:i4>
      </vt:variant>
      <vt:variant>
        <vt:i4>0</vt:i4>
      </vt:variant>
      <vt:variant>
        <vt:i4>5</vt:i4>
      </vt:variant>
      <vt:variant>
        <vt:lpwstr/>
      </vt:variant>
      <vt:variant>
        <vt:lpwstr>_Toc181212126</vt:lpwstr>
      </vt:variant>
      <vt:variant>
        <vt:i4>1900592</vt:i4>
      </vt:variant>
      <vt:variant>
        <vt:i4>1703</vt:i4>
      </vt:variant>
      <vt:variant>
        <vt:i4>0</vt:i4>
      </vt:variant>
      <vt:variant>
        <vt:i4>5</vt:i4>
      </vt:variant>
      <vt:variant>
        <vt:lpwstr/>
      </vt:variant>
      <vt:variant>
        <vt:lpwstr>_Toc181212125</vt:lpwstr>
      </vt:variant>
      <vt:variant>
        <vt:i4>1900592</vt:i4>
      </vt:variant>
      <vt:variant>
        <vt:i4>1697</vt:i4>
      </vt:variant>
      <vt:variant>
        <vt:i4>0</vt:i4>
      </vt:variant>
      <vt:variant>
        <vt:i4>5</vt:i4>
      </vt:variant>
      <vt:variant>
        <vt:lpwstr/>
      </vt:variant>
      <vt:variant>
        <vt:lpwstr>_Toc181212124</vt:lpwstr>
      </vt:variant>
      <vt:variant>
        <vt:i4>1900592</vt:i4>
      </vt:variant>
      <vt:variant>
        <vt:i4>1691</vt:i4>
      </vt:variant>
      <vt:variant>
        <vt:i4>0</vt:i4>
      </vt:variant>
      <vt:variant>
        <vt:i4>5</vt:i4>
      </vt:variant>
      <vt:variant>
        <vt:lpwstr/>
      </vt:variant>
      <vt:variant>
        <vt:lpwstr>_Toc181212123</vt:lpwstr>
      </vt:variant>
      <vt:variant>
        <vt:i4>1900592</vt:i4>
      </vt:variant>
      <vt:variant>
        <vt:i4>1685</vt:i4>
      </vt:variant>
      <vt:variant>
        <vt:i4>0</vt:i4>
      </vt:variant>
      <vt:variant>
        <vt:i4>5</vt:i4>
      </vt:variant>
      <vt:variant>
        <vt:lpwstr/>
      </vt:variant>
      <vt:variant>
        <vt:lpwstr>_Toc181212122</vt:lpwstr>
      </vt:variant>
      <vt:variant>
        <vt:i4>1900592</vt:i4>
      </vt:variant>
      <vt:variant>
        <vt:i4>1679</vt:i4>
      </vt:variant>
      <vt:variant>
        <vt:i4>0</vt:i4>
      </vt:variant>
      <vt:variant>
        <vt:i4>5</vt:i4>
      </vt:variant>
      <vt:variant>
        <vt:lpwstr/>
      </vt:variant>
      <vt:variant>
        <vt:lpwstr>_Toc181212121</vt:lpwstr>
      </vt:variant>
      <vt:variant>
        <vt:i4>1900592</vt:i4>
      </vt:variant>
      <vt:variant>
        <vt:i4>1673</vt:i4>
      </vt:variant>
      <vt:variant>
        <vt:i4>0</vt:i4>
      </vt:variant>
      <vt:variant>
        <vt:i4>5</vt:i4>
      </vt:variant>
      <vt:variant>
        <vt:lpwstr/>
      </vt:variant>
      <vt:variant>
        <vt:lpwstr>_Toc181212120</vt:lpwstr>
      </vt:variant>
      <vt:variant>
        <vt:i4>1966128</vt:i4>
      </vt:variant>
      <vt:variant>
        <vt:i4>1667</vt:i4>
      </vt:variant>
      <vt:variant>
        <vt:i4>0</vt:i4>
      </vt:variant>
      <vt:variant>
        <vt:i4>5</vt:i4>
      </vt:variant>
      <vt:variant>
        <vt:lpwstr/>
      </vt:variant>
      <vt:variant>
        <vt:lpwstr>_Toc181212119</vt:lpwstr>
      </vt:variant>
      <vt:variant>
        <vt:i4>1966128</vt:i4>
      </vt:variant>
      <vt:variant>
        <vt:i4>1661</vt:i4>
      </vt:variant>
      <vt:variant>
        <vt:i4>0</vt:i4>
      </vt:variant>
      <vt:variant>
        <vt:i4>5</vt:i4>
      </vt:variant>
      <vt:variant>
        <vt:lpwstr/>
      </vt:variant>
      <vt:variant>
        <vt:lpwstr>_Toc181212118</vt:lpwstr>
      </vt:variant>
      <vt:variant>
        <vt:i4>1966128</vt:i4>
      </vt:variant>
      <vt:variant>
        <vt:i4>1655</vt:i4>
      </vt:variant>
      <vt:variant>
        <vt:i4>0</vt:i4>
      </vt:variant>
      <vt:variant>
        <vt:i4>5</vt:i4>
      </vt:variant>
      <vt:variant>
        <vt:lpwstr/>
      </vt:variant>
      <vt:variant>
        <vt:lpwstr>_Toc181212117</vt:lpwstr>
      </vt:variant>
      <vt:variant>
        <vt:i4>1966128</vt:i4>
      </vt:variant>
      <vt:variant>
        <vt:i4>1649</vt:i4>
      </vt:variant>
      <vt:variant>
        <vt:i4>0</vt:i4>
      </vt:variant>
      <vt:variant>
        <vt:i4>5</vt:i4>
      </vt:variant>
      <vt:variant>
        <vt:lpwstr/>
      </vt:variant>
      <vt:variant>
        <vt:lpwstr>_Toc181212116</vt:lpwstr>
      </vt:variant>
      <vt:variant>
        <vt:i4>1966128</vt:i4>
      </vt:variant>
      <vt:variant>
        <vt:i4>1643</vt:i4>
      </vt:variant>
      <vt:variant>
        <vt:i4>0</vt:i4>
      </vt:variant>
      <vt:variant>
        <vt:i4>5</vt:i4>
      </vt:variant>
      <vt:variant>
        <vt:lpwstr/>
      </vt:variant>
      <vt:variant>
        <vt:lpwstr>_Toc181212115</vt:lpwstr>
      </vt:variant>
      <vt:variant>
        <vt:i4>1966128</vt:i4>
      </vt:variant>
      <vt:variant>
        <vt:i4>1637</vt:i4>
      </vt:variant>
      <vt:variant>
        <vt:i4>0</vt:i4>
      </vt:variant>
      <vt:variant>
        <vt:i4>5</vt:i4>
      </vt:variant>
      <vt:variant>
        <vt:lpwstr/>
      </vt:variant>
      <vt:variant>
        <vt:lpwstr>_Toc181212114</vt:lpwstr>
      </vt:variant>
      <vt:variant>
        <vt:i4>1966128</vt:i4>
      </vt:variant>
      <vt:variant>
        <vt:i4>1631</vt:i4>
      </vt:variant>
      <vt:variant>
        <vt:i4>0</vt:i4>
      </vt:variant>
      <vt:variant>
        <vt:i4>5</vt:i4>
      </vt:variant>
      <vt:variant>
        <vt:lpwstr/>
      </vt:variant>
      <vt:variant>
        <vt:lpwstr>_Toc181212113</vt:lpwstr>
      </vt:variant>
      <vt:variant>
        <vt:i4>1966128</vt:i4>
      </vt:variant>
      <vt:variant>
        <vt:i4>1625</vt:i4>
      </vt:variant>
      <vt:variant>
        <vt:i4>0</vt:i4>
      </vt:variant>
      <vt:variant>
        <vt:i4>5</vt:i4>
      </vt:variant>
      <vt:variant>
        <vt:lpwstr/>
      </vt:variant>
      <vt:variant>
        <vt:lpwstr>_Toc181212112</vt:lpwstr>
      </vt:variant>
      <vt:variant>
        <vt:i4>1966128</vt:i4>
      </vt:variant>
      <vt:variant>
        <vt:i4>1619</vt:i4>
      </vt:variant>
      <vt:variant>
        <vt:i4>0</vt:i4>
      </vt:variant>
      <vt:variant>
        <vt:i4>5</vt:i4>
      </vt:variant>
      <vt:variant>
        <vt:lpwstr/>
      </vt:variant>
      <vt:variant>
        <vt:lpwstr>_Toc181212111</vt:lpwstr>
      </vt:variant>
      <vt:variant>
        <vt:i4>1966128</vt:i4>
      </vt:variant>
      <vt:variant>
        <vt:i4>1613</vt:i4>
      </vt:variant>
      <vt:variant>
        <vt:i4>0</vt:i4>
      </vt:variant>
      <vt:variant>
        <vt:i4>5</vt:i4>
      </vt:variant>
      <vt:variant>
        <vt:lpwstr/>
      </vt:variant>
      <vt:variant>
        <vt:lpwstr>_Toc181212110</vt:lpwstr>
      </vt:variant>
      <vt:variant>
        <vt:i4>2031664</vt:i4>
      </vt:variant>
      <vt:variant>
        <vt:i4>1607</vt:i4>
      </vt:variant>
      <vt:variant>
        <vt:i4>0</vt:i4>
      </vt:variant>
      <vt:variant>
        <vt:i4>5</vt:i4>
      </vt:variant>
      <vt:variant>
        <vt:lpwstr/>
      </vt:variant>
      <vt:variant>
        <vt:lpwstr>_Toc181212109</vt:lpwstr>
      </vt:variant>
      <vt:variant>
        <vt:i4>2031664</vt:i4>
      </vt:variant>
      <vt:variant>
        <vt:i4>1601</vt:i4>
      </vt:variant>
      <vt:variant>
        <vt:i4>0</vt:i4>
      </vt:variant>
      <vt:variant>
        <vt:i4>5</vt:i4>
      </vt:variant>
      <vt:variant>
        <vt:lpwstr/>
      </vt:variant>
      <vt:variant>
        <vt:lpwstr>_Toc181212108</vt:lpwstr>
      </vt:variant>
      <vt:variant>
        <vt:i4>2031664</vt:i4>
      </vt:variant>
      <vt:variant>
        <vt:i4>1595</vt:i4>
      </vt:variant>
      <vt:variant>
        <vt:i4>0</vt:i4>
      </vt:variant>
      <vt:variant>
        <vt:i4>5</vt:i4>
      </vt:variant>
      <vt:variant>
        <vt:lpwstr/>
      </vt:variant>
      <vt:variant>
        <vt:lpwstr>_Toc181212107</vt:lpwstr>
      </vt:variant>
      <vt:variant>
        <vt:i4>2031664</vt:i4>
      </vt:variant>
      <vt:variant>
        <vt:i4>1589</vt:i4>
      </vt:variant>
      <vt:variant>
        <vt:i4>0</vt:i4>
      </vt:variant>
      <vt:variant>
        <vt:i4>5</vt:i4>
      </vt:variant>
      <vt:variant>
        <vt:lpwstr/>
      </vt:variant>
      <vt:variant>
        <vt:lpwstr>_Toc181212106</vt:lpwstr>
      </vt:variant>
      <vt:variant>
        <vt:i4>2031664</vt:i4>
      </vt:variant>
      <vt:variant>
        <vt:i4>1583</vt:i4>
      </vt:variant>
      <vt:variant>
        <vt:i4>0</vt:i4>
      </vt:variant>
      <vt:variant>
        <vt:i4>5</vt:i4>
      </vt:variant>
      <vt:variant>
        <vt:lpwstr/>
      </vt:variant>
      <vt:variant>
        <vt:lpwstr>_Toc181212105</vt:lpwstr>
      </vt:variant>
      <vt:variant>
        <vt:i4>2031664</vt:i4>
      </vt:variant>
      <vt:variant>
        <vt:i4>1577</vt:i4>
      </vt:variant>
      <vt:variant>
        <vt:i4>0</vt:i4>
      </vt:variant>
      <vt:variant>
        <vt:i4>5</vt:i4>
      </vt:variant>
      <vt:variant>
        <vt:lpwstr/>
      </vt:variant>
      <vt:variant>
        <vt:lpwstr>_Toc181212104</vt:lpwstr>
      </vt:variant>
      <vt:variant>
        <vt:i4>2031664</vt:i4>
      </vt:variant>
      <vt:variant>
        <vt:i4>1571</vt:i4>
      </vt:variant>
      <vt:variant>
        <vt:i4>0</vt:i4>
      </vt:variant>
      <vt:variant>
        <vt:i4>5</vt:i4>
      </vt:variant>
      <vt:variant>
        <vt:lpwstr/>
      </vt:variant>
      <vt:variant>
        <vt:lpwstr>_Toc181212103</vt:lpwstr>
      </vt:variant>
      <vt:variant>
        <vt:i4>2031664</vt:i4>
      </vt:variant>
      <vt:variant>
        <vt:i4>1565</vt:i4>
      </vt:variant>
      <vt:variant>
        <vt:i4>0</vt:i4>
      </vt:variant>
      <vt:variant>
        <vt:i4>5</vt:i4>
      </vt:variant>
      <vt:variant>
        <vt:lpwstr/>
      </vt:variant>
      <vt:variant>
        <vt:lpwstr>_Toc181212102</vt:lpwstr>
      </vt:variant>
      <vt:variant>
        <vt:i4>2031664</vt:i4>
      </vt:variant>
      <vt:variant>
        <vt:i4>1559</vt:i4>
      </vt:variant>
      <vt:variant>
        <vt:i4>0</vt:i4>
      </vt:variant>
      <vt:variant>
        <vt:i4>5</vt:i4>
      </vt:variant>
      <vt:variant>
        <vt:lpwstr/>
      </vt:variant>
      <vt:variant>
        <vt:lpwstr>_Toc181212101</vt:lpwstr>
      </vt:variant>
      <vt:variant>
        <vt:i4>2031664</vt:i4>
      </vt:variant>
      <vt:variant>
        <vt:i4>1553</vt:i4>
      </vt:variant>
      <vt:variant>
        <vt:i4>0</vt:i4>
      </vt:variant>
      <vt:variant>
        <vt:i4>5</vt:i4>
      </vt:variant>
      <vt:variant>
        <vt:lpwstr/>
      </vt:variant>
      <vt:variant>
        <vt:lpwstr>_Toc181212100</vt:lpwstr>
      </vt:variant>
      <vt:variant>
        <vt:i4>1441841</vt:i4>
      </vt:variant>
      <vt:variant>
        <vt:i4>1547</vt:i4>
      </vt:variant>
      <vt:variant>
        <vt:i4>0</vt:i4>
      </vt:variant>
      <vt:variant>
        <vt:i4>5</vt:i4>
      </vt:variant>
      <vt:variant>
        <vt:lpwstr/>
      </vt:variant>
      <vt:variant>
        <vt:lpwstr>_Toc181212099</vt:lpwstr>
      </vt:variant>
      <vt:variant>
        <vt:i4>1441841</vt:i4>
      </vt:variant>
      <vt:variant>
        <vt:i4>1541</vt:i4>
      </vt:variant>
      <vt:variant>
        <vt:i4>0</vt:i4>
      </vt:variant>
      <vt:variant>
        <vt:i4>5</vt:i4>
      </vt:variant>
      <vt:variant>
        <vt:lpwstr/>
      </vt:variant>
      <vt:variant>
        <vt:lpwstr>_Toc181212098</vt:lpwstr>
      </vt:variant>
      <vt:variant>
        <vt:i4>1441841</vt:i4>
      </vt:variant>
      <vt:variant>
        <vt:i4>1535</vt:i4>
      </vt:variant>
      <vt:variant>
        <vt:i4>0</vt:i4>
      </vt:variant>
      <vt:variant>
        <vt:i4>5</vt:i4>
      </vt:variant>
      <vt:variant>
        <vt:lpwstr/>
      </vt:variant>
      <vt:variant>
        <vt:lpwstr>_Toc181212097</vt:lpwstr>
      </vt:variant>
      <vt:variant>
        <vt:i4>1441841</vt:i4>
      </vt:variant>
      <vt:variant>
        <vt:i4>1529</vt:i4>
      </vt:variant>
      <vt:variant>
        <vt:i4>0</vt:i4>
      </vt:variant>
      <vt:variant>
        <vt:i4>5</vt:i4>
      </vt:variant>
      <vt:variant>
        <vt:lpwstr/>
      </vt:variant>
      <vt:variant>
        <vt:lpwstr>_Toc181212096</vt:lpwstr>
      </vt:variant>
      <vt:variant>
        <vt:i4>1441841</vt:i4>
      </vt:variant>
      <vt:variant>
        <vt:i4>1523</vt:i4>
      </vt:variant>
      <vt:variant>
        <vt:i4>0</vt:i4>
      </vt:variant>
      <vt:variant>
        <vt:i4>5</vt:i4>
      </vt:variant>
      <vt:variant>
        <vt:lpwstr/>
      </vt:variant>
      <vt:variant>
        <vt:lpwstr>_Toc181212095</vt:lpwstr>
      </vt:variant>
      <vt:variant>
        <vt:i4>1441841</vt:i4>
      </vt:variant>
      <vt:variant>
        <vt:i4>1517</vt:i4>
      </vt:variant>
      <vt:variant>
        <vt:i4>0</vt:i4>
      </vt:variant>
      <vt:variant>
        <vt:i4>5</vt:i4>
      </vt:variant>
      <vt:variant>
        <vt:lpwstr/>
      </vt:variant>
      <vt:variant>
        <vt:lpwstr>_Toc181212094</vt:lpwstr>
      </vt:variant>
      <vt:variant>
        <vt:i4>1441841</vt:i4>
      </vt:variant>
      <vt:variant>
        <vt:i4>1511</vt:i4>
      </vt:variant>
      <vt:variant>
        <vt:i4>0</vt:i4>
      </vt:variant>
      <vt:variant>
        <vt:i4>5</vt:i4>
      </vt:variant>
      <vt:variant>
        <vt:lpwstr/>
      </vt:variant>
      <vt:variant>
        <vt:lpwstr>_Toc181212093</vt:lpwstr>
      </vt:variant>
      <vt:variant>
        <vt:i4>1441841</vt:i4>
      </vt:variant>
      <vt:variant>
        <vt:i4>1505</vt:i4>
      </vt:variant>
      <vt:variant>
        <vt:i4>0</vt:i4>
      </vt:variant>
      <vt:variant>
        <vt:i4>5</vt:i4>
      </vt:variant>
      <vt:variant>
        <vt:lpwstr/>
      </vt:variant>
      <vt:variant>
        <vt:lpwstr>_Toc181212092</vt:lpwstr>
      </vt:variant>
      <vt:variant>
        <vt:i4>1441841</vt:i4>
      </vt:variant>
      <vt:variant>
        <vt:i4>1499</vt:i4>
      </vt:variant>
      <vt:variant>
        <vt:i4>0</vt:i4>
      </vt:variant>
      <vt:variant>
        <vt:i4>5</vt:i4>
      </vt:variant>
      <vt:variant>
        <vt:lpwstr/>
      </vt:variant>
      <vt:variant>
        <vt:lpwstr>_Toc181212091</vt:lpwstr>
      </vt:variant>
      <vt:variant>
        <vt:i4>1441841</vt:i4>
      </vt:variant>
      <vt:variant>
        <vt:i4>1493</vt:i4>
      </vt:variant>
      <vt:variant>
        <vt:i4>0</vt:i4>
      </vt:variant>
      <vt:variant>
        <vt:i4>5</vt:i4>
      </vt:variant>
      <vt:variant>
        <vt:lpwstr/>
      </vt:variant>
      <vt:variant>
        <vt:lpwstr>_Toc181212090</vt:lpwstr>
      </vt:variant>
      <vt:variant>
        <vt:i4>1507377</vt:i4>
      </vt:variant>
      <vt:variant>
        <vt:i4>1487</vt:i4>
      </vt:variant>
      <vt:variant>
        <vt:i4>0</vt:i4>
      </vt:variant>
      <vt:variant>
        <vt:i4>5</vt:i4>
      </vt:variant>
      <vt:variant>
        <vt:lpwstr/>
      </vt:variant>
      <vt:variant>
        <vt:lpwstr>_Toc181212089</vt:lpwstr>
      </vt:variant>
      <vt:variant>
        <vt:i4>1507377</vt:i4>
      </vt:variant>
      <vt:variant>
        <vt:i4>1481</vt:i4>
      </vt:variant>
      <vt:variant>
        <vt:i4>0</vt:i4>
      </vt:variant>
      <vt:variant>
        <vt:i4>5</vt:i4>
      </vt:variant>
      <vt:variant>
        <vt:lpwstr/>
      </vt:variant>
      <vt:variant>
        <vt:lpwstr>_Toc181212088</vt:lpwstr>
      </vt:variant>
      <vt:variant>
        <vt:i4>1507377</vt:i4>
      </vt:variant>
      <vt:variant>
        <vt:i4>1475</vt:i4>
      </vt:variant>
      <vt:variant>
        <vt:i4>0</vt:i4>
      </vt:variant>
      <vt:variant>
        <vt:i4>5</vt:i4>
      </vt:variant>
      <vt:variant>
        <vt:lpwstr/>
      </vt:variant>
      <vt:variant>
        <vt:lpwstr>_Toc181212087</vt:lpwstr>
      </vt:variant>
      <vt:variant>
        <vt:i4>1507377</vt:i4>
      </vt:variant>
      <vt:variant>
        <vt:i4>1469</vt:i4>
      </vt:variant>
      <vt:variant>
        <vt:i4>0</vt:i4>
      </vt:variant>
      <vt:variant>
        <vt:i4>5</vt:i4>
      </vt:variant>
      <vt:variant>
        <vt:lpwstr/>
      </vt:variant>
      <vt:variant>
        <vt:lpwstr>_Toc181212086</vt:lpwstr>
      </vt:variant>
      <vt:variant>
        <vt:i4>1507377</vt:i4>
      </vt:variant>
      <vt:variant>
        <vt:i4>1463</vt:i4>
      </vt:variant>
      <vt:variant>
        <vt:i4>0</vt:i4>
      </vt:variant>
      <vt:variant>
        <vt:i4>5</vt:i4>
      </vt:variant>
      <vt:variant>
        <vt:lpwstr/>
      </vt:variant>
      <vt:variant>
        <vt:lpwstr>_Toc181212085</vt:lpwstr>
      </vt:variant>
      <vt:variant>
        <vt:i4>1507377</vt:i4>
      </vt:variant>
      <vt:variant>
        <vt:i4>1457</vt:i4>
      </vt:variant>
      <vt:variant>
        <vt:i4>0</vt:i4>
      </vt:variant>
      <vt:variant>
        <vt:i4>5</vt:i4>
      </vt:variant>
      <vt:variant>
        <vt:lpwstr/>
      </vt:variant>
      <vt:variant>
        <vt:lpwstr>_Toc181212084</vt:lpwstr>
      </vt:variant>
      <vt:variant>
        <vt:i4>1507377</vt:i4>
      </vt:variant>
      <vt:variant>
        <vt:i4>1451</vt:i4>
      </vt:variant>
      <vt:variant>
        <vt:i4>0</vt:i4>
      </vt:variant>
      <vt:variant>
        <vt:i4>5</vt:i4>
      </vt:variant>
      <vt:variant>
        <vt:lpwstr/>
      </vt:variant>
      <vt:variant>
        <vt:lpwstr>_Toc181212083</vt:lpwstr>
      </vt:variant>
      <vt:variant>
        <vt:i4>1638451</vt:i4>
      </vt:variant>
      <vt:variant>
        <vt:i4>638</vt:i4>
      </vt:variant>
      <vt:variant>
        <vt:i4>0</vt:i4>
      </vt:variant>
      <vt:variant>
        <vt:i4>5</vt:i4>
      </vt:variant>
      <vt:variant>
        <vt:lpwstr/>
      </vt:variant>
      <vt:variant>
        <vt:lpwstr>_Toc181212265</vt:lpwstr>
      </vt:variant>
      <vt:variant>
        <vt:i4>1638451</vt:i4>
      </vt:variant>
      <vt:variant>
        <vt:i4>632</vt:i4>
      </vt:variant>
      <vt:variant>
        <vt:i4>0</vt:i4>
      </vt:variant>
      <vt:variant>
        <vt:i4>5</vt:i4>
      </vt:variant>
      <vt:variant>
        <vt:lpwstr/>
      </vt:variant>
      <vt:variant>
        <vt:lpwstr>_Toc181212264</vt:lpwstr>
      </vt:variant>
      <vt:variant>
        <vt:i4>1638451</vt:i4>
      </vt:variant>
      <vt:variant>
        <vt:i4>626</vt:i4>
      </vt:variant>
      <vt:variant>
        <vt:i4>0</vt:i4>
      </vt:variant>
      <vt:variant>
        <vt:i4>5</vt:i4>
      </vt:variant>
      <vt:variant>
        <vt:lpwstr/>
      </vt:variant>
      <vt:variant>
        <vt:lpwstr>_Toc181212263</vt:lpwstr>
      </vt:variant>
      <vt:variant>
        <vt:i4>1638451</vt:i4>
      </vt:variant>
      <vt:variant>
        <vt:i4>620</vt:i4>
      </vt:variant>
      <vt:variant>
        <vt:i4>0</vt:i4>
      </vt:variant>
      <vt:variant>
        <vt:i4>5</vt:i4>
      </vt:variant>
      <vt:variant>
        <vt:lpwstr/>
      </vt:variant>
      <vt:variant>
        <vt:lpwstr>_Toc181212262</vt:lpwstr>
      </vt:variant>
      <vt:variant>
        <vt:i4>1638451</vt:i4>
      </vt:variant>
      <vt:variant>
        <vt:i4>614</vt:i4>
      </vt:variant>
      <vt:variant>
        <vt:i4>0</vt:i4>
      </vt:variant>
      <vt:variant>
        <vt:i4>5</vt:i4>
      </vt:variant>
      <vt:variant>
        <vt:lpwstr/>
      </vt:variant>
      <vt:variant>
        <vt:lpwstr>_Toc181212261</vt:lpwstr>
      </vt:variant>
      <vt:variant>
        <vt:i4>1638451</vt:i4>
      </vt:variant>
      <vt:variant>
        <vt:i4>608</vt:i4>
      </vt:variant>
      <vt:variant>
        <vt:i4>0</vt:i4>
      </vt:variant>
      <vt:variant>
        <vt:i4>5</vt:i4>
      </vt:variant>
      <vt:variant>
        <vt:lpwstr/>
      </vt:variant>
      <vt:variant>
        <vt:lpwstr>_Toc181212260</vt:lpwstr>
      </vt:variant>
      <vt:variant>
        <vt:i4>1703987</vt:i4>
      </vt:variant>
      <vt:variant>
        <vt:i4>602</vt:i4>
      </vt:variant>
      <vt:variant>
        <vt:i4>0</vt:i4>
      </vt:variant>
      <vt:variant>
        <vt:i4>5</vt:i4>
      </vt:variant>
      <vt:variant>
        <vt:lpwstr/>
      </vt:variant>
      <vt:variant>
        <vt:lpwstr>_Toc181212259</vt:lpwstr>
      </vt:variant>
      <vt:variant>
        <vt:i4>1703987</vt:i4>
      </vt:variant>
      <vt:variant>
        <vt:i4>596</vt:i4>
      </vt:variant>
      <vt:variant>
        <vt:i4>0</vt:i4>
      </vt:variant>
      <vt:variant>
        <vt:i4>5</vt:i4>
      </vt:variant>
      <vt:variant>
        <vt:lpwstr/>
      </vt:variant>
      <vt:variant>
        <vt:lpwstr>_Toc181212258</vt:lpwstr>
      </vt:variant>
      <vt:variant>
        <vt:i4>1703987</vt:i4>
      </vt:variant>
      <vt:variant>
        <vt:i4>590</vt:i4>
      </vt:variant>
      <vt:variant>
        <vt:i4>0</vt:i4>
      </vt:variant>
      <vt:variant>
        <vt:i4>5</vt:i4>
      </vt:variant>
      <vt:variant>
        <vt:lpwstr/>
      </vt:variant>
      <vt:variant>
        <vt:lpwstr>_Toc181212257</vt:lpwstr>
      </vt:variant>
      <vt:variant>
        <vt:i4>1703987</vt:i4>
      </vt:variant>
      <vt:variant>
        <vt:i4>584</vt:i4>
      </vt:variant>
      <vt:variant>
        <vt:i4>0</vt:i4>
      </vt:variant>
      <vt:variant>
        <vt:i4>5</vt:i4>
      </vt:variant>
      <vt:variant>
        <vt:lpwstr/>
      </vt:variant>
      <vt:variant>
        <vt:lpwstr>_Toc181212256</vt:lpwstr>
      </vt:variant>
      <vt:variant>
        <vt:i4>1703987</vt:i4>
      </vt:variant>
      <vt:variant>
        <vt:i4>578</vt:i4>
      </vt:variant>
      <vt:variant>
        <vt:i4>0</vt:i4>
      </vt:variant>
      <vt:variant>
        <vt:i4>5</vt:i4>
      </vt:variant>
      <vt:variant>
        <vt:lpwstr/>
      </vt:variant>
      <vt:variant>
        <vt:lpwstr>_Toc181212255</vt:lpwstr>
      </vt:variant>
      <vt:variant>
        <vt:i4>1703987</vt:i4>
      </vt:variant>
      <vt:variant>
        <vt:i4>572</vt:i4>
      </vt:variant>
      <vt:variant>
        <vt:i4>0</vt:i4>
      </vt:variant>
      <vt:variant>
        <vt:i4>5</vt:i4>
      </vt:variant>
      <vt:variant>
        <vt:lpwstr/>
      </vt:variant>
      <vt:variant>
        <vt:lpwstr>_Toc181212254</vt:lpwstr>
      </vt:variant>
      <vt:variant>
        <vt:i4>1703987</vt:i4>
      </vt:variant>
      <vt:variant>
        <vt:i4>566</vt:i4>
      </vt:variant>
      <vt:variant>
        <vt:i4>0</vt:i4>
      </vt:variant>
      <vt:variant>
        <vt:i4>5</vt:i4>
      </vt:variant>
      <vt:variant>
        <vt:lpwstr/>
      </vt:variant>
      <vt:variant>
        <vt:lpwstr>_Toc181212253</vt:lpwstr>
      </vt:variant>
      <vt:variant>
        <vt:i4>1703987</vt:i4>
      </vt:variant>
      <vt:variant>
        <vt:i4>560</vt:i4>
      </vt:variant>
      <vt:variant>
        <vt:i4>0</vt:i4>
      </vt:variant>
      <vt:variant>
        <vt:i4>5</vt:i4>
      </vt:variant>
      <vt:variant>
        <vt:lpwstr/>
      </vt:variant>
      <vt:variant>
        <vt:lpwstr>_Toc181212252</vt:lpwstr>
      </vt:variant>
      <vt:variant>
        <vt:i4>1703987</vt:i4>
      </vt:variant>
      <vt:variant>
        <vt:i4>554</vt:i4>
      </vt:variant>
      <vt:variant>
        <vt:i4>0</vt:i4>
      </vt:variant>
      <vt:variant>
        <vt:i4>5</vt:i4>
      </vt:variant>
      <vt:variant>
        <vt:lpwstr/>
      </vt:variant>
      <vt:variant>
        <vt:lpwstr>_Toc181212251</vt:lpwstr>
      </vt:variant>
      <vt:variant>
        <vt:i4>1703987</vt:i4>
      </vt:variant>
      <vt:variant>
        <vt:i4>548</vt:i4>
      </vt:variant>
      <vt:variant>
        <vt:i4>0</vt:i4>
      </vt:variant>
      <vt:variant>
        <vt:i4>5</vt:i4>
      </vt:variant>
      <vt:variant>
        <vt:lpwstr/>
      </vt:variant>
      <vt:variant>
        <vt:lpwstr>_Toc181212250</vt:lpwstr>
      </vt:variant>
      <vt:variant>
        <vt:i4>1769523</vt:i4>
      </vt:variant>
      <vt:variant>
        <vt:i4>542</vt:i4>
      </vt:variant>
      <vt:variant>
        <vt:i4>0</vt:i4>
      </vt:variant>
      <vt:variant>
        <vt:i4>5</vt:i4>
      </vt:variant>
      <vt:variant>
        <vt:lpwstr/>
      </vt:variant>
      <vt:variant>
        <vt:lpwstr>_Toc181212249</vt:lpwstr>
      </vt:variant>
      <vt:variant>
        <vt:i4>1769523</vt:i4>
      </vt:variant>
      <vt:variant>
        <vt:i4>536</vt:i4>
      </vt:variant>
      <vt:variant>
        <vt:i4>0</vt:i4>
      </vt:variant>
      <vt:variant>
        <vt:i4>5</vt:i4>
      </vt:variant>
      <vt:variant>
        <vt:lpwstr/>
      </vt:variant>
      <vt:variant>
        <vt:lpwstr>_Toc181212248</vt:lpwstr>
      </vt:variant>
      <vt:variant>
        <vt:i4>1769523</vt:i4>
      </vt:variant>
      <vt:variant>
        <vt:i4>530</vt:i4>
      </vt:variant>
      <vt:variant>
        <vt:i4>0</vt:i4>
      </vt:variant>
      <vt:variant>
        <vt:i4>5</vt:i4>
      </vt:variant>
      <vt:variant>
        <vt:lpwstr/>
      </vt:variant>
      <vt:variant>
        <vt:lpwstr>_Toc181212247</vt:lpwstr>
      </vt:variant>
      <vt:variant>
        <vt:i4>1769523</vt:i4>
      </vt:variant>
      <vt:variant>
        <vt:i4>524</vt:i4>
      </vt:variant>
      <vt:variant>
        <vt:i4>0</vt:i4>
      </vt:variant>
      <vt:variant>
        <vt:i4>5</vt:i4>
      </vt:variant>
      <vt:variant>
        <vt:lpwstr/>
      </vt:variant>
      <vt:variant>
        <vt:lpwstr>_Toc181212246</vt:lpwstr>
      </vt:variant>
      <vt:variant>
        <vt:i4>1769523</vt:i4>
      </vt:variant>
      <vt:variant>
        <vt:i4>518</vt:i4>
      </vt:variant>
      <vt:variant>
        <vt:i4>0</vt:i4>
      </vt:variant>
      <vt:variant>
        <vt:i4>5</vt:i4>
      </vt:variant>
      <vt:variant>
        <vt:lpwstr/>
      </vt:variant>
      <vt:variant>
        <vt:lpwstr>_Toc181212245</vt:lpwstr>
      </vt:variant>
      <vt:variant>
        <vt:i4>1769523</vt:i4>
      </vt:variant>
      <vt:variant>
        <vt:i4>512</vt:i4>
      </vt:variant>
      <vt:variant>
        <vt:i4>0</vt:i4>
      </vt:variant>
      <vt:variant>
        <vt:i4>5</vt:i4>
      </vt:variant>
      <vt:variant>
        <vt:lpwstr/>
      </vt:variant>
      <vt:variant>
        <vt:lpwstr>_Toc181212244</vt:lpwstr>
      </vt:variant>
      <vt:variant>
        <vt:i4>1769523</vt:i4>
      </vt:variant>
      <vt:variant>
        <vt:i4>506</vt:i4>
      </vt:variant>
      <vt:variant>
        <vt:i4>0</vt:i4>
      </vt:variant>
      <vt:variant>
        <vt:i4>5</vt:i4>
      </vt:variant>
      <vt:variant>
        <vt:lpwstr/>
      </vt:variant>
      <vt:variant>
        <vt:lpwstr>_Toc181212243</vt:lpwstr>
      </vt:variant>
      <vt:variant>
        <vt:i4>1769523</vt:i4>
      </vt:variant>
      <vt:variant>
        <vt:i4>500</vt:i4>
      </vt:variant>
      <vt:variant>
        <vt:i4>0</vt:i4>
      </vt:variant>
      <vt:variant>
        <vt:i4>5</vt:i4>
      </vt:variant>
      <vt:variant>
        <vt:lpwstr/>
      </vt:variant>
      <vt:variant>
        <vt:lpwstr>_Toc181212242</vt:lpwstr>
      </vt:variant>
      <vt:variant>
        <vt:i4>1769523</vt:i4>
      </vt:variant>
      <vt:variant>
        <vt:i4>494</vt:i4>
      </vt:variant>
      <vt:variant>
        <vt:i4>0</vt:i4>
      </vt:variant>
      <vt:variant>
        <vt:i4>5</vt:i4>
      </vt:variant>
      <vt:variant>
        <vt:lpwstr/>
      </vt:variant>
      <vt:variant>
        <vt:lpwstr>_Toc181212241</vt:lpwstr>
      </vt:variant>
      <vt:variant>
        <vt:i4>1769523</vt:i4>
      </vt:variant>
      <vt:variant>
        <vt:i4>488</vt:i4>
      </vt:variant>
      <vt:variant>
        <vt:i4>0</vt:i4>
      </vt:variant>
      <vt:variant>
        <vt:i4>5</vt:i4>
      </vt:variant>
      <vt:variant>
        <vt:lpwstr/>
      </vt:variant>
      <vt:variant>
        <vt:lpwstr>_Toc181212240</vt:lpwstr>
      </vt:variant>
      <vt:variant>
        <vt:i4>1835059</vt:i4>
      </vt:variant>
      <vt:variant>
        <vt:i4>482</vt:i4>
      </vt:variant>
      <vt:variant>
        <vt:i4>0</vt:i4>
      </vt:variant>
      <vt:variant>
        <vt:i4>5</vt:i4>
      </vt:variant>
      <vt:variant>
        <vt:lpwstr/>
      </vt:variant>
      <vt:variant>
        <vt:lpwstr>_Toc181212239</vt:lpwstr>
      </vt:variant>
      <vt:variant>
        <vt:i4>1835059</vt:i4>
      </vt:variant>
      <vt:variant>
        <vt:i4>476</vt:i4>
      </vt:variant>
      <vt:variant>
        <vt:i4>0</vt:i4>
      </vt:variant>
      <vt:variant>
        <vt:i4>5</vt:i4>
      </vt:variant>
      <vt:variant>
        <vt:lpwstr/>
      </vt:variant>
      <vt:variant>
        <vt:lpwstr>_Toc181212238</vt:lpwstr>
      </vt:variant>
      <vt:variant>
        <vt:i4>1835059</vt:i4>
      </vt:variant>
      <vt:variant>
        <vt:i4>470</vt:i4>
      </vt:variant>
      <vt:variant>
        <vt:i4>0</vt:i4>
      </vt:variant>
      <vt:variant>
        <vt:i4>5</vt:i4>
      </vt:variant>
      <vt:variant>
        <vt:lpwstr/>
      </vt:variant>
      <vt:variant>
        <vt:lpwstr>_Toc181212237</vt:lpwstr>
      </vt:variant>
      <vt:variant>
        <vt:i4>1835059</vt:i4>
      </vt:variant>
      <vt:variant>
        <vt:i4>464</vt:i4>
      </vt:variant>
      <vt:variant>
        <vt:i4>0</vt:i4>
      </vt:variant>
      <vt:variant>
        <vt:i4>5</vt:i4>
      </vt:variant>
      <vt:variant>
        <vt:lpwstr/>
      </vt:variant>
      <vt:variant>
        <vt:lpwstr>_Toc181212236</vt:lpwstr>
      </vt:variant>
      <vt:variant>
        <vt:i4>1835059</vt:i4>
      </vt:variant>
      <vt:variant>
        <vt:i4>458</vt:i4>
      </vt:variant>
      <vt:variant>
        <vt:i4>0</vt:i4>
      </vt:variant>
      <vt:variant>
        <vt:i4>5</vt:i4>
      </vt:variant>
      <vt:variant>
        <vt:lpwstr/>
      </vt:variant>
      <vt:variant>
        <vt:lpwstr>_Toc181212235</vt:lpwstr>
      </vt:variant>
      <vt:variant>
        <vt:i4>1835059</vt:i4>
      </vt:variant>
      <vt:variant>
        <vt:i4>452</vt:i4>
      </vt:variant>
      <vt:variant>
        <vt:i4>0</vt:i4>
      </vt:variant>
      <vt:variant>
        <vt:i4>5</vt:i4>
      </vt:variant>
      <vt:variant>
        <vt:lpwstr/>
      </vt:variant>
      <vt:variant>
        <vt:lpwstr>_Toc181212234</vt:lpwstr>
      </vt:variant>
      <vt:variant>
        <vt:i4>1835059</vt:i4>
      </vt:variant>
      <vt:variant>
        <vt:i4>446</vt:i4>
      </vt:variant>
      <vt:variant>
        <vt:i4>0</vt:i4>
      </vt:variant>
      <vt:variant>
        <vt:i4>5</vt:i4>
      </vt:variant>
      <vt:variant>
        <vt:lpwstr/>
      </vt:variant>
      <vt:variant>
        <vt:lpwstr>_Toc181212233</vt:lpwstr>
      </vt:variant>
      <vt:variant>
        <vt:i4>1835059</vt:i4>
      </vt:variant>
      <vt:variant>
        <vt:i4>440</vt:i4>
      </vt:variant>
      <vt:variant>
        <vt:i4>0</vt:i4>
      </vt:variant>
      <vt:variant>
        <vt:i4>5</vt:i4>
      </vt:variant>
      <vt:variant>
        <vt:lpwstr/>
      </vt:variant>
      <vt:variant>
        <vt:lpwstr>_Toc181212232</vt:lpwstr>
      </vt:variant>
      <vt:variant>
        <vt:i4>1835059</vt:i4>
      </vt:variant>
      <vt:variant>
        <vt:i4>434</vt:i4>
      </vt:variant>
      <vt:variant>
        <vt:i4>0</vt:i4>
      </vt:variant>
      <vt:variant>
        <vt:i4>5</vt:i4>
      </vt:variant>
      <vt:variant>
        <vt:lpwstr/>
      </vt:variant>
      <vt:variant>
        <vt:lpwstr>_Toc181212231</vt:lpwstr>
      </vt:variant>
      <vt:variant>
        <vt:i4>1835059</vt:i4>
      </vt:variant>
      <vt:variant>
        <vt:i4>428</vt:i4>
      </vt:variant>
      <vt:variant>
        <vt:i4>0</vt:i4>
      </vt:variant>
      <vt:variant>
        <vt:i4>5</vt:i4>
      </vt:variant>
      <vt:variant>
        <vt:lpwstr/>
      </vt:variant>
      <vt:variant>
        <vt:lpwstr>_Toc181212230</vt:lpwstr>
      </vt:variant>
      <vt:variant>
        <vt:i4>1900595</vt:i4>
      </vt:variant>
      <vt:variant>
        <vt:i4>422</vt:i4>
      </vt:variant>
      <vt:variant>
        <vt:i4>0</vt:i4>
      </vt:variant>
      <vt:variant>
        <vt:i4>5</vt:i4>
      </vt:variant>
      <vt:variant>
        <vt:lpwstr/>
      </vt:variant>
      <vt:variant>
        <vt:lpwstr>_Toc181212229</vt:lpwstr>
      </vt:variant>
      <vt:variant>
        <vt:i4>1900595</vt:i4>
      </vt:variant>
      <vt:variant>
        <vt:i4>416</vt:i4>
      </vt:variant>
      <vt:variant>
        <vt:i4>0</vt:i4>
      </vt:variant>
      <vt:variant>
        <vt:i4>5</vt:i4>
      </vt:variant>
      <vt:variant>
        <vt:lpwstr/>
      </vt:variant>
      <vt:variant>
        <vt:lpwstr>_Toc181212228</vt:lpwstr>
      </vt:variant>
      <vt:variant>
        <vt:i4>1900595</vt:i4>
      </vt:variant>
      <vt:variant>
        <vt:i4>410</vt:i4>
      </vt:variant>
      <vt:variant>
        <vt:i4>0</vt:i4>
      </vt:variant>
      <vt:variant>
        <vt:i4>5</vt:i4>
      </vt:variant>
      <vt:variant>
        <vt:lpwstr/>
      </vt:variant>
      <vt:variant>
        <vt:lpwstr>_Toc181212227</vt:lpwstr>
      </vt:variant>
      <vt:variant>
        <vt:i4>1900595</vt:i4>
      </vt:variant>
      <vt:variant>
        <vt:i4>404</vt:i4>
      </vt:variant>
      <vt:variant>
        <vt:i4>0</vt:i4>
      </vt:variant>
      <vt:variant>
        <vt:i4>5</vt:i4>
      </vt:variant>
      <vt:variant>
        <vt:lpwstr/>
      </vt:variant>
      <vt:variant>
        <vt:lpwstr>_Toc181212226</vt:lpwstr>
      </vt:variant>
      <vt:variant>
        <vt:i4>1900595</vt:i4>
      </vt:variant>
      <vt:variant>
        <vt:i4>398</vt:i4>
      </vt:variant>
      <vt:variant>
        <vt:i4>0</vt:i4>
      </vt:variant>
      <vt:variant>
        <vt:i4>5</vt:i4>
      </vt:variant>
      <vt:variant>
        <vt:lpwstr/>
      </vt:variant>
      <vt:variant>
        <vt:lpwstr>_Toc181212225</vt:lpwstr>
      </vt:variant>
      <vt:variant>
        <vt:i4>1900595</vt:i4>
      </vt:variant>
      <vt:variant>
        <vt:i4>392</vt:i4>
      </vt:variant>
      <vt:variant>
        <vt:i4>0</vt:i4>
      </vt:variant>
      <vt:variant>
        <vt:i4>5</vt:i4>
      </vt:variant>
      <vt:variant>
        <vt:lpwstr/>
      </vt:variant>
      <vt:variant>
        <vt:lpwstr>_Toc181212224</vt:lpwstr>
      </vt:variant>
      <vt:variant>
        <vt:i4>1900595</vt:i4>
      </vt:variant>
      <vt:variant>
        <vt:i4>386</vt:i4>
      </vt:variant>
      <vt:variant>
        <vt:i4>0</vt:i4>
      </vt:variant>
      <vt:variant>
        <vt:i4>5</vt:i4>
      </vt:variant>
      <vt:variant>
        <vt:lpwstr/>
      </vt:variant>
      <vt:variant>
        <vt:lpwstr>_Toc181212223</vt:lpwstr>
      </vt:variant>
      <vt:variant>
        <vt:i4>1900595</vt:i4>
      </vt:variant>
      <vt:variant>
        <vt:i4>380</vt:i4>
      </vt:variant>
      <vt:variant>
        <vt:i4>0</vt:i4>
      </vt:variant>
      <vt:variant>
        <vt:i4>5</vt:i4>
      </vt:variant>
      <vt:variant>
        <vt:lpwstr/>
      </vt:variant>
      <vt:variant>
        <vt:lpwstr>_Toc181212222</vt:lpwstr>
      </vt:variant>
      <vt:variant>
        <vt:i4>1900595</vt:i4>
      </vt:variant>
      <vt:variant>
        <vt:i4>374</vt:i4>
      </vt:variant>
      <vt:variant>
        <vt:i4>0</vt:i4>
      </vt:variant>
      <vt:variant>
        <vt:i4>5</vt:i4>
      </vt:variant>
      <vt:variant>
        <vt:lpwstr/>
      </vt:variant>
      <vt:variant>
        <vt:lpwstr>_Toc181212221</vt:lpwstr>
      </vt:variant>
      <vt:variant>
        <vt:i4>1900595</vt:i4>
      </vt:variant>
      <vt:variant>
        <vt:i4>368</vt:i4>
      </vt:variant>
      <vt:variant>
        <vt:i4>0</vt:i4>
      </vt:variant>
      <vt:variant>
        <vt:i4>5</vt:i4>
      </vt:variant>
      <vt:variant>
        <vt:lpwstr/>
      </vt:variant>
      <vt:variant>
        <vt:lpwstr>_Toc181212220</vt:lpwstr>
      </vt:variant>
      <vt:variant>
        <vt:i4>1966131</vt:i4>
      </vt:variant>
      <vt:variant>
        <vt:i4>362</vt:i4>
      </vt:variant>
      <vt:variant>
        <vt:i4>0</vt:i4>
      </vt:variant>
      <vt:variant>
        <vt:i4>5</vt:i4>
      </vt:variant>
      <vt:variant>
        <vt:lpwstr/>
      </vt:variant>
      <vt:variant>
        <vt:lpwstr>_Toc181212219</vt:lpwstr>
      </vt:variant>
      <vt:variant>
        <vt:i4>1966131</vt:i4>
      </vt:variant>
      <vt:variant>
        <vt:i4>356</vt:i4>
      </vt:variant>
      <vt:variant>
        <vt:i4>0</vt:i4>
      </vt:variant>
      <vt:variant>
        <vt:i4>5</vt:i4>
      </vt:variant>
      <vt:variant>
        <vt:lpwstr/>
      </vt:variant>
      <vt:variant>
        <vt:lpwstr>_Toc181212218</vt:lpwstr>
      </vt:variant>
      <vt:variant>
        <vt:i4>1966131</vt:i4>
      </vt:variant>
      <vt:variant>
        <vt:i4>350</vt:i4>
      </vt:variant>
      <vt:variant>
        <vt:i4>0</vt:i4>
      </vt:variant>
      <vt:variant>
        <vt:i4>5</vt:i4>
      </vt:variant>
      <vt:variant>
        <vt:lpwstr/>
      </vt:variant>
      <vt:variant>
        <vt:lpwstr>_Toc181212217</vt:lpwstr>
      </vt:variant>
      <vt:variant>
        <vt:i4>1966131</vt:i4>
      </vt:variant>
      <vt:variant>
        <vt:i4>344</vt:i4>
      </vt:variant>
      <vt:variant>
        <vt:i4>0</vt:i4>
      </vt:variant>
      <vt:variant>
        <vt:i4>5</vt:i4>
      </vt:variant>
      <vt:variant>
        <vt:lpwstr/>
      </vt:variant>
      <vt:variant>
        <vt:lpwstr>_Toc181212216</vt:lpwstr>
      </vt:variant>
      <vt:variant>
        <vt:i4>1966131</vt:i4>
      </vt:variant>
      <vt:variant>
        <vt:i4>338</vt:i4>
      </vt:variant>
      <vt:variant>
        <vt:i4>0</vt:i4>
      </vt:variant>
      <vt:variant>
        <vt:i4>5</vt:i4>
      </vt:variant>
      <vt:variant>
        <vt:lpwstr/>
      </vt:variant>
      <vt:variant>
        <vt:lpwstr>_Toc181212215</vt:lpwstr>
      </vt:variant>
      <vt:variant>
        <vt:i4>1966131</vt:i4>
      </vt:variant>
      <vt:variant>
        <vt:i4>332</vt:i4>
      </vt:variant>
      <vt:variant>
        <vt:i4>0</vt:i4>
      </vt:variant>
      <vt:variant>
        <vt:i4>5</vt:i4>
      </vt:variant>
      <vt:variant>
        <vt:lpwstr/>
      </vt:variant>
      <vt:variant>
        <vt:lpwstr>_Toc181212214</vt:lpwstr>
      </vt:variant>
      <vt:variant>
        <vt:i4>1966131</vt:i4>
      </vt:variant>
      <vt:variant>
        <vt:i4>326</vt:i4>
      </vt:variant>
      <vt:variant>
        <vt:i4>0</vt:i4>
      </vt:variant>
      <vt:variant>
        <vt:i4>5</vt:i4>
      </vt:variant>
      <vt:variant>
        <vt:lpwstr/>
      </vt:variant>
      <vt:variant>
        <vt:lpwstr>_Toc181212213</vt:lpwstr>
      </vt:variant>
      <vt:variant>
        <vt:i4>1966131</vt:i4>
      </vt:variant>
      <vt:variant>
        <vt:i4>320</vt:i4>
      </vt:variant>
      <vt:variant>
        <vt:i4>0</vt:i4>
      </vt:variant>
      <vt:variant>
        <vt:i4>5</vt:i4>
      </vt:variant>
      <vt:variant>
        <vt:lpwstr/>
      </vt:variant>
      <vt:variant>
        <vt:lpwstr>_Toc181212212</vt:lpwstr>
      </vt:variant>
      <vt:variant>
        <vt:i4>1966131</vt:i4>
      </vt:variant>
      <vt:variant>
        <vt:i4>314</vt:i4>
      </vt:variant>
      <vt:variant>
        <vt:i4>0</vt:i4>
      </vt:variant>
      <vt:variant>
        <vt:i4>5</vt:i4>
      </vt:variant>
      <vt:variant>
        <vt:lpwstr/>
      </vt:variant>
      <vt:variant>
        <vt:lpwstr>_Toc181212211</vt:lpwstr>
      </vt:variant>
      <vt:variant>
        <vt:i4>1966131</vt:i4>
      </vt:variant>
      <vt:variant>
        <vt:i4>308</vt:i4>
      </vt:variant>
      <vt:variant>
        <vt:i4>0</vt:i4>
      </vt:variant>
      <vt:variant>
        <vt:i4>5</vt:i4>
      </vt:variant>
      <vt:variant>
        <vt:lpwstr/>
      </vt:variant>
      <vt:variant>
        <vt:lpwstr>_Toc181212210</vt:lpwstr>
      </vt:variant>
      <vt:variant>
        <vt:i4>2031667</vt:i4>
      </vt:variant>
      <vt:variant>
        <vt:i4>302</vt:i4>
      </vt:variant>
      <vt:variant>
        <vt:i4>0</vt:i4>
      </vt:variant>
      <vt:variant>
        <vt:i4>5</vt:i4>
      </vt:variant>
      <vt:variant>
        <vt:lpwstr/>
      </vt:variant>
      <vt:variant>
        <vt:lpwstr>_Toc181212209</vt:lpwstr>
      </vt:variant>
      <vt:variant>
        <vt:i4>2031667</vt:i4>
      </vt:variant>
      <vt:variant>
        <vt:i4>296</vt:i4>
      </vt:variant>
      <vt:variant>
        <vt:i4>0</vt:i4>
      </vt:variant>
      <vt:variant>
        <vt:i4>5</vt:i4>
      </vt:variant>
      <vt:variant>
        <vt:lpwstr/>
      </vt:variant>
      <vt:variant>
        <vt:lpwstr>_Toc181212208</vt:lpwstr>
      </vt:variant>
      <vt:variant>
        <vt:i4>2031667</vt:i4>
      </vt:variant>
      <vt:variant>
        <vt:i4>290</vt:i4>
      </vt:variant>
      <vt:variant>
        <vt:i4>0</vt:i4>
      </vt:variant>
      <vt:variant>
        <vt:i4>5</vt:i4>
      </vt:variant>
      <vt:variant>
        <vt:lpwstr/>
      </vt:variant>
      <vt:variant>
        <vt:lpwstr>_Toc181212207</vt:lpwstr>
      </vt:variant>
      <vt:variant>
        <vt:i4>2031667</vt:i4>
      </vt:variant>
      <vt:variant>
        <vt:i4>284</vt:i4>
      </vt:variant>
      <vt:variant>
        <vt:i4>0</vt:i4>
      </vt:variant>
      <vt:variant>
        <vt:i4>5</vt:i4>
      </vt:variant>
      <vt:variant>
        <vt:lpwstr/>
      </vt:variant>
      <vt:variant>
        <vt:lpwstr>_Toc181212206</vt:lpwstr>
      </vt:variant>
      <vt:variant>
        <vt:i4>2031667</vt:i4>
      </vt:variant>
      <vt:variant>
        <vt:i4>278</vt:i4>
      </vt:variant>
      <vt:variant>
        <vt:i4>0</vt:i4>
      </vt:variant>
      <vt:variant>
        <vt:i4>5</vt:i4>
      </vt:variant>
      <vt:variant>
        <vt:lpwstr/>
      </vt:variant>
      <vt:variant>
        <vt:lpwstr>_Toc181212205</vt:lpwstr>
      </vt:variant>
      <vt:variant>
        <vt:i4>2031667</vt:i4>
      </vt:variant>
      <vt:variant>
        <vt:i4>272</vt:i4>
      </vt:variant>
      <vt:variant>
        <vt:i4>0</vt:i4>
      </vt:variant>
      <vt:variant>
        <vt:i4>5</vt:i4>
      </vt:variant>
      <vt:variant>
        <vt:lpwstr/>
      </vt:variant>
      <vt:variant>
        <vt:lpwstr>_Toc181212204</vt:lpwstr>
      </vt:variant>
      <vt:variant>
        <vt:i4>2031667</vt:i4>
      </vt:variant>
      <vt:variant>
        <vt:i4>266</vt:i4>
      </vt:variant>
      <vt:variant>
        <vt:i4>0</vt:i4>
      </vt:variant>
      <vt:variant>
        <vt:i4>5</vt:i4>
      </vt:variant>
      <vt:variant>
        <vt:lpwstr/>
      </vt:variant>
      <vt:variant>
        <vt:lpwstr>_Toc181212203</vt:lpwstr>
      </vt:variant>
      <vt:variant>
        <vt:i4>2031667</vt:i4>
      </vt:variant>
      <vt:variant>
        <vt:i4>260</vt:i4>
      </vt:variant>
      <vt:variant>
        <vt:i4>0</vt:i4>
      </vt:variant>
      <vt:variant>
        <vt:i4>5</vt:i4>
      </vt:variant>
      <vt:variant>
        <vt:lpwstr/>
      </vt:variant>
      <vt:variant>
        <vt:lpwstr>_Toc181212202</vt:lpwstr>
      </vt:variant>
      <vt:variant>
        <vt:i4>2031667</vt:i4>
      </vt:variant>
      <vt:variant>
        <vt:i4>254</vt:i4>
      </vt:variant>
      <vt:variant>
        <vt:i4>0</vt:i4>
      </vt:variant>
      <vt:variant>
        <vt:i4>5</vt:i4>
      </vt:variant>
      <vt:variant>
        <vt:lpwstr/>
      </vt:variant>
      <vt:variant>
        <vt:lpwstr>_Toc181212201</vt:lpwstr>
      </vt:variant>
      <vt:variant>
        <vt:i4>2031667</vt:i4>
      </vt:variant>
      <vt:variant>
        <vt:i4>248</vt:i4>
      </vt:variant>
      <vt:variant>
        <vt:i4>0</vt:i4>
      </vt:variant>
      <vt:variant>
        <vt:i4>5</vt:i4>
      </vt:variant>
      <vt:variant>
        <vt:lpwstr/>
      </vt:variant>
      <vt:variant>
        <vt:lpwstr>_Toc181212200</vt:lpwstr>
      </vt:variant>
      <vt:variant>
        <vt:i4>1441840</vt:i4>
      </vt:variant>
      <vt:variant>
        <vt:i4>242</vt:i4>
      </vt:variant>
      <vt:variant>
        <vt:i4>0</vt:i4>
      </vt:variant>
      <vt:variant>
        <vt:i4>5</vt:i4>
      </vt:variant>
      <vt:variant>
        <vt:lpwstr/>
      </vt:variant>
      <vt:variant>
        <vt:lpwstr>_Toc181212199</vt:lpwstr>
      </vt:variant>
      <vt:variant>
        <vt:i4>1441840</vt:i4>
      </vt:variant>
      <vt:variant>
        <vt:i4>236</vt:i4>
      </vt:variant>
      <vt:variant>
        <vt:i4>0</vt:i4>
      </vt:variant>
      <vt:variant>
        <vt:i4>5</vt:i4>
      </vt:variant>
      <vt:variant>
        <vt:lpwstr/>
      </vt:variant>
      <vt:variant>
        <vt:lpwstr>_Toc181212198</vt:lpwstr>
      </vt:variant>
      <vt:variant>
        <vt:i4>1441840</vt:i4>
      </vt:variant>
      <vt:variant>
        <vt:i4>230</vt:i4>
      </vt:variant>
      <vt:variant>
        <vt:i4>0</vt:i4>
      </vt:variant>
      <vt:variant>
        <vt:i4>5</vt:i4>
      </vt:variant>
      <vt:variant>
        <vt:lpwstr/>
      </vt:variant>
      <vt:variant>
        <vt:lpwstr>_Toc181212197</vt:lpwstr>
      </vt:variant>
      <vt:variant>
        <vt:i4>1441840</vt:i4>
      </vt:variant>
      <vt:variant>
        <vt:i4>224</vt:i4>
      </vt:variant>
      <vt:variant>
        <vt:i4>0</vt:i4>
      </vt:variant>
      <vt:variant>
        <vt:i4>5</vt:i4>
      </vt:variant>
      <vt:variant>
        <vt:lpwstr/>
      </vt:variant>
      <vt:variant>
        <vt:lpwstr>_Toc181212196</vt:lpwstr>
      </vt:variant>
      <vt:variant>
        <vt:i4>1441840</vt:i4>
      </vt:variant>
      <vt:variant>
        <vt:i4>218</vt:i4>
      </vt:variant>
      <vt:variant>
        <vt:i4>0</vt:i4>
      </vt:variant>
      <vt:variant>
        <vt:i4>5</vt:i4>
      </vt:variant>
      <vt:variant>
        <vt:lpwstr/>
      </vt:variant>
      <vt:variant>
        <vt:lpwstr>_Toc181212195</vt:lpwstr>
      </vt:variant>
      <vt:variant>
        <vt:i4>1441840</vt:i4>
      </vt:variant>
      <vt:variant>
        <vt:i4>212</vt:i4>
      </vt:variant>
      <vt:variant>
        <vt:i4>0</vt:i4>
      </vt:variant>
      <vt:variant>
        <vt:i4>5</vt:i4>
      </vt:variant>
      <vt:variant>
        <vt:lpwstr/>
      </vt:variant>
      <vt:variant>
        <vt:lpwstr>_Toc181212194</vt:lpwstr>
      </vt:variant>
      <vt:variant>
        <vt:i4>1441840</vt:i4>
      </vt:variant>
      <vt:variant>
        <vt:i4>206</vt:i4>
      </vt:variant>
      <vt:variant>
        <vt:i4>0</vt:i4>
      </vt:variant>
      <vt:variant>
        <vt:i4>5</vt:i4>
      </vt:variant>
      <vt:variant>
        <vt:lpwstr/>
      </vt:variant>
      <vt:variant>
        <vt:lpwstr>_Toc181212193</vt:lpwstr>
      </vt:variant>
      <vt:variant>
        <vt:i4>1441840</vt:i4>
      </vt:variant>
      <vt:variant>
        <vt:i4>200</vt:i4>
      </vt:variant>
      <vt:variant>
        <vt:i4>0</vt:i4>
      </vt:variant>
      <vt:variant>
        <vt:i4>5</vt:i4>
      </vt:variant>
      <vt:variant>
        <vt:lpwstr/>
      </vt:variant>
      <vt:variant>
        <vt:lpwstr>_Toc181212192</vt:lpwstr>
      </vt:variant>
      <vt:variant>
        <vt:i4>1441840</vt:i4>
      </vt:variant>
      <vt:variant>
        <vt:i4>194</vt:i4>
      </vt:variant>
      <vt:variant>
        <vt:i4>0</vt:i4>
      </vt:variant>
      <vt:variant>
        <vt:i4>5</vt:i4>
      </vt:variant>
      <vt:variant>
        <vt:lpwstr/>
      </vt:variant>
      <vt:variant>
        <vt:lpwstr>_Toc181212191</vt:lpwstr>
      </vt:variant>
      <vt:variant>
        <vt:i4>1441840</vt:i4>
      </vt:variant>
      <vt:variant>
        <vt:i4>188</vt:i4>
      </vt:variant>
      <vt:variant>
        <vt:i4>0</vt:i4>
      </vt:variant>
      <vt:variant>
        <vt:i4>5</vt:i4>
      </vt:variant>
      <vt:variant>
        <vt:lpwstr/>
      </vt:variant>
      <vt:variant>
        <vt:lpwstr>_Toc181212190</vt:lpwstr>
      </vt:variant>
      <vt:variant>
        <vt:i4>1507376</vt:i4>
      </vt:variant>
      <vt:variant>
        <vt:i4>182</vt:i4>
      </vt:variant>
      <vt:variant>
        <vt:i4>0</vt:i4>
      </vt:variant>
      <vt:variant>
        <vt:i4>5</vt:i4>
      </vt:variant>
      <vt:variant>
        <vt:lpwstr/>
      </vt:variant>
      <vt:variant>
        <vt:lpwstr>_Toc181212189</vt:lpwstr>
      </vt:variant>
      <vt:variant>
        <vt:i4>1507376</vt:i4>
      </vt:variant>
      <vt:variant>
        <vt:i4>176</vt:i4>
      </vt:variant>
      <vt:variant>
        <vt:i4>0</vt:i4>
      </vt:variant>
      <vt:variant>
        <vt:i4>5</vt:i4>
      </vt:variant>
      <vt:variant>
        <vt:lpwstr/>
      </vt:variant>
      <vt:variant>
        <vt:lpwstr>_Toc181212188</vt:lpwstr>
      </vt:variant>
      <vt:variant>
        <vt:i4>1507376</vt:i4>
      </vt:variant>
      <vt:variant>
        <vt:i4>170</vt:i4>
      </vt:variant>
      <vt:variant>
        <vt:i4>0</vt:i4>
      </vt:variant>
      <vt:variant>
        <vt:i4>5</vt:i4>
      </vt:variant>
      <vt:variant>
        <vt:lpwstr/>
      </vt:variant>
      <vt:variant>
        <vt:lpwstr>_Toc181212187</vt:lpwstr>
      </vt:variant>
      <vt:variant>
        <vt:i4>1507376</vt:i4>
      </vt:variant>
      <vt:variant>
        <vt:i4>164</vt:i4>
      </vt:variant>
      <vt:variant>
        <vt:i4>0</vt:i4>
      </vt:variant>
      <vt:variant>
        <vt:i4>5</vt:i4>
      </vt:variant>
      <vt:variant>
        <vt:lpwstr/>
      </vt:variant>
      <vt:variant>
        <vt:lpwstr>_Toc181212186</vt:lpwstr>
      </vt:variant>
      <vt:variant>
        <vt:i4>1507376</vt:i4>
      </vt:variant>
      <vt:variant>
        <vt:i4>158</vt:i4>
      </vt:variant>
      <vt:variant>
        <vt:i4>0</vt:i4>
      </vt:variant>
      <vt:variant>
        <vt:i4>5</vt:i4>
      </vt:variant>
      <vt:variant>
        <vt:lpwstr/>
      </vt:variant>
      <vt:variant>
        <vt:lpwstr>_Toc181212185</vt:lpwstr>
      </vt:variant>
      <vt:variant>
        <vt:i4>1507376</vt:i4>
      </vt:variant>
      <vt:variant>
        <vt:i4>152</vt:i4>
      </vt:variant>
      <vt:variant>
        <vt:i4>0</vt:i4>
      </vt:variant>
      <vt:variant>
        <vt:i4>5</vt:i4>
      </vt:variant>
      <vt:variant>
        <vt:lpwstr/>
      </vt:variant>
      <vt:variant>
        <vt:lpwstr>_Toc181212184</vt:lpwstr>
      </vt:variant>
      <vt:variant>
        <vt:i4>1507376</vt:i4>
      </vt:variant>
      <vt:variant>
        <vt:i4>146</vt:i4>
      </vt:variant>
      <vt:variant>
        <vt:i4>0</vt:i4>
      </vt:variant>
      <vt:variant>
        <vt:i4>5</vt:i4>
      </vt:variant>
      <vt:variant>
        <vt:lpwstr/>
      </vt:variant>
      <vt:variant>
        <vt:lpwstr>_Toc181212183</vt:lpwstr>
      </vt:variant>
      <vt:variant>
        <vt:i4>1507376</vt:i4>
      </vt:variant>
      <vt:variant>
        <vt:i4>140</vt:i4>
      </vt:variant>
      <vt:variant>
        <vt:i4>0</vt:i4>
      </vt:variant>
      <vt:variant>
        <vt:i4>5</vt:i4>
      </vt:variant>
      <vt:variant>
        <vt:lpwstr/>
      </vt:variant>
      <vt:variant>
        <vt:lpwstr>_Toc181212182</vt:lpwstr>
      </vt:variant>
      <vt:variant>
        <vt:i4>1507376</vt:i4>
      </vt:variant>
      <vt:variant>
        <vt:i4>134</vt:i4>
      </vt:variant>
      <vt:variant>
        <vt:i4>0</vt:i4>
      </vt:variant>
      <vt:variant>
        <vt:i4>5</vt:i4>
      </vt:variant>
      <vt:variant>
        <vt:lpwstr/>
      </vt:variant>
      <vt:variant>
        <vt:lpwstr>_Toc181212181</vt:lpwstr>
      </vt:variant>
      <vt:variant>
        <vt:i4>1507376</vt:i4>
      </vt:variant>
      <vt:variant>
        <vt:i4>128</vt:i4>
      </vt:variant>
      <vt:variant>
        <vt:i4>0</vt:i4>
      </vt:variant>
      <vt:variant>
        <vt:i4>5</vt:i4>
      </vt:variant>
      <vt:variant>
        <vt:lpwstr/>
      </vt:variant>
      <vt:variant>
        <vt:lpwstr>_Toc181212180</vt:lpwstr>
      </vt:variant>
      <vt:variant>
        <vt:i4>1572912</vt:i4>
      </vt:variant>
      <vt:variant>
        <vt:i4>122</vt:i4>
      </vt:variant>
      <vt:variant>
        <vt:i4>0</vt:i4>
      </vt:variant>
      <vt:variant>
        <vt:i4>5</vt:i4>
      </vt:variant>
      <vt:variant>
        <vt:lpwstr/>
      </vt:variant>
      <vt:variant>
        <vt:lpwstr>_Toc181212179</vt:lpwstr>
      </vt:variant>
      <vt:variant>
        <vt:i4>1572912</vt:i4>
      </vt:variant>
      <vt:variant>
        <vt:i4>116</vt:i4>
      </vt:variant>
      <vt:variant>
        <vt:i4>0</vt:i4>
      </vt:variant>
      <vt:variant>
        <vt:i4>5</vt:i4>
      </vt:variant>
      <vt:variant>
        <vt:lpwstr/>
      </vt:variant>
      <vt:variant>
        <vt:lpwstr>_Toc181212178</vt:lpwstr>
      </vt:variant>
      <vt:variant>
        <vt:i4>1572912</vt:i4>
      </vt:variant>
      <vt:variant>
        <vt:i4>110</vt:i4>
      </vt:variant>
      <vt:variant>
        <vt:i4>0</vt:i4>
      </vt:variant>
      <vt:variant>
        <vt:i4>5</vt:i4>
      </vt:variant>
      <vt:variant>
        <vt:lpwstr/>
      </vt:variant>
      <vt:variant>
        <vt:lpwstr>_Toc181212177</vt:lpwstr>
      </vt:variant>
      <vt:variant>
        <vt:i4>1572912</vt:i4>
      </vt:variant>
      <vt:variant>
        <vt:i4>104</vt:i4>
      </vt:variant>
      <vt:variant>
        <vt:i4>0</vt:i4>
      </vt:variant>
      <vt:variant>
        <vt:i4>5</vt:i4>
      </vt:variant>
      <vt:variant>
        <vt:lpwstr/>
      </vt:variant>
      <vt:variant>
        <vt:lpwstr>_Toc181212176</vt:lpwstr>
      </vt:variant>
      <vt:variant>
        <vt:i4>1572912</vt:i4>
      </vt:variant>
      <vt:variant>
        <vt:i4>98</vt:i4>
      </vt:variant>
      <vt:variant>
        <vt:i4>0</vt:i4>
      </vt:variant>
      <vt:variant>
        <vt:i4>5</vt:i4>
      </vt:variant>
      <vt:variant>
        <vt:lpwstr/>
      </vt:variant>
      <vt:variant>
        <vt:lpwstr>_Toc181212175</vt:lpwstr>
      </vt:variant>
      <vt:variant>
        <vt:i4>1572912</vt:i4>
      </vt:variant>
      <vt:variant>
        <vt:i4>92</vt:i4>
      </vt:variant>
      <vt:variant>
        <vt:i4>0</vt:i4>
      </vt:variant>
      <vt:variant>
        <vt:i4>5</vt:i4>
      </vt:variant>
      <vt:variant>
        <vt:lpwstr/>
      </vt:variant>
      <vt:variant>
        <vt:lpwstr>_Toc181212174</vt:lpwstr>
      </vt:variant>
      <vt:variant>
        <vt:i4>1572912</vt:i4>
      </vt:variant>
      <vt:variant>
        <vt:i4>86</vt:i4>
      </vt:variant>
      <vt:variant>
        <vt:i4>0</vt:i4>
      </vt:variant>
      <vt:variant>
        <vt:i4>5</vt:i4>
      </vt:variant>
      <vt:variant>
        <vt:lpwstr/>
      </vt:variant>
      <vt:variant>
        <vt:lpwstr>_Toc181212173</vt:lpwstr>
      </vt:variant>
      <vt:variant>
        <vt:i4>1572912</vt:i4>
      </vt:variant>
      <vt:variant>
        <vt:i4>80</vt:i4>
      </vt:variant>
      <vt:variant>
        <vt:i4>0</vt:i4>
      </vt:variant>
      <vt:variant>
        <vt:i4>5</vt:i4>
      </vt:variant>
      <vt:variant>
        <vt:lpwstr/>
      </vt:variant>
      <vt:variant>
        <vt:lpwstr>_Toc181212172</vt:lpwstr>
      </vt:variant>
      <vt:variant>
        <vt:i4>1572912</vt:i4>
      </vt:variant>
      <vt:variant>
        <vt:i4>74</vt:i4>
      </vt:variant>
      <vt:variant>
        <vt:i4>0</vt:i4>
      </vt:variant>
      <vt:variant>
        <vt:i4>5</vt:i4>
      </vt:variant>
      <vt:variant>
        <vt:lpwstr/>
      </vt:variant>
      <vt:variant>
        <vt:lpwstr>_Toc181212171</vt:lpwstr>
      </vt:variant>
      <vt:variant>
        <vt:i4>1572912</vt:i4>
      </vt:variant>
      <vt:variant>
        <vt:i4>68</vt:i4>
      </vt:variant>
      <vt:variant>
        <vt:i4>0</vt:i4>
      </vt:variant>
      <vt:variant>
        <vt:i4>5</vt:i4>
      </vt:variant>
      <vt:variant>
        <vt:lpwstr/>
      </vt:variant>
      <vt:variant>
        <vt:lpwstr>_Toc181212170</vt:lpwstr>
      </vt:variant>
      <vt:variant>
        <vt:i4>1638448</vt:i4>
      </vt:variant>
      <vt:variant>
        <vt:i4>62</vt:i4>
      </vt:variant>
      <vt:variant>
        <vt:i4>0</vt:i4>
      </vt:variant>
      <vt:variant>
        <vt:i4>5</vt:i4>
      </vt:variant>
      <vt:variant>
        <vt:lpwstr/>
      </vt:variant>
      <vt:variant>
        <vt:lpwstr>_Toc181212169</vt:lpwstr>
      </vt:variant>
      <vt:variant>
        <vt:i4>1638448</vt:i4>
      </vt:variant>
      <vt:variant>
        <vt:i4>56</vt:i4>
      </vt:variant>
      <vt:variant>
        <vt:i4>0</vt:i4>
      </vt:variant>
      <vt:variant>
        <vt:i4>5</vt:i4>
      </vt:variant>
      <vt:variant>
        <vt:lpwstr/>
      </vt:variant>
      <vt:variant>
        <vt:lpwstr>_Toc181212168</vt:lpwstr>
      </vt:variant>
      <vt:variant>
        <vt:i4>1638448</vt:i4>
      </vt:variant>
      <vt:variant>
        <vt:i4>50</vt:i4>
      </vt:variant>
      <vt:variant>
        <vt:i4>0</vt:i4>
      </vt:variant>
      <vt:variant>
        <vt:i4>5</vt:i4>
      </vt:variant>
      <vt:variant>
        <vt:lpwstr/>
      </vt:variant>
      <vt:variant>
        <vt:lpwstr>_Toc181212167</vt:lpwstr>
      </vt:variant>
      <vt:variant>
        <vt:i4>1638448</vt:i4>
      </vt:variant>
      <vt:variant>
        <vt:i4>44</vt:i4>
      </vt:variant>
      <vt:variant>
        <vt:i4>0</vt:i4>
      </vt:variant>
      <vt:variant>
        <vt:i4>5</vt:i4>
      </vt:variant>
      <vt:variant>
        <vt:lpwstr/>
      </vt:variant>
      <vt:variant>
        <vt:lpwstr>_Toc181212166</vt:lpwstr>
      </vt:variant>
      <vt:variant>
        <vt:i4>1638448</vt:i4>
      </vt:variant>
      <vt:variant>
        <vt:i4>38</vt:i4>
      </vt:variant>
      <vt:variant>
        <vt:i4>0</vt:i4>
      </vt:variant>
      <vt:variant>
        <vt:i4>5</vt:i4>
      </vt:variant>
      <vt:variant>
        <vt:lpwstr/>
      </vt:variant>
      <vt:variant>
        <vt:lpwstr>_Toc181212165</vt:lpwstr>
      </vt:variant>
      <vt:variant>
        <vt:i4>1638448</vt:i4>
      </vt:variant>
      <vt:variant>
        <vt:i4>32</vt:i4>
      </vt:variant>
      <vt:variant>
        <vt:i4>0</vt:i4>
      </vt:variant>
      <vt:variant>
        <vt:i4>5</vt:i4>
      </vt:variant>
      <vt:variant>
        <vt:lpwstr/>
      </vt:variant>
      <vt:variant>
        <vt:lpwstr>_Toc181212164</vt:lpwstr>
      </vt:variant>
      <vt:variant>
        <vt:i4>1638448</vt:i4>
      </vt:variant>
      <vt:variant>
        <vt:i4>26</vt:i4>
      </vt:variant>
      <vt:variant>
        <vt:i4>0</vt:i4>
      </vt:variant>
      <vt:variant>
        <vt:i4>5</vt:i4>
      </vt:variant>
      <vt:variant>
        <vt:lpwstr/>
      </vt:variant>
      <vt:variant>
        <vt:lpwstr>_Toc181212163</vt:lpwstr>
      </vt:variant>
      <vt:variant>
        <vt:i4>1638448</vt:i4>
      </vt:variant>
      <vt:variant>
        <vt:i4>20</vt:i4>
      </vt:variant>
      <vt:variant>
        <vt:i4>0</vt:i4>
      </vt:variant>
      <vt:variant>
        <vt:i4>5</vt:i4>
      </vt:variant>
      <vt:variant>
        <vt:lpwstr/>
      </vt:variant>
      <vt:variant>
        <vt:lpwstr>_Toc181212162</vt:lpwstr>
      </vt:variant>
      <vt:variant>
        <vt:i4>1638448</vt:i4>
      </vt:variant>
      <vt:variant>
        <vt:i4>14</vt:i4>
      </vt:variant>
      <vt:variant>
        <vt:i4>0</vt:i4>
      </vt:variant>
      <vt:variant>
        <vt:i4>5</vt:i4>
      </vt:variant>
      <vt:variant>
        <vt:lpwstr/>
      </vt:variant>
      <vt:variant>
        <vt:lpwstr>_Toc181212161</vt:lpwstr>
      </vt:variant>
      <vt:variant>
        <vt:i4>1638448</vt:i4>
      </vt:variant>
      <vt:variant>
        <vt:i4>8</vt:i4>
      </vt:variant>
      <vt:variant>
        <vt:i4>0</vt:i4>
      </vt:variant>
      <vt:variant>
        <vt:i4>5</vt:i4>
      </vt:variant>
      <vt:variant>
        <vt:lpwstr/>
      </vt:variant>
      <vt:variant>
        <vt:lpwstr>_Toc181212160</vt:lpwstr>
      </vt:variant>
      <vt:variant>
        <vt:i4>1703984</vt:i4>
      </vt:variant>
      <vt:variant>
        <vt:i4>2</vt:i4>
      </vt:variant>
      <vt:variant>
        <vt:i4>0</vt:i4>
      </vt:variant>
      <vt:variant>
        <vt:i4>5</vt:i4>
      </vt:variant>
      <vt:variant>
        <vt:lpwstr/>
      </vt:variant>
      <vt:variant>
        <vt:lpwstr>_Toc181212159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2024-11-17T23:08:00Z</dcterms:created>
  <dcterms:modified xsi:type="dcterms:W3CDTF">2024-11-17T23:08:00Z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2024-11-17T23:08:43Z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8d8e1fad-9e6e-42d6-ab18-dd81f047f4bf</vt:lpwstr>
  </property>
  <property fmtid="{D5CDD505-2E9C-101B-9397-08002B2CF9AE}" pid="8" name="MSIP_Label_79d889eb-932f-4752-8739-64d25806ef64_ContentBits">
    <vt:lpwstr>0</vt:lpwstr>
  </property>
</Properties>
</file>